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0.png" ContentType="image/png"/>
  <Override PartName="/word/media/rId87.png" ContentType="image/png"/>
  <Override PartName="/word/media/rId59.png" ContentType="image/png"/>
  <Override PartName="/word/media/rId67.png" ContentType="image/png"/>
  <Override PartName="/word/media/rId45.png" ContentType="image/png"/>
  <Override PartName="/word/media/rId75.png" ContentType="image/png"/>
  <Override PartName="/word/media/rId79.png" ContentType="image/png"/>
  <Override PartName="/word/media/rId28.png" ContentType="image/png"/>
  <Override PartName="/word/media/rId35.png" ContentType="image/png"/>
  <Override PartName="/word/media/rId83.png" ContentType="image/png"/>
  <Override PartName="/word/media/rId91.png" ContentType="image/png"/>
  <Override PartName="/word/media/rId71.png" ContentType="image/png"/>
  <Override PartName="/word/media/rId6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2026-09-12</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dynamics, such as repeated glacial-interglacial climatic fluctuations</w:t>
      </w:r>
      <w:r>
        <w:t xml:space="preserve"> </w:t>
      </w:r>
      <w:r>
        <w:t xml:space="preserve">(Kissling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 [</w:t>
      </w:r>
      <w:r>
        <w:t xml:space="preserve">McCain and King (2014)</w:t>
      </w:r>
      <w:r>
        <w:t xml:space="preserve">;</w:t>
      </w:r>
      <w:r>
        <w:t xml:space="preserve"> </w:t>
      </w:r>
      <w:r>
        <w:t xml:space="preserve">Moretti and Legg (2009)</w:t>
      </w:r>
      <w:r>
        <w:t xml:space="preserve">;</w:t>
      </w:r>
      <w:r>
        <w:t xml:space="preserve"> </w:t>
      </w:r>
      <w:r>
        <w:t xml:space="preserve">(</w:t>
      </w:r>
      <w:r>
        <w:rPr>
          <w:b/>
          <w:bCs/>
        </w:rPr>
        <w:t xml:space="preserve">Kissl?</w:t>
      </w:r>
      <w:r>
        <w:t xml:space="preserve">)</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FRic or FDis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(Kissling et al. 2012)</w:t>
      </w:r>
      <w:r>
        <w:t xml:space="preserve">. These differences may generate asymmetrical patterns of FRic and FDis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FRic or FDis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FRic, high FTA could indicate differences in the strength of environmental filtering of distinct trophic levels within a multitrophic species assemblage. Alternatively, low FTA could indicate that the strength of environmental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FDis,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interesting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FRic and FDis of palms and mammalian frugivores; (2) whether differences between their responses generate FTA; and (3) which climatic variables best explain geographic variation in FTA across the Neotropics. Addressing these questions can clarify whether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92735"/>
                  <wp:effectExtent b="0" l="0" r="0" t="0"/>
                  <wp:docPr descr="" title="" id="21" name="Picture"/>
                  <a:graphic>
                    <a:graphicData uri="http://schemas.openxmlformats.org/drawingml/2006/picture">
                      <pic:pic>
                        <pic:nvPicPr>
                          <pic:cNvPr descr="images/clipboard-1021119434.png" id="22" name="Picture"/>
                          <pic:cNvPicPr>
                            <a:picLocks noChangeArrowheads="1" noChangeAspect="1"/>
                          </pic:cNvPicPr>
                        </pic:nvPicPr>
                        <pic:blipFill>
                          <a:blip r:embed="rId20"/>
                          <a:stretch>
                            <a:fillRect/>
                          </a:stretch>
                        </pic:blipFill>
                        <pic:spPr bwMode="auto">
                          <a:xfrm>
                            <a:off x="0" y="0"/>
                            <a:ext cx="5334000" cy="35927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FTA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came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of the species pool of each biogeographic province when at least 5% of its occupied range cells occurred within that biogeographic province, reducing the influence of marginal overlaps between species ranges and province boundaries. Species represented by fewer than ten occupied raster cells were excluded from the biogeographic province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contemporary climate and the magnitude of past climate change across Neotropical biogeographic provinces. The contemporary climatic baseline was derived from the Climatologies at High Resolution for the Earth’s Land Surface Areas (CHELSA) dataset</w:t>
      </w:r>
      <w:r>
        <w:t xml:space="preserve"> </w:t>
      </w:r>
      <w:r>
        <w:t xml:space="preserve">(Karger et al. 2017)</w:t>
      </w:r>
      <w:r>
        <w:t xml:space="preserve">. For each bioclimatic variable, we calculated climatic anomalies as past minus contemporary conditions for the late Holocene (lh; 4.2–0.3 ka) and the Last Glacial Maximum (LGM; ~21 ka). These anomalies describe the direction and magnitude of climatic differences relative to the contemporary baseline. The LGM–present anomaly captures a major glacial-to-interglacial climatic transition and can therefore can approximate the climatic fluctuations that characterized much of the Quaternary, whereas the Late Holocene–present anomaly aproximates recent climatic variation within the current interglacial (</w:t>
      </w:r>
      <w:hyperlink w:anchor="fig-02">
        <w:r>
          <w:rPr>
            <w:rStyle w:val="Hyperlink"/>
          </w:rPr>
          <w:t xml:space="preserve">Figure 2</w:t>
        </w:r>
      </w:hyperlink>
      <w:r>
        <w:t xml:space="preserve">; Figure S1). Because the signs of PCA axes are arbitrary, PC1 and PC2 were oriented consistently among analyses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2785533"/>
                  <wp:effectExtent b="0" l="0" r="0" t="0"/>
                  <wp:docPr descr="" title="" id="29" name="Picture"/>
                  <a:graphic>
                    <a:graphicData uri="http://schemas.openxmlformats.org/drawingml/2006/picture">
                      <pic:pic>
                        <pic:nvPicPr>
                          <pic:cNvPr descr="images/clipboard-3482144691.png" id="30" name="Picture"/>
                          <pic:cNvPicPr>
                            <a:picLocks noChangeArrowheads="1" noChangeAspect="1"/>
                          </pic:cNvPicPr>
                        </pic:nvPicPr>
                        <pic:blipFill>
                          <a:blip r:embed="rId28"/>
                          <a:stretch>
                            <a:fillRect/>
                          </a:stretch>
                        </pic:blipFill>
                        <pic:spPr bwMode="auto">
                          <a:xfrm>
                            <a:off x="0" y="0"/>
                            <a:ext cx="5334000" cy="27855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Contemporary climate principal component analysis (PCA) and the geographic distribution of PCA scores across biogeographic provinces in the Neotropics. (A)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 $\sqrt{\mathrm{PC1}^2 + \mathrm{PC2}^2}$ 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quantitatively describe how species differ across their multiple traits, we calculated differences among species using Gower distances, which scales multidimensional trait differences on a common 0–1 scale</w:t>
      </w:r>
      <w:r>
        <w:t xml:space="preserve"> </w:t>
      </w:r>
      <w:r>
        <w:t xml:space="preserve">(De Bello et al. 2021)</w:t>
      </w:r>
      <w:r>
        <w:t xml:space="preserve">. We then used principal coordinates analysis (PCoA)</w:t>
      </w:r>
      <w:r>
        <w:t xml:space="preserve"> </w:t>
      </w:r>
      <w:r>
        <w:t xml:space="preserve">(Legendre and Borcard 2018)</w:t>
      </w:r>
      <w:r>
        <w:t xml:space="preserve"> </w:t>
      </w:r>
      <w:r>
        <w:t xml:space="preserve">to embed species within multidimensional continuous trait spaces (Figure S2). For each trophic level, we retained only those axes that cumulatively comprised more than 75% of the total variance (Figure S3). For mammals, we retained two axes, which explained 52.5% and 20.4% of the variation. For palms, we retained one axis, which explained 89.9%. For mammals, the two trait axes captured a trait space with shared variation in both morphology and behavior. For palms, the main axis primarily reflected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FRic and FDis on the previously described palm and mammal functional trait spaces (Figure S2). FRic measured the occupied volume of the local assemblage within the larger trait space of the continental pool.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FRic, this corresponds to mammals occupying a relatively larger volume of functional trait space than expected given species richness. For FDis,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we fitted a Generalized Additive Model (GAM) containing penalized thin-plate regression splines for the first two axes of contemporary climate, Late Holocene–present climatic anomalies, and LGM–present climatic anomalies:</w:t>
      </w:r>
    </w:p>
    <w:p>
      <w:pPr>
        <w:pStyle w:val="BodyText"/>
      </w:pPr>
      <m:oMath>
        <m:r>
          <m:t>Y</m:t>
        </m:r>
        <m:r>
          <m:rPr>
            <m:sty m:val="p"/>
          </m:rPr>
          <m:t>=</m:t>
        </m:r>
        <m:r>
          <m:t>s</m:t>
        </m:r>
        <m:d>
          <m:dPr>
            <m:begChr m:val="("/>
            <m:endChr m:val=")"/>
            <m:sepChr m:val=""/>
            <m:grow/>
          </m:dPr>
          <m:e>
            <m:r>
              <m:t>P</m:t>
            </m:r>
            <m:r>
              <m:t>C</m:t>
            </m:r>
            <m:sSub>
              <m:e>
                <m:r>
                  <m:t>1</m:t>
                </m:r>
              </m:e>
              <m:sub>
                <m:r>
                  <m:t>c</m:t>
                </m:r>
                <m:r>
                  <m:t>u</m:t>
                </m:r>
                <m:r>
                  <m:t>r</m:t>
                </m:r>
              </m:sub>
            </m:sSub>
          </m:e>
        </m:d>
        <m:r>
          <m:rPr>
            <m:sty m:val="p"/>
          </m:rPr>
          <m:t>+</m:t>
        </m:r>
        <m:r>
          <m:t>s</m:t>
        </m:r>
        <m:d>
          <m:dPr>
            <m:begChr m:val="("/>
            <m:endChr m:val=")"/>
            <m:sepChr m:val=""/>
            <m:grow/>
          </m:dPr>
          <m:e>
            <m:r>
              <m:t>P</m:t>
            </m:r>
            <m:r>
              <m:t>C</m:t>
            </m:r>
            <m:sSub>
              <m:e>
                <m:r>
                  <m:t>2</m:t>
                </m:r>
              </m:e>
              <m:sub>
                <m:r>
                  <m:t>c</m:t>
                </m:r>
                <m:r>
                  <m:t>u</m:t>
                </m:r>
                <m:r>
                  <m:t>r</m:t>
                </m:r>
              </m:sub>
            </m:sSub>
          </m:e>
        </m:d>
        <m:r>
          <m:rPr>
            <m:sty m:val="p"/>
          </m:rPr>
          <m:t>+</m:t>
        </m:r>
        <m:r>
          <m:t>s</m:t>
        </m:r>
        <m:d>
          <m:dPr>
            <m:begChr m:val="("/>
            <m:endChr m:val=")"/>
            <m:sepChr m:val=""/>
            <m:grow/>
          </m:dPr>
          <m:e>
            <m:r>
              <m:t>P</m:t>
            </m:r>
            <m:r>
              <m:t>C</m:t>
            </m:r>
            <m:sSub>
              <m:e>
                <m:r>
                  <m:t>1</m:t>
                </m:r>
              </m:e>
              <m:sub>
                <m:r>
                  <m:t>l</m:t>
                </m:r>
                <m:r>
                  <m:t>h</m:t>
                </m:r>
                <m:r>
                  <m:rPr>
                    <m:sty m:val="p"/>
                  </m:rPr>
                  <m:t>−</m:t>
                </m:r>
                <m:r>
                  <m:t>a</m:t>
                </m:r>
              </m:sub>
            </m:sSub>
          </m:e>
        </m:d>
        <m:r>
          <m:rPr>
            <m:sty m:val="p"/>
          </m:rPr>
          <m:t>+</m:t>
        </m:r>
        <m:r>
          <m:t>s</m:t>
        </m:r>
        <m:d>
          <m:dPr>
            <m:begChr m:val="("/>
            <m:endChr m:val=")"/>
            <m:sepChr m:val=""/>
            <m:grow/>
          </m:dPr>
          <m:e>
            <m:r>
              <m:t>P</m:t>
            </m:r>
            <m:r>
              <m:t>C</m:t>
            </m:r>
            <m:sSub>
              <m:e>
                <m:r>
                  <m:t>2</m:t>
                </m:r>
              </m:e>
              <m:sub>
                <m:r>
                  <m:t>l</m:t>
                </m:r>
                <m:r>
                  <m:t>h</m:t>
                </m:r>
                <m:r>
                  <m:rPr>
                    <m:sty m:val="p"/>
                  </m:rPr>
                  <m:t>−</m:t>
                </m:r>
                <m:r>
                  <m:t>a</m:t>
                </m:r>
              </m:sub>
            </m:sSub>
          </m:e>
        </m:d>
        <m:r>
          <m:rPr>
            <m:sty m:val="p"/>
          </m:rPr>
          <m:t>+</m:t>
        </m:r>
        <m:r>
          <m:t>s</m:t>
        </m:r>
        <m:d>
          <m:dPr>
            <m:begChr m:val="("/>
            <m:endChr m:val=")"/>
            <m:sepChr m:val=""/>
            <m:grow/>
          </m:dPr>
          <m:e>
            <m:r>
              <m:t>P</m:t>
            </m:r>
            <m:r>
              <m:t>C</m:t>
            </m:r>
            <m:sSub>
              <m:e>
                <m:r>
                  <m:t>1</m:t>
                </m:r>
              </m:e>
              <m:sub>
                <m:r>
                  <m:t>l</m:t>
                </m:r>
                <m:r>
                  <m:t>g</m:t>
                </m:r>
                <m:r>
                  <m:t>m</m:t>
                </m:r>
                <m:r>
                  <m:rPr>
                    <m:sty m:val="p"/>
                  </m:rPr>
                  <m:t>−</m:t>
                </m:r>
                <m:r>
                  <m:t>a</m:t>
                </m:r>
              </m:sub>
            </m:sSub>
          </m:e>
        </m:d>
        <m:r>
          <m:rPr>
            <m:sty m:val="p"/>
          </m:rPr>
          <m:t>+</m:t>
        </m:r>
        <m:r>
          <m:t>s</m:t>
        </m:r>
        <m:d>
          <m:dPr>
            <m:begChr m:val="("/>
            <m:endChr m:val=")"/>
            <m:sepChr m:val=""/>
            <m:grow/>
          </m:dPr>
          <m:e>
            <m:r>
              <m:t>P</m:t>
            </m:r>
            <m:r>
              <m:t>C</m:t>
            </m:r>
            <m:sSub>
              <m:e>
                <m:r>
                  <m:t>2</m:t>
                </m:r>
              </m:e>
              <m:sub>
                <m:r>
                  <m:t>l</m:t>
                </m:r>
                <m:r>
                  <m:t>g</m:t>
                </m:r>
                <m:r>
                  <m:t>m</m:t>
                </m:r>
                <m:r>
                  <m:rPr>
                    <m:sty m:val="p"/>
                  </m:rPr>
                  <m:t>−</m:t>
                </m:r>
                <m:r>
                  <m:t>a</m:t>
                </m:r>
              </m:sub>
            </m:sSub>
          </m:e>
        </m:d>
      </m:oMath>
    </w:p>
    <w:p>
      <w:pPr>
        <w:pStyle w:val="BodyText"/>
      </w:pPr>
      <w:r>
        <w:t xml:space="preserve">where</w:t>
      </w:r>
      <w:r>
        <w:t xml:space="preserve"> </w:t>
      </w:r>
      <m:oMath>
        <m:r>
          <m:t>Y</m:t>
        </m:r>
      </m:oMath>
      <w:r>
        <w:t xml:space="preserve"> </w:t>
      </w:r>
      <w:r>
        <w:t xml:space="preserve">represents palm or mammal functional richness (FRic), functional dispersion (FDis), or their corresponding functional trophic asymmetry (FTA). Models were fitted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Climatic smooths were assigned a conservative basis dimension of</w:t>
      </w:r>
      <w:r>
        <w:t xml:space="preserve"> </w:t>
      </w:r>
      <m:oMath>
        <m:r>
          <m:t>k</m:t>
        </m:r>
        <m:r>
          <m:rPr>
            <m:sty m:val="p"/>
          </m:rPr>
          <m:t>=</m:t>
        </m:r>
        <m:r>
          <m:t>4</m:t>
        </m:r>
      </m:oMath>
      <w:r>
        <w:t xml:space="preserve">, and models were estimated by restricted maximum likelihood with shrinkage selection</w:t>
      </w:r>
      <w:r>
        <w:t xml:space="preserve"> </w:t>
      </w:r>
      <w:r>
        <w:t xml:space="preserve">(Wood and N 2017)</w:t>
      </w:r>
      <w:r>
        <w:t xml:space="preserve">. Tensor-product interactions among climatic predictors were not included. To evaluate whether climatic associations persisted after accounting for broad-scale spatial structure, we fitted spatial sensitivity models with the same climatic predictors plus a two-dimensional smooth of province-centroid longitude and latitude,</w:t>
      </w:r>
      <w:r>
        <w:t xml:space="preserve"> </w:t>
      </w:r>
      <m:oMath>
        <m:r>
          <m:rPr>
            <m:sty m:val="p"/>
          </m:rPr>
          <m:t>(</m:t>
        </m:r>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Climate-only and climate-plus-space models were compared using AIC, with positive differences indicating improved support after including spatial structure. Model adequacy was evaluated using residual-versus-fitted and normal Q–Q plots, together with basis-dimension diagnostics based on the</w:t>
      </w:r>
      <w:r>
        <w:t xml:space="preserve"> </w:t>
      </w:r>
      <m:oMath>
        <m:r>
          <m:t>k</m:t>
        </m:r>
        <m:r>
          <m:rPr>
            <m:sty m:val="p"/>
          </m:rPr>
          <m:t>−</m:t>
        </m:r>
        <m:r>
          <m:t>i</m:t>
        </m:r>
        <m:r>
          <m:t>n</m:t>
        </m:r>
        <m:r>
          <m:t>d</m:t>
        </m:r>
        <m:r>
          <m:t>e</m:t>
        </m:r>
        <m:r>
          <m:t>x</m:t>
        </m:r>
      </m:oMath>
      <w:r>
        <w:t xml:space="preserve"> </w:t>
      </w:r>
      <w:r>
        <w:t xml:space="preserve">(Figures S7–S8). Overall model performance was summarized using adjusted</w:t>
      </w:r>
      <w:r>
        <w:t xml:space="preserve"> </w:t>
      </w:r>
      <m:oMath>
        <m:sSup>
          <m:e>
            <m:r>
              <m:t>R</m:t>
            </m:r>
          </m:e>
          <m:sup>
            <m:r>
              <m:t>2</m:t>
            </m:r>
          </m:sup>
        </m:sSup>
      </m:oMath>
      <w:r>
        <w:t xml:space="preserve">.</w:t>
      </w:r>
    </w:p>
    <w:bookmarkEnd w:id="33"/>
    <w:bookmarkEnd w:id="34"/>
    <w:bookmarkStart w:id="53" w:name="results"/>
    <w:p>
      <w:pPr>
        <w:pStyle w:val="Heading2"/>
      </w:pPr>
      <w:r>
        <w:t xml:space="preserve">RESULTS</w:t>
      </w:r>
    </w:p>
    <w:bookmarkStart w:id="39" w:name="Xbbe4f3fec0af2b8b0d7a5c2d471af756d779671"/>
    <w:p>
      <w:pPr>
        <w:pStyle w:val="Heading3"/>
      </w:pPr>
      <w:r>
        <w:t xml:space="preserve">Geographic distribution of FRic, FDis, and FTA</w:t>
      </w:r>
    </w:p>
    <w:p>
      <w:pPr>
        <w:pStyle w:val="FirstParagraph"/>
      </w:pPr>
      <w:r>
        <w:t xml:space="preserve">Palm FRic was highest in Central America and parts of eastern and southern South America (</w:t>
      </w:r>
      <w:hyperlink w:anchor="fig-03">
        <w:r>
          <w:rPr>
            <w:rStyle w:val="Hyperlink"/>
          </w:rPr>
          <w:t xml:space="preserve">Figure 3</w:t>
        </w:r>
      </w:hyperlink>
      <w:r>
        <w:t xml:space="preserve"> </w:t>
      </w:r>
      <w:r>
        <w:t xml:space="preserve">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FRic-FTA. Palm richness was greater across much of Amazonia, while mammal richness was greater in eastern South America (</w:t>
      </w:r>
      <w:hyperlink w:anchor="fig-03">
        <w:r>
          <w:rPr>
            <w:rStyle w:val="Hyperlink"/>
          </w:rPr>
          <w:t xml:space="preserve">Figure 3</w:t>
        </w:r>
      </w:hyperlink>
      <w:r>
        <w:t xml:space="preserve"> </w:t>
      </w:r>
      <w:r>
        <w:t xml:space="preserve">C). FDis showed a different pattern. Palm FDis peaked in southeastern Brazil, whereas mammal FDis was high across much of tropical South America (</w:t>
      </w:r>
      <w:hyperlink w:anchor="fig-03">
        <w:r>
          <w:rPr>
            <w:rStyle w:val="Hyperlink"/>
          </w:rPr>
          <w:t xml:space="preserve">Figure 3</w:t>
        </w:r>
      </w:hyperlink>
      <w:r>
        <w:t xml:space="preserve"> </w:t>
      </w:r>
      <w:r>
        <w:t xml:space="preserve">D–E). FDis-FTA was therefore positive across most of the Neotropics but negative in southeastern Brazil (</w:t>
      </w:r>
      <w:hyperlink w:anchor="fig-03">
        <w:r>
          <w:rPr>
            <w:rStyle w:val="Hyperlink"/>
          </w:rPr>
          <w:t xml:space="preserve">Figure 3</w:t>
        </w:r>
      </w:hyperlink>
      <w:r>
        <w:t xml:space="preserve"> </w:t>
      </w:r>
      <w:r>
        <w:t xml:space="preserve">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4944570"/>
                  <wp:effectExtent b="0" l="0" r="0" t="0"/>
                  <wp:docPr descr="" title="" id="36" name="Picture"/>
                  <a:graphic>
                    <a:graphicData uri="http://schemas.openxmlformats.org/drawingml/2006/picture">
                      <pic:pic>
                        <pic:nvPicPr>
                          <pic:cNvPr descr="images/clipboard-3632621564.png" id="37" name="Picture"/>
                          <pic:cNvPicPr>
                            <a:picLocks noChangeArrowheads="1" noChangeAspect="1"/>
                          </pic:cNvPicPr>
                        </pic:nvPicPr>
                        <pic:blipFill>
                          <a:blip r:embed="rId35"/>
                          <a:stretch>
                            <a:fillRect/>
                          </a:stretch>
                        </pic:blipFill>
                        <pic:spPr bwMode="auto">
                          <a:xfrm>
                            <a:off x="0" y="0"/>
                            <a:ext cx="5334000" cy="49445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FRic, FDis, and FTA across Neotropical biogeographic provinces</w:t>
            </w:r>
            <w:r>
              <w:t xml:space="preserve">. Maps show standardized effect sizes (SES) of FRic (top row) and FDis (bottom row) for palm assemblages (left column), mammal assemblages (middle column), and FTA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For palms, functional richness (FRic) declined significantly from contemporary warm–humid climates toward more seasonal climates (current PC1) (</w:t>
      </w:r>
      <w:hyperlink w:anchor="fig-04">
        <w:r>
          <w:rPr>
            <w:rStyle w:val="Hyperlink"/>
          </w:rPr>
          <w:t xml:space="preserve">Figure 4</w:t>
        </w:r>
      </w:hyperlink>
      <w:r>
        <w:t xml:space="preserve"> </w:t>
      </w:r>
      <w:r>
        <w:t xml:space="preserve">A; Table 1). Palm FRic showed no association with the contemporary warm–dry-to-cool–wet gradient (current PC2) (</w:t>
      </w:r>
      <w:hyperlink w:anchor="fig-04">
        <w:r>
          <w:rPr>
            <w:rStyle w:val="Hyperlink"/>
          </w:rPr>
          <w:t xml:space="preserve">Figure 4</w:t>
        </w:r>
      </w:hyperlink>
      <w:r>
        <w:t xml:space="preserve"> </w:t>
      </w:r>
      <w:r>
        <w:t xml:space="preserve">B; Table 1). Although the fitted smooths suggested modest non-linear variation along the Late Holocene anomaly PC1 and the Late Holocene anomaly PC2 gradients (FigureS5 C-D), neither relationship was statistically significant (Table 1). Palm FRic also showed no detectable response to LGM anomaly PC1 or the LGM anomaly PC2 (FigureS5 E-F; Table 1). Palm functional dispersion (FDis) showed no detectable association with the contemporary warm–humid-to-seasonal gradient (current PC1) (</w:t>
      </w:r>
      <w:hyperlink w:anchor="fig-04">
        <w:r>
          <w:rPr>
            <w:rStyle w:val="Hyperlink"/>
          </w:rPr>
          <w:t xml:space="preserve">Figure 4</w:t>
        </w:r>
      </w:hyperlink>
      <w:r>
        <w:t xml:space="preserve"> </w:t>
      </w:r>
      <w:r>
        <w:t xml:space="preserve">C; Table 1) and only weak evidence of non-linear variation along the warm–dry-to-cool–wet gradient (current PC2) (</w:t>
      </w:r>
      <w:hyperlink w:anchor="fig-04">
        <w:r>
          <w:rPr>
            <w:rStyle w:val="Hyperlink"/>
          </w:rPr>
          <w:t xml:space="preserve">Figure 4</w:t>
        </w:r>
      </w:hyperlink>
      <w:r>
        <w:t xml:space="preserve"> </w:t>
      </w:r>
      <w:r>
        <w:t xml:space="preserve">C; Table 1). In contrast, palm FDis responded significantly and non-linearly to Late Holocene anomaly PC1 (FigureS6 C; Table 1). No relationships were detected with Late Holocene anomaly PC2 or with either LGM anomaly axis (FigureS6 D-F; Table 1).</w:t>
      </w:r>
    </w:p>
    <w:p>
      <w:pPr>
        <w:pStyle w:val="BodyText"/>
      </w:pPr>
      <w:r>
        <w:t xml:space="preserve">For mammals, FRic showed no significant relationship with the contemporary warm–humid-to-seasonal gradient (current PC1), despite a modest estimated decline toward highly seasonal climates (</w:t>
      </w:r>
      <w:hyperlink w:anchor="fig-04">
        <w:r>
          <w:rPr>
            <w:rStyle w:val="Hyperlink"/>
          </w:rPr>
          <w:t xml:space="preserve">Figure 4</w:t>
        </w:r>
      </w:hyperlink>
      <w:r>
        <w:t xml:space="preserve"> </w:t>
      </w:r>
      <w:r>
        <w:t xml:space="preserve">A; Table 1). Weak evidence indicated that mammal FRic increased from warm–dry toward cool–wet contemporary climates (current PC2) (</w:t>
      </w:r>
      <w:hyperlink w:anchor="fig-04">
        <w:r>
          <w:rPr>
            <w:rStyle w:val="Hyperlink"/>
          </w:rPr>
          <w:t xml:space="preserve">Figure 4</w:t>
        </w:r>
      </w:hyperlink>
      <w:r>
        <w:t xml:space="preserve"> </w:t>
      </w:r>
      <w:r>
        <w:t xml:space="preserve">B; Table 1). Mammal FRic showed no detectable relationship with either Late Holocene anomaly PC1 or Late Holocene anomaly PC2 (FigureS5 C-D; Table 1). A weak, unimodal response was estimated along LGM anomaly PC1, whereas no association was detected with LGM anomaly PC2 (FigureS5 E-F; Table 1). Mammal FDis declined markedly from contemporary warm–humid toward highly seasonal climates (current PC1) (</w:t>
      </w:r>
      <w:hyperlink w:anchor="fig-04">
        <w:r>
          <w:rPr>
            <w:rStyle w:val="Hyperlink"/>
          </w:rPr>
          <w:t xml:space="preserve">Figure 4</w:t>
        </w:r>
      </w:hyperlink>
      <w:r>
        <w:t xml:space="preserve"> </w:t>
      </w:r>
      <w:r>
        <w:t xml:space="preserve">C; Table 1) and varied significantly and non-linearly along the contemporary warm–dry-to-cool–wet gradient (current PC2) (</w:t>
      </w:r>
      <w:hyperlink w:anchor="fig-04">
        <w:r>
          <w:rPr>
            <w:rStyle w:val="Hyperlink"/>
          </w:rPr>
          <w:t xml:space="preserve">Figure 4</w:t>
        </w:r>
      </w:hyperlink>
      <w:r>
        <w:t xml:space="preserve"> </w:t>
      </w:r>
      <w:r>
        <w:t xml:space="preserve">D; Table 1). It also increased along the late Holocene anomaly PC1 before levelling off (Figure S5 D). No relationships were detected with Late Holocene anomaly PC2, LGM anomaly PC1, LGM anomaly PC2 (Table 1). Basis-dimension diagnostics indicated that all climatic smooths had adequate flexibility (Figure S7).</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056551"/>
                  <wp:effectExtent b="0" l="0" r="0" t="0"/>
                  <wp:docPr descr="" title="" id="41" name="Picture"/>
                  <a:graphic>
                    <a:graphicData uri="http://schemas.openxmlformats.org/drawingml/2006/picture">
                      <pic:pic>
                        <pic:nvPicPr>
                          <pic:cNvPr descr="images/clipboard-908738126.png" id="42" name="Picture"/>
                          <pic:cNvPicPr>
                            <a:picLocks noChangeArrowheads="1" noChangeAspect="1"/>
                          </pic:cNvPicPr>
                        </pic:nvPicPr>
                        <pic:blipFill>
                          <a:blip r:embed="rId40"/>
                          <a:stretch>
                            <a:fillRect/>
                          </a:stretch>
                        </pic:blipFill>
                        <pic:spPr bwMode="auto">
                          <a:xfrm>
                            <a:off x="0" y="0"/>
                            <a:ext cx="5334000" cy="4056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FRic and FDis with current climate.</w:t>
            </w:r>
            <w:r>
              <w:t xml:space="preserve"> </w:t>
            </w:r>
            <w:r>
              <w:t xml:space="preserve">Generalized additive model smooths showing the effects of current climatic PC1 and PC2 on standardized effect sizes of FRic (FRic; A and B) and FDis (FDis; C and D) for palm and mammal assemblages. Lines show fitted smooths, shaded areas represent 95% confidence intervals, and the horizontal dashed line denotes an effect of zero.</w:t>
            </w:r>
          </w:p>
          <w:bookmarkEnd w:id="43"/>
        </w:tc>
      </w:tr>
    </w:tbl>
    <w:bookmarkEnd w:id="44"/>
    <w:bookmarkStart w:id="52" w:name="X2677e48039c1d5374816733a66b38bbb6316d19"/>
    <w:p>
      <w:pPr>
        <w:pStyle w:val="Heading3"/>
      </w:pPr>
      <w:r>
        <w:t xml:space="preserve">The variation of FTA along climatic gradients</w:t>
      </w:r>
    </w:p>
    <w:p>
      <w:pPr>
        <w:pStyle w:val="FirstParagraph"/>
      </w:pPr>
      <w:r>
        <w:t xml:space="preserve">FTA–FRic changed little along the contemporary climate gradients (current PC1 and PC2) and the two Late Holocene–present anomaly gradients (Late Holocene anomaly PC1 and PC2) (</w:t>
      </w:r>
      <w:hyperlink w:anchor="fig-05">
        <w:r>
          <w:rPr>
            <w:rStyle w:val="Hyperlink"/>
          </w:rPr>
          <w:t xml:space="preserve">Figure 5</w:t>
        </w:r>
      </w:hyperlink>
      <w:r>
        <w:t xml:space="preserve"> </w:t>
      </w:r>
      <w:r>
        <w:t xml:space="preserve">A–B, D–E; Table 1). A weak unimodal relationship was estimated along the LGM anomaly PC1, with FTA–FRic reaching its highest values at intermediate levels of cooling; however, this effect was only marginally supported. FTA–FRic also declined weakly along LGM anomaly PC2, but this relationship was not statistically significant (</w:t>
      </w:r>
      <w:hyperlink w:anchor="fig-05">
        <w:r>
          <w:rPr>
            <w:rStyle w:val="Hyperlink"/>
          </w:rPr>
          <w:t xml:space="preserve">Figure 5</w:t>
        </w:r>
      </w:hyperlink>
      <w:r>
        <w:t xml:space="preserve"> </w:t>
      </w:r>
      <w:r>
        <w:t xml:space="preserve">C, F; Table 1). Climate was more strongly associated with FTA–FDis, which declined significantly and non-linearly from contemporary warm–humid toward more seasonal climates (current PC1) and showed a significant unimodal response along the Late Holocene anomaly PC1 (</w:t>
      </w:r>
      <w:hyperlink w:anchor="fig-05">
        <w:r>
          <w:rPr>
            <w:rStyle w:val="Hyperlink"/>
          </w:rPr>
          <w:t xml:space="preserve">Figure 5</w:t>
        </w:r>
      </w:hyperlink>
      <w:r>
        <w:t xml:space="preserve"> </w:t>
      </w:r>
      <w:r>
        <w:t xml:space="preserve">A–B; Table 1). FTA–FDis showed no significant association with current PC2, Late Holocene anomaly PC2, or either LGM anomaly axis (</w:t>
      </w:r>
      <w:hyperlink w:anchor="fig-05">
        <w:r>
          <w:rPr>
            <w:rStyle w:val="Hyperlink"/>
          </w:rPr>
          <w:t xml:space="preserve">Figure 5</w:t>
        </w:r>
      </w:hyperlink>
      <w:r>
        <w:t xml:space="preserve"> </w:t>
      </w:r>
      <w:r>
        <w:t xml:space="preserve">C–F; Table 1). Basis-dimension diagnostics indicated that all climatic smooths had adequate flexibility (Figure S8).</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3647139"/>
                  <wp:effectExtent b="0" l="0" r="0" t="0"/>
                  <wp:docPr descr="" title="" id="46" name="Picture"/>
                  <a:graphic>
                    <a:graphicData uri="http://schemas.openxmlformats.org/drawingml/2006/picture">
                      <pic:pic>
                        <pic:nvPicPr>
                          <pic:cNvPr descr="images/clipboard-2235762492.png" id="47" name="Picture"/>
                          <pic:cNvPicPr>
                            <a:picLocks noChangeArrowheads="1" noChangeAspect="1"/>
                          </pic:cNvPicPr>
                        </pic:nvPicPr>
                        <pic:blipFill>
                          <a:blip r:embed="rId45"/>
                          <a:stretch>
                            <a:fillRect/>
                          </a:stretch>
                        </pic:blipFill>
                        <pic:spPr bwMode="auto">
                          <a:xfrm>
                            <a:off x="0" y="0"/>
                            <a:ext cx="5334000" cy="36471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Climatic associations of functional trophic asymmetry across Neotropical biogeographic provinces.</w:t>
            </w:r>
            <w:r>
              <w:t xml:space="preserve"> </w:t>
            </w:r>
            <w:r>
              <w:t xml:space="preserve">Partial effects of current climate, late-Holocene anomalies, and Last Glacial Maximum (LGM) anomalies on FTA–FRic; purple solid lines) and fFTA–FDis; green dashed lines. Panels A–C show responses along PC1 for current, late-Holocene anomaly, and LGM anomaly climates, respectively; panels D–F show the corresponding responses along PC2. Lines are estimated smooths from generalized additive models, and shaded bands represent approximately 95% confidence intervals (±2 SE). Horizontal dashed lines indicate no partial effect. Climatic anomalies were calculated as past minus present.</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Climate associations with FRic, FDis, and FTA.</w:t>
            </w:r>
          </w:p>
        </w:tc>
      </w:tr>
      <w:tr>
        <w:trPr>
          <w:cantSplit/>
        </w:trPr>
        <w:tc>
          <w:tcPr>
            <w:tcMar>
              <w:top w:w="108" w:type="dxa"/>
              <w:bottom w:w="108" w:type="dxa"/>
            </w:tcMar>
          </w:tcPr>
          <w:p>
            <w:pPr>
              <w:pStyle w:val="BodyText"/>
            </w:pPr>
            <w:pPr>
              <w:spacing w:before="16"/>
            </w:pPr>
            <w:r>
              <w:t xml:space="preserve">Generalized additive model results for the effects of the first two climatic principal components (PC1 and PC2) from current, late-Holocene, and Last Glacial Maximum conditions on palm and mammal FRic and FDis, and on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pct" w:w="4830"/>
              <w:tblLayout w:type="fixed"/>
              <w:tblLook w:firstRow="1" w:lastRow="0" w:firstColumn="0" w:lastColumn="0" w:noHBand="0" w:noVBand="0" w:val="0020"/>
            </w:tblPr>
            <w:tblGrid>
              <w:gridCol w:w="1185"/>
              <w:gridCol w:w="1077"/>
              <w:gridCol w:w="1185"/>
              <w:gridCol w:w="808"/>
              <w:gridCol w:w="1293"/>
              <w:gridCol w:w="808"/>
              <w:gridCol w:w="1293"/>
            </w:tblGrid>
            <w:tr>
              <w:trPr>
                <w:tblHeader w:val="on"/>
              </w:trPr>
              <w:tc>
                <w:tcPr/>
                <w:p>
                  <w:pPr>
                    <w:pStyle w:val="Compact"/>
                    <w:jc w:val="center"/>
                  </w:pPr>
                  <w:r>
                    <w:t xml:space="preserve">Climate axis</w:t>
                  </w:r>
                </w:p>
              </w:tc>
              <w:tc>
                <w:tcPr/>
                <w:p>
                  <w:pPr>
                    <w:pStyle w:val="Compact"/>
                    <w:jc w:val="center"/>
                  </w:pPr>
                  <w:r>
                    <w:t xml:space="preserve">Palm</w:t>
                  </w:r>
                  <w:r>
                    <w:br/>
                  </w:r>
                  <w:r>
                    <w:t xml:space="preserve">FRic</w:t>
                  </w:r>
                </w:p>
              </w:tc>
              <w:tc>
                <w:tcPr/>
                <w:p>
                  <w:pPr>
                    <w:pStyle w:val="Compact"/>
                    <w:jc w:val="center"/>
                  </w:pPr>
                  <w:r>
                    <w:t xml:space="preserve">Palm</w:t>
                  </w:r>
                  <w:r>
                    <w:br/>
                  </w:r>
                  <w:r>
                    <w:t xml:space="preserve">FDis</w:t>
                  </w:r>
                </w:p>
              </w:tc>
              <w:tc>
                <w:tcPr/>
                <w:p>
                  <w:pPr>
                    <w:pStyle w:val="Compact"/>
                    <w:jc w:val="center"/>
                  </w:pPr>
                  <w:r>
                    <w:t xml:space="preserve">Mammal</w:t>
                  </w:r>
                  <w:r>
                    <w:br/>
                  </w:r>
                  <w:r>
                    <w:t xml:space="preserve">FRic</w:t>
                  </w:r>
                </w:p>
              </w:tc>
              <w:tc>
                <w:tcPr/>
                <w:p>
                  <w:pPr>
                    <w:pStyle w:val="Compact"/>
                    <w:jc w:val="center"/>
                  </w:pPr>
                  <w:r>
                    <w:t xml:space="preserve">Mammal</w:t>
                  </w:r>
                  <w:r>
                    <w:br/>
                  </w:r>
                  <w:r>
                    <w:t xml:space="preserve">FDis</w:t>
                  </w:r>
                </w:p>
              </w:tc>
              <w:tc>
                <w:tcPr/>
                <w:p>
                  <w:pPr>
                    <w:pStyle w:val="Compact"/>
                    <w:jc w:val="center"/>
                  </w:pPr>
                  <w:r>
                    <w:t xml:space="preserve">FTA</w:t>
                  </w:r>
                  <w:r>
                    <w:br/>
                  </w:r>
                  <w:r>
                    <w:t xml:space="preserve">FRic</w:t>
                  </w:r>
                </w:p>
              </w:tc>
              <w:tc>
                <w:tcPr/>
                <w:p>
                  <w:pPr>
                    <w:pStyle w:val="Compact"/>
                    <w:jc w:val="center"/>
                  </w:pPr>
                  <w:r>
                    <w:t xml:space="preserve">FTA</w:t>
                  </w:r>
                  <w:r>
                    <w:br/>
                  </w:r>
                  <w:r>
                    <w:t xml:space="preserve">FDis</w:t>
                  </w:r>
                </w:p>
              </w:tc>
            </w:tr>
            <w:tr>
              <w:tc>
                <w:tcPr/>
                <w:p>
                  <w:pPr>
                    <w:pStyle w:val="Compact"/>
                    <w:jc w:val="center"/>
                  </w:pPr>
                  <w:r>
                    <w:rPr>
                      <w:b/>
                      <w:bCs/>
                    </w:rPr>
                    <w:t xml:space="preserve">Current PC1</w:t>
                  </w:r>
                </w:p>
              </w:tc>
              <w:tc>
                <w:tcPr/>
                <w:p>
                  <w:pPr>
                    <w:pStyle w:val="Compact"/>
                    <w:jc w:val="center"/>
                  </w:pPr>
                  <w:r>
                    <w:rPr>
                      <w:b/>
                      <w:bCs/>
                    </w:rPr>
                    <w:t xml:space="preserve">1.24 (1.15)*</w:t>
                  </w:r>
                </w:p>
              </w:tc>
              <w:tc>
                <w:tcPr/>
                <w:p>
                  <w:pPr>
                    <w:pStyle w:val="Compact"/>
                    <w:jc w:val="center"/>
                  </w:pPr>
                  <w:r>
                    <w:t xml:space="preserve">0.15 (0.35)</w:t>
                  </w:r>
                </w:p>
              </w:tc>
              <w:tc>
                <w:tcPr/>
                <w:p>
                  <w:pPr>
                    <w:pStyle w:val="Compact"/>
                    <w:jc w:val="center"/>
                  </w:pPr>
                  <w:r>
                    <w:t xml:space="preserve">0.45 (0.83)</w:t>
                  </w:r>
                </w:p>
              </w:tc>
              <w:tc>
                <w:tcPr/>
                <w:p>
                  <w:pPr>
                    <w:pStyle w:val="Compact"/>
                    <w:jc w:val="center"/>
                  </w:pPr>
                  <w:r>
                    <w:rPr>
                      <w:b/>
                      <w:bCs/>
                    </w:rPr>
                    <w:t xml:space="preserve">4.19 (0.93)***</w:t>
                  </w:r>
                </w:p>
              </w:tc>
              <w:tc>
                <w:tcPr/>
                <w:p>
                  <w:pPr>
                    <w:pStyle w:val="Compact"/>
                    <w:jc w:val="center"/>
                  </w:pPr>
                  <w:r>
                    <w:t xml:space="preserve">0.00 (0.00)</w:t>
                  </w:r>
                </w:p>
              </w:tc>
              <w:tc>
                <w:tcPr/>
                <w:p>
                  <w:pPr>
                    <w:pStyle w:val="Compact"/>
                    <w:jc w:val="center"/>
                  </w:pPr>
                  <w:r>
                    <w:rPr>
                      <w:b/>
                      <w:bCs/>
                    </w:rPr>
                    <w:t xml:space="preserve">5.07 (1.65)***</w:t>
                  </w:r>
                </w:p>
              </w:tc>
            </w:tr>
            <w:tr>
              <w:tc>
                <w:tcPr/>
                <w:p>
                  <w:pPr>
                    <w:pStyle w:val="Compact"/>
                    <w:jc w:val="center"/>
                  </w:pPr>
                  <w:r>
                    <w:rPr>
                      <w:b/>
                      <w:bCs/>
                    </w:rPr>
                    <w:t xml:space="preserve">Current PC2</w:t>
                  </w:r>
                </w:p>
              </w:tc>
              <w:tc>
                <w:tcPr/>
                <w:p>
                  <w:pPr>
                    <w:pStyle w:val="Compact"/>
                    <w:jc w:val="center"/>
                  </w:pPr>
                  <w:r>
                    <w:t xml:space="preserve">0.00 (0.00)</w:t>
                  </w:r>
                </w:p>
              </w:tc>
              <w:tc>
                <w:tcPr/>
                <w:p>
                  <w:pPr>
                    <w:pStyle w:val="Compact"/>
                    <w:jc w:val="center"/>
                  </w:pPr>
                  <w:r>
                    <w:t xml:space="preserve">1.05 (1.15)·</w:t>
                  </w:r>
                </w:p>
              </w:tc>
              <w:tc>
                <w:tcPr/>
                <w:p>
                  <w:pPr>
                    <w:pStyle w:val="Compact"/>
                    <w:jc w:val="center"/>
                  </w:pPr>
                  <w:r>
                    <w:t xml:space="preserve">0.71 (0.68)·</w:t>
                  </w:r>
                </w:p>
              </w:tc>
              <w:tc>
                <w:tcPr/>
                <w:p>
                  <w:pPr>
                    <w:pStyle w:val="Compact"/>
                    <w:jc w:val="center"/>
                  </w:pPr>
                  <w:r>
                    <w:rPr>
                      <w:b/>
                      <w:bCs/>
                    </w:rPr>
                    <w:t xml:space="preserve">3.01 (1.54)**</w:t>
                  </w:r>
                </w:p>
              </w:tc>
              <w:tc>
                <w:tcPr/>
                <w:p>
                  <w:pPr>
                    <w:pStyle w:val="Compact"/>
                    <w:jc w:val="center"/>
                  </w:pPr>
                  <w:r>
                    <w:t xml:space="preserve">0.00 (0.00)</w:t>
                  </w:r>
                </w:p>
              </w:tc>
              <w:tc>
                <w:tcPr/>
                <w:p>
                  <w:pPr>
                    <w:pStyle w:val="Compact"/>
                    <w:jc w:val="center"/>
                  </w:pPr>
                  <w:r>
                    <w:t xml:space="preserve">0.12 (0.27)</w:t>
                  </w:r>
                </w:p>
              </w:tc>
            </w:tr>
            <w:tr>
              <w:tc>
                <w:tcPr/>
                <w:p>
                  <w:pPr>
                    <w:pStyle w:val="Compact"/>
                    <w:jc w:val="center"/>
                  </w:pPr>
                  <w:r>
                    <w:rPr>
                      <w:b/>
                      <w:bCs/>
                    </w:rPr>
                    <w:t xml:space="preserve">LH anomaly PC1</w:t>
                  </w:r>
                </w:p>
              </w:tc>
              <w:tc>
                <w:tcPr/>
                <w:p>
                  <w:pPr>
                    <w:pStyle w:val="Compact"/>
                    <w:jc w:val="center"/>
                  </w:pPr>
                  <w:r>
                    <w:t xml:space="preserve">0.64 (1.06)</w:t>
                  </w:r>
                </w:p>
              </w:tc>
              <w:tc>
                <w:tcPr/>
                <w:p>
                  <w:pPr>
                    <w:pStyle w:val="Compact"/>
                    <w:jc w:val="center"/>
                  </w:pPr>
                  <w:r>
                    <w:rPr>
                      <w:b/>
                      <w:bCs/>
                    </w:rPr>
                    <w:t xml:space="preserve">4.19 (1.72)**</w:t>
                  </w:r>
                </w:p>
              </w:tc>
              <w:tc>
                <w:tcPr/>
                <w:p>
                  <w:pPr>
                    <w:pStyle w:val="Compact"/>
                    <w:jc w:val="center"/>
                  </w:pPr>
                  <w:r>
                    <w:t xml:space="preserve">0.00 (0.00)</w:t>
                  </w:r>
                </w:p>
              </w:tc>
              <w:tc>
                <w:tcPr/>
                <w:p>
                  <w:pPr>
                    <w:pStyle w:val="Compact"/>
                    <w:jc w:val="center"/>
                  </w:pPr>
                  <w:r>
                    <w:rPr>
                      <w:b/>
                      <w:bCs/>
                    </w:rPr>
                    <w:t xml:space="preserve">2.50 (1.50)*</w:t>
                  </w:r>
                </w:p>
              </w:tc>
              <w:tc>
                <w:tcPr/>
                <w:p>
                  <w:pPr>
                    <w:pStyle w:val="Compact"/>
                    <w:jc w:val="center"/>
                  </w:pPr>
                  <w:r>
                    <w:t xml:space="preserve">0.00 (0.00)</w:t>
                  </w:r>
                </w:p>
              </w:tc>
              <w:tc>
                <w:tcPr/>
                <w:p>
                  <w:pPr>
                    <w:pStyle w:val="Compact"/>
                    <w:jc w:val="center"/>
                  </w:pPr>
                  <w:r>
                    <w:rPr>
                      <w:b/>
                      <w:bCs/>
                    </w:rPr>
                    <w:t xml:space="preserve">5.20 (1.84)**</w:t>
                  </w:r>
                </w:p>
              </w:tc>
            </w:tr>
            <w:tr>
              <w:tc>
                <w:tcPr/>
                <w:p>
                  <w:pPr>
                    <w:pStyle w:val="Compact"/>
                    <w:jc w:val="center"/>
                  </w:pPr>
                  <w:r>
                    <w:rPr>
                      <w:b/>
                      <w:bCs/>
                    </w:rPr>
                    <w:t xml:space="preserve">LH anomaly PC2</w:t>
                  </w:r>
                </w:p>
              </w:tc>
              <w:tc>
                <w:tcPr/>
                <w:p>
                  <w:pPr>
                    <w:pStyle w:val="Compact"/>
                    <w:jc w:val="center"/>
                  </w:pPr>
                  <w:r>
                    <w:t xml:space="preserve">0.86 (1.18)</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0.08 (0.20)</w:t>
                  </w:r>
                </w:p>
              </w:tc>
            </w:tr>
            <w:tr>
              <w:tc>
                <w:tcPr/>
                <w:p>
                  <w:pPr>
                    <w:pStyle w:val="Compact"/>
                    <w:jc w:val="center"/>
                  </w:pPr>
                  <w:r>
                    <w:rPr>
                      <w:b/>
                      <w:bCs/>
                    </w:rPr>
                    <w:t xml:space="preserve">LGM anomaly PC1</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1.05 (1.24)·</w:t>
                  </w:r>
                </w:p>
              </w:tc>
              <w:tc>
                <w:tcPr/>
                <w:p>
                  <w:pPr>
                    <w:pStyle w:val="Compact"/>
                    <w:jc w:val="center"/>
                  </w:pPr>
                  <w:r>
                    <w:t xml:space="preserve">0.00 (0.00)</w:t>
                  </w:r>
                </w:p>
              </w:tc>
              <w:tc>
                <w:tcPr/>
                <w:p>
                  <w:pPr>
                    <w:pStyle w:val="Compact"/>
                    <w:jc w:val="center"/>
                  </w:pPr>
                  <w:r>
                    <w:t xml:space="preserve">0.88 (1.07)·</w:t>
                  </w:r>
                </w:p>
              </w:tc>
              <w:tc>
                <w:tcPr/>
                <w:p>
                  <w:pPr>
                    <w:pStyle w:val="Compact"/>
                    <w:jc w:val="center"/>
                  </w:pPr>
                  <w:r>
                    <w:t xml:space="preserve">0.00 (0.00)</w:t>
                  </w:r>
                </w:p>
              </w:tc>
            </w:tr>
            <w:tr>
              <w:tc>
                <w:tcPr/>
                <w:p>
                  <w:pPr>
                    <w:pStyle w:val="Compact"/>
                    <w:jc w:val="center"/>
                  </w:pPr>
                  <w:r>
                    <w:rPr>
                      <w:b/>
                      <w:bCs/>
                    </w:rPr>
                    <w:t xml:space="preserve">LGM anomaly PC2</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0.14 (0.30)</w:t>
                  </w:r>
                </w:p>
              </w:tc>
              <w:tc>
                <w:tcPr/>
                <w:p>
                  <w:pPr>
                    <w:pStyle w:val="Compact"/>
                    <w:jc w:val="center"/>
                  </w:pPr>
                  <w:r>
                    <w:t xml:space="preserve">0.00 (0.00)</w:t>
                  </w:r>
                </w:p>
              </w:tc>
            </w:tr>
          </w:tbl>
        </w:tc>
      </w:tr>
    </w:tbl>
    <w:bookmarkEnd w:id="52"/>
    <w:bookmarkEnd w:id="53"/>
    <w:bookmarkStart w:id="57" w:name="discussion"/>
    <w:p>
      <w:pPr>
        <w:pStyle w:val="Heading2"/>
      </w:pPr>
      <w:r>
        <w:t xml:space="preserve">DISCUSSION</w:t>
      </w:r>
    </w:p>
    <w:p>
      <w:pPr>
        <w:pStyle w:val="FirstParagraph"/>
      </w:pPr>
      <w:r>
        <w:t xml:space="preserve">Our study reveals that the functional trait spaces of palms and mammalian frugivores exhibit distinct geographic and climatic patterns across the Neotropics, and therefore generating FTA. Geographic variation in FTA was driven primarily by differences in palm functional diversity between the Amazon and eastern South America, whereas mammalian functional diversity was more similar across these regions. Under current climate, palm FRic showed a stronger relationship than mammal FRic, with greater palm trait volume in warmer, less seasonal regions. Mammal FDis, however, showed a stronger current-climate relationship than palm FDis, with greater mammal trait clustering in cooler, wetter, and more seasonal regions. When climatic periods were compared, mammal FRic was most strongly related to LGM climate, while mammal FDis was also strongly related to late-Holocene climate. Thus, present-day palm–frugivore trait structure is related to both current climatic conditions and past climate.</w:t>
      </w:r>
    </w:p>
    <w:bookmarkStart w:id="54" w:name="the-influence-of-climate-on-fta"/>
    <w:p>
      <w:pPr>
        <w:pStyle w:val="Heading3"/>
      </w:pPr>
      <w:r>
        <w:t xml:space="preserve">The influence of climate on FTA</w:t>
      </w:r>
    </w:p>
    <w:p>
      <w:pPr>
        <w:pStyle w:val="FirstParagraph"/>
      </w:pPr>
      <w:r>
        <w:t xml:space="preserve">The different responses of palms and mammals may reflect differences in their sensitivity to climate and historical environmental effects that may be still detectable (i.e. historical legacies)</w:t>
      </w:r>
      <w:r>
        <w:t xml:space="preserve"> </w:t>
      </w:r>
      <w:r>
        <w:t xml:space="preserve">(Wiens and Donoghue 2004)</w:t>
      </w:r>
      <w:r>
        <w:t xml:space="preserve">. Palm FRic was related to current climate, whereas palm FDis varied less, suggesting that climate changes the volume of palm trait space more than the spacing of species within it. However, the strong improvement in the palm FDis model after accounting for spatial structure indicates that broad geographic patterns explain variation not captured by climate alone. This may reflect the persistence of similar ecological strategies despite taxonomic turnover, as reported for Neotropical tree species pools</w:t>
      </w:r>
      <w:r>
        <w:t xml:space="preserve"> </w:t>
      </w:r>
      <w:r>
        <w:t xml:space="preserve">(Pinho et al. 2021)</w:t>
      </w:r>
      <w:r>
        <w:t xml:space="preserve">, as well as the effects of biogeographic history and dispersal constraints</w:t>
      </w:r>
      <w:r>
        <w:t xml:space="preserve"> </w:t>
      </w:r>
      <w:r>
        <w:t xml:space="preserve">(Ackerly 2003; Wiens and Donoghue 2004)</w:t>
      </w:r>
      <w:r>
        <w:t xml:space="preserve">. Present-day palm assemblages are shaped by Cenozoic diversification and the long-term persistence of tropical habitats</w:t>
      </w:r>
      <w:r>
        <w:t xml:space="preserve"> </w:t>
      </w:r>
      <w:r>
        <w:t xml:space="preserve">(Kissling et al. 2012)</w:t>
      </w:r>
      <w:r>
        <w:t xml:space="preserve">. Cooling and drying also caused range contractions and regional extinctions, while surviving lineages persisted under different regional conditions</w:t>
      </w:r>
      <w:r>
        <w:t xml:space="preserve"> </w:t>
      </w:r>
      <w:r>
        <w:t xml:space="preserve">(Lim et al. 2022)</w:t>
      </w:r>
      <w:r>
        <w:t xml:space="preserve">. Together, these processes may have changed palm species composition without producing equally strong changes in trait dispersion.</w:t>
      </w:r>
    </w:p>
    <w:p>
      <w:pPr>
        <w:pStyle w:val="BodyText"/>
      </w:pPr>
      <w:r>
        <w:t xml:space="preserve">Mammal FDis responded more strongly to climate than palm FDis and was most strongly related to LGM conditions. Greater mammal trait clustering in cooler and more seasonal regions is consistent with environmental filtering, which may limit the ecological strategies able to persist under demanding conditions. In warmer and more stable regions, greater productivity and resource availability may allow mammals with a wider range of traits to coexist.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The absence of improvement after accounting for spatial structure further indicates that geographic variation in mammal FDis was already well represented by climate. In contrast, the improved spatial model for mammal FRic suggests an additional role for biogeographic history and dispersal constraints</w:t>
      </w:r>
      <w:r>
        <w:t xml:space="preserve"> </w:t>
      </w:r>
      <w:r>
        <w:t xml:space="preserve">(Ackerly 2003; Wiens and Donoghue 2004)</w:t>
      </w:r>
      <w:r>
        <w:t xml:space="preserve">. For instance, past historical processes, such as the Great American Biotic Interchange and late-Quaternary megafaunal losses, may have further shaped regional mammal trait structure</w:t>
      </w:r>
      <w:r>
        <w:t xml:space="preserve"> </w:t>
      </w:r>
      <w:r>
        <w:t xml:space="preserve">(Rowan et al. 2020; Davies and Buckley 2011; Fergnani and Ruggiero 2015)</w:t>
      </w:r>
      <w:r>
        <w:t xml:space="preserve">. These historical effects may persist because mammal functional diversity can accumulate more slowly than species richness</w:t>
      </w:r>
      <w:r>
        <w:t xml:space="preserve"> </w:t>
      </w:r>
      <w:r>
        <w:t xml:space="preserve">(Oliveira et al. 2016)</w:t>
      </w:r>
      <w:r>
        <w:t xml:space="preserve">.</w:t>
      </w:r>
    </w:p>
    <w:p>
      <w:pPr>
        <w:pStyle w:val="BodyText"/>
      </w:pPr>
      <w:r>
        <w:t xml:space="preserve">Importantly, responses within each trophic level were not always reflected in FTA. Climate explained little variation in FRic-FTA, even where palm or mammal FRic responded, possibly because changes in one trophic level were offset by changes in the other. In contrast, climate explained substantial variation in FDis-FTA, with the strongest relationship under late-Holocene climate, indicating that changes in trait spacing altered the relative trait structure of palms and mammals. However, assemblage-level trait spaces do not directly measure ecological matching because trophic functions depend on the traits of interacting partners and their realized interactions</w:t>
      </w:r>
      <w:r>
        <w:t xml:space="preserve"> </w:t>
      </w:r>
      <w:r>
        <w:t xml:space="preserve">(Bello, Schleuning, and Graham 2023)</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Thus, FTA describes the balance between palm and mammal trait spaces, while interaction data are needed to determine whether this balance results from compensation or ecological matching.</w:t>
      </w:r>
    </w:p>
    <w:bookmarkEnd w:id="54"/>
    <w:bookmarkStart w:id="55"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FTA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our FTA framework can generate spatial and temporal hypothesis for where current and historical environmental filtering may influence multitrophic network assembly, and thus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FTA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FTA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FTA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55"/>
    <w:bookmarkStart w:id="56" w:name="X7fb303ec2ba6a79a1cd1823815d711b48d90935"/>
    <w:p>
      <w:pPr>
        <w:pStyle w:val="Heading3"/>
      </w:pPr>
      <w:r>
        <w:t xml:space="preserve">FTA as a multitrophic indicator of ecological processes and their response to global changes</w:t>
      </w:r>
    </w:p>
    <w:p>
      <w:pPr>
        <w:pStyle w:val="FirstParagraph"/>
      </w:pPr>
      <w:r>
        <w:t xml:space="preserve">FRic and FDis capture different components of assemblage structure and may therefore respond to different processes. Historical conditions can influence FDis,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56"/>
    <w:bookmarkEnd w:id="57"/>
    <w:bookmarkStart w:id="58" w:name="conclusion"/>
    <w:p>
      <w:pPr>
        <w:pStyle w:val="Heading2"/>
      </w:pPr>
      <w:r>
        <w:t xml:space="preserve">CONCLUSION</w:t>
      </w:r>
    </w:p>
    <w:p>
      <w:pPr>
        <w:pStyle w:val="FirstParagraph"/>
      </w:pPr>
      <w:r>
        <w:t xml:space="preserve">At the coarse geographic resolution examined here, FTA likely reflects historical climatic and biogeographic processes as much as contemporary environmental filtering.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58"/>
    <w:bookmarkStart w:id="95" w:name="supplementary-material"/>
    <w:p>
      <w:pPr>
        <w:pStyle w:val="Heading2"/>
      </w:pPr>
      <w:r>
        <w:t xml:space="preserve">SUPPLEMENTARY MATERIAL</w:t>
      </w:r>
    </w:p>
    <w:bookmarkStart w:id="62"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3396915"/>
            <wp:effectExtent b="0" l="0" r="0" t="0"/>
            <wp:docPr descr="Figure S1. Climatic trajectories of Neotropical biogeographic provinces from the Last Glacial Maximum to the present. Climatic conditions during the Last Glacial Maximum (LGM; blue asterisks), Late Holocene (gold squares), and contemporary period (red triangles) are represented in the ordination space defined by the first two principal components of contemporary climate. PC1 and PC2 explain 57.3% and 22.1% of contemporary climatic variation, respectively. Symbols connected by grey lines represent the same biogeographic province and illustrate the magnitude and direction of its climatic displacement through time. Greater distances between symbols indicate larger climatic differences among periods." title="" id="60" name="Picture"/>
            <a:graphic>
              <a:graphicData uri="http://schemas.openxmlformats.org/drawingml/2006/picture">
                <pic:pic>
                  <pic:nvPicPr>
                    <pic:cNvPr descr="images/clipboard-1421114467.png" id="61" name="Picture"/>
                    <pic:cNvPicPr>
                      <a:picLocks noChangeArrowheads="1" noChangeAspect="1"/>
                    </pic:cNvPicPr>
                  </pic:nvPicPr>
                  <pic:blipFill>
                    <a:blip r:embed="rId59"/>
                    <a:stretch>
                      <a:fillRect/>
                    </a:stretch>
                  </pic:blipFill>
                  <pic:spPr bwMode="auto">
                    <a:xfrm>
                      <a:off x="0" y="0"/>
                      <a:ext cx="5334000" cy="3396915"/>
                    </a:xfrm>
                    <a:prstGeom prst="rect">
                      <a:avLst/>
                    </a:prstGeom>
                    <a:noFill/>
                    <a:ln w="9525">
                      <a:noFill/>
                      <a:headEnd/>
                      <a:tailEnd/>
                    </a:ln>
                  </pic:spPr>
                </pic:pic>
              </a:graphicData>
            </a:graphic>
          </wp:inline>
        </w:drawing>
      </w:r>
    </w:p>
    <w:p>
      <w:pPr>
        <w:pStyle w:val="ImageCaption"/>
      </w:pPr>
      <w:r>
        <w:rPr>
          <w:b/>
          <w:bCs/>
        </w:rPr>
        <w:t xml:space="preserve">Figure S1. Climatic trajectories of Neotropical biogeographic provinces from the Last Glacial Maximum to the present.</w:t>
      </w:r>
      <w:r>
        <w:t xml:space="preserve"> </w:t>
      </w:r>
      <w:r>
        <w:t xml:space="preserve">Climatic conditions during the Last Glacial Maximum (LGM; blue asterisks), Late Holocene (gold squares), and contemporary period (red triangles) are represented in the ordination space defined by the first two principal components of contemporary climate. PC1 and PC2 explain 57.3% and 22.1% of contemporary climatic variation, respectively. Symbols connected by grey lines represent the same biogeographic province and illustrate the magnitude and direction of its climatic displacement through time. Greater distances between symbols indicate larger climatic differences among periods.</w:t>
      </w:r>
    </w:p>
    <w:bookmarkEnd w:id="62"/>
    <w:bookmarkStart w:id="66"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 title="" id="64" name="Picture"/>
            <a:graphic>
              <a:graphicData uri="http://schemas.openxmlformats.org/drawingml/2006/picture">
                <pic:pic>
                  <pic:nvPicPr>
                    <pic:cNvPr descr="images/clipboard-676160418.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w:t>
      </w:r>
    </w:p>
    <w:bookmarkEnd w:id="66"/>
    <w:bookmarkStart w:id="70"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68" name="Picture"/>
            <a:graphic>
              <a:graphicData uri="http://schemas.openxmlformats.org/drawingml/2006/picture">
                <pic:pic>
                  <pic:nvPicPr>
                    <pic:cNvPr descr="images/clipboard-1614616575.png" id="69" name="Picture"/>
                    <pic:cNvPicPr>
                      <a:picLocks noChangeArrowheads="1" noChangeAspect="1"/>
                    </pic:cNvPicPr>
                  </pic:nvPicPr>
                  <pic:blipFill>
                    <a:blip r:embed="rId67"/>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0"/>
    <w:bookmarkStart w:id="74"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72" name="Picture"/>
            <a:graphic>
              <a:graphicData uri="http://schemas.openxmlformats.org/drawingml/2006/picture">
                <pic:pic>
                  <pic:nvPicPr>
                    <pic:cNvPr descr="images/clipboard-496155942.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74"/>
    <w:bookmarkStart w:id="78" w:name="Xe4cbfaf5f36ebd77ca32a96e3f4e137b703b5cd"/>
    <w:p>
      <w:pPr>
        <w:pStyle w:val="Heading4"/>
      </w:pPr>
      <w:r>
        <w:t xml:space="preserve">Figure S5. Contemporary and past climatic associations with present-day palm and mammal FRic</w:t>
      </w:r>
    </w:p>
    <w:p>
      <w:pPr>
        <w:pStyle w:val="CaptionedFigure"/>
      </w:pPr>
      <w:r>
        <w:drawing>
          <wp:inline>
            <wp:extent cx="5334000" cy="4149884"/>
            <wp:effectExtent b="0" l="0" r="0" t="0"/>
            <wp:docPr descr="Figure S5. Associations between contemporary climate, past climatic anomalies, and functional richness (FRic) across Neotropical biogeographic provinces. Partial effects estimated by generalized additive models are shown for mammal (blue) and palm (orange) FRic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the other climatic predictors in each model. Positive and negative values indicate higher and lower predicted FRic, respectively, relative to the model-average effect. Past climatic anomalies were calculated as past minus contemporary climate." title="" id="76" name="Picture"/>
            <a:graphic>
              <a:graphicData uri="http://schemas.openxmlformats.org/drawingml/2006/picture">
                <pic:pic>
                  <pic:nvPicPr>
                    <pic:cNvPr descr="images/clipboard-2462853185.png" id="77" name="Picture"/>
                    <pic:cNvPicPr>
                      <a:picLocks noChangeArrowheads="1" noChangeAspect="1"/>
                    </pic:cNvPicPr>
                  </pic:nvPicPr>
                  <pic:blipFill>
                    <a:blip r:embed="rId75"/>
                    <a:stretch>
                      <a:fillRect/>
                    </a:stretch>
                  </pic:blipFill>
                  <pic:spPr bwMode="auto">
                    <a:xfrm>
                      <a:off x="0" y="0"/>
                      <a:ext cx="5334000" cy="4149884"/>
                    </a:xfrm>
                    <a:prstGeom prst="rect">
                      <a:avLst/>
                    </a:prstGeom>
                    <a:noFill/>
                    <a:ln w="9525">
                      <a:noFill/>
                      <a:headEnd/>
                      <a:tailEnd/>
                    </a:ln>
                  </pic:spPr>
                </pic:pic>
              </a:graphicData>
            </a:graphic>
          </wp:inline>
        </w:drawing>
      </w:r>
    </w:p>
    <w:p>
      <w:pPr>
        <w:pStyle w:val="ImageCaption"/>
      </w:pPr>
      <w:r>
        <w:t xml:space="preserve">Figure S5. Associations between contemporary climate, past climatic anomalies, and functional richness (FRic) across Neotropical biogeographic provinces. Partial effects estimated by generalized additive models are shown for mammal (blue) and palm (orange) FRic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the other climatic predictors in each model. Positive and negative values indicate higher and lower predicted FRic, respectively, relative to the model-average effect. Past climatic anomalies were calculated as past minus contemporary climate.</w:t>
      </w:r>
    </w:p>
    <w:bookmarkEnd w:id="78"/>
    <w:bookmarkStart w:id="82" w:name="Xfffc6e6e91f92a030cdb7ca31d0bc6ca3a6aed3"/>
    <w:p>
      <w:pPr>
        <w:pStyle w:val="Heading4"/>
      </w:pPr>
      <w:r>
        <w:t xml:space="preserve">Figure S6. Contemporary and past climatic associations with present-day palm and mammal FDis</w:t>
      </w:r>
    </w:p>
    <w:p>
      <w:pPr>
        <w:pStyle w:val="CaptionedFigure"/>
      </w:pPr>
      <w:r>
        <w:drawing>
          <wp:inline>
            <wp:extent cx="5334000" cy="4784575"/>
            <wp:effectExtent b="0" l="0" r="0" t="0"/>
            <wp:docPr descr="Figure S6. Associations between contemporary climate, past climatic anomalies, and functional dispersion (FDis) across Neotropical biogeographic provinces.** Partial effects estimated by generalized additive models are shown for mammal (blue) and palm (orange) FDis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all other climatic predictors in each model. Positive and negative values indicate higher and lower predicted FDis, respectively, relative to the model-average effect. Past climatic anomalies were calculated as past minus contemporary climate." title="" id="80" name="Picture"/>
            <a:graphic>
              <a:graphicData uri="http://schemas.openxmlformats.org/drawingml/2006/picture">
                <pic:pic>
                  <pic:nvPicPr>
                    <pic:cNvPr descr="images/clipboard-3273753962.png" id="81" name="Picture"/>
                    <pic:cNvPicPr>
                      <a:picLocks noChangeArrowheads="1" noChangeAspect="1"/>
                    </pic:cNvPicPr>
                  </pic:nvPicPr>
                  <pic:blipFill>
                    <a:blip r:embed="rId79"/>
                    <a:stretch>
                      <a:fillRect/>
                    </a:stretch>
                  </pic:blipFill>
                  <pic:spPr bwMode="auto">
                    <a:xfrm>
                      <a:off x="0" y="0"/>
                      <a:ext cx="5334000" cy="4784575"/>
                    </a:xfrm>
                    <a:prstGeom prst="rect">
                      <a:avLst/>
                    </a:prstGeom>
                    <a:noFill/>
                    <a:ln w="9525">
                      <a:noFill/>
                      <a:headEnd/>
                      <a:tailEnd/>
                    </a:ln>
                  </pic:spPr>
                </pic:pic>
              </a:graphicData>
            </a:graphic>
          </wp:inline>
        </w:drawing>
      </w:r>
    </w:p>
    <w:p>
      <w:pPr>
        <w:pStyle w:val="ImageCaption"/>
      </w:pPr>
      <w:r>
        <w:t xml:space="preserve">Figure S6. Associations between contemporary climate, past climatic anomalies, and functional dispersion (FDis) across Neotropical biogeographic provinces.** Partial effects estimated by generalized additive models are shown for mammal (blue) and palm (orange) FDis along contemporary-climate PC1 (A) and PC2 (B), Late Holocene–present anomaly PC1 (C) and PC2 (D), and Last Glacial Maximum (LGM)–present anomaly PC1 (E) and PC2 (F). Lines represent estimated smooth effects, and shaded bands denote approximate 95% confidence intervals. Effects are centred on zero and estimated conditionally on all other climatic predictors in each model. Positive and negative values indicate higher and lower predicted FDis, respectively, relative to the model-average effect. Past climatic anomalies were calculated as past minus contemporary climate.</w:t>
      </w:r>
    </w:p>
    <w:bookmarkEnd w:id="82"/>
    <w:bookmarkStart w:id="86" w:name="Xbab6d74428f47ad83de833078177d5777eaed30"/>
    <w:p>
      <w:pPr>
        <w:pStyle w:val="Heading4"/>
      </w:pPr>
      <w:r>
        <w:t xml:space="preserve">Figure S7. Diagnostic plots for the generalized additive models of FRic and FDis.</w:t>
      </w:r>
    </w:p>
    <w:p>
      <w:pPr>
        <w:pStyle w:val="CaptionedFigure"/>
      </w:pPr>
      <w:r>
        <w:drawing>
          <wp:inline>
            <wp:extent cx="5334000" cy="4577482"/>
            <wp:effectExtent b="0" l="0" r="0" t="0"/>
            <wp:docPr descr="Figure S7. Basis-dimension diagnostics for the generalized additive models. The k-index is shown for each climatic smooth in the palm, mammal, and functional trophic asymmetry (A) models of functional richness (FRic) and functional dispersion (FDis). Climatic predictors comprise PC1 and PC2 of contemporary climate (`cur`), Late Holocene–present anomalies (`lh_anom`), and Last Glacial Maximum–present anomalies (`lgm_anom`). The dashed horizontal line marks the reference value of one. Green points indicate that the basis dimension was adequate according to the `k.check` diagnostic (p &gt; 0.05)." title="" id="84" name="Picture"/>
            <a:graphic>
              <a:graphicData uri="http://schemas.openxmlformats.org/drawingml/2006/picture">
                <pic:pic>
                  <pic:nvPicPr>
                    <pic:cNvPr descr="images/clipboard-3728963362.png" id="85" name="Picture"/>
                    <pic:cNvPicPr>
                      <a:picLocks noChangeArrowheads="1" noChangeAspect="1"/>
                    </pic:cNvPicPr>
                  </pic:nvPicPr>
                  <pic:blipFill>
                    <a:blip r:embed="rId83"/>
                    <a:stretch>
                      <a:fillRect/>
                    </a:stretch>
                  </pic:blipFill>
                  <pic:spPr bwMode="auto">
                    <a:xfrm>
                      <a:off x="0" y="0"/>
                      <a:ext cx="5334000" cy="4577482"/>
                    </a:xfrm>
                    <a:prstGeom prst="rect">
                      <a:avLst/>
                    </a:prstGeom>
                    <a:noFill/>
                    <a:ln w="9525">
                      <a:noFill/>
                      <a:headEnd/>
                      <a:tailEnd/>
                    </a:ln>
                  </pic:spPr>
                </pic:pic>
              </a:graphicData>
            </a:graphic>
          </wp:inline>
        </w:drawing>
      </w:r>
    </w:p>
    <w:p>
      <w:pPr>
        <w:pStyle w:val="ImageCaption"/>
      </w:pPr>
      <w:r>
        <w:t xml:space="preserve">Figure S7. Basis-dimension diagnostics for the generalized additive models. The k-index is shown for each climatic smooth in the palm, mammal, and functional trophic asymmetry (A) models of functional richness (FRic) and functional dispersion (FDis). Climatic predictors comprise PC1 and PC2 of contemporary climate (`cur`), Late Holocene–present anomalies (`lh_anom`), and Last Glacial Maximum–present anomalies (`lgm_anom`). The dashed horizontal line marks the reference value of one. Green points indicate that the basis dimension was adequate according to the `k.check` diagnostic (p &gt; 0.05).</w:t>
      </w:r>
    </w:p>
    <w:bookmarkEnd w:id="86"/>
    <w:bookmarkStart w:id="90" w:name="X59aedd649d5c55e8dccfd5a92721004d63c492b"/>
    <w:p>
      <w:pPr>
        <w:pStyle w:val="Heading4"/>
      </w:pPr>
      <w:r>
        <w:t xml:space="preserve">Figure S8. Diagnostic plots for the generalized additive model for FTA</w:t>
      </w:r>
    </w:p>
    <w:p>
      <w:pPr>
        <w:pStyle w:val="CaptionedFigure"/>
      </w:pPr>
      <w:r>
        <w:drawing>
          <wp:inline>
            <wp:extent cx="5334000" cy="2823237"/>
            <wp:effectExtent b="0" l="0" r="0" t="0"/>
            <wp:docPr descr="Figure X. Basis-dimension diagnostics for the functional trophic asymmetry models. The k-index is shown for each climatic smooth in the generalized additive models of functional trophic asymmetry based on functional dispersion (FTA–FDis) and functional richness (FTA–FRic). Predictors comprise PC1 and PC2 of contemporary climate (`cur`), Late Holocene–present anomalies (`lh_anom`), and Last Glacial Maximum–present anomalies (`lgm_anom`). The dashed horizontal line marks the reference (k)-index of one. Green points indicate adequate basis dimensions according to the `k.check` diagnostic (p &gt; 0.05)." title="" id="88" name="Picture"/>
            <a:graphic>
              <a:graphicData uri="http://schemas.openxmlformats.org/drawingml/2006/picture">
                <pic:pic>
                  <pic:nvPicPr>
                    <pic:cNvPr descr="images/clipboard-1076794788.png" id="89" name="Picture"/>
                    <pic:cNvPicPr>
                      <a:picLocks noChangeArrowheads="1" noChangeAspect="1"/>
                    </pic:cNvPicPr>
                  </pic:nvPicPr>
                  <pic:blipFill>
                    <a:blip r:embed="rId87"/>
                    <a:stretch>
                      <a:fillRect/>
                    </a:stretch>
                  </pic:blipFill>
                  <pic:spPr bwMode="auto">
                    <a:xfrm>
                      <a:off x="0" y="0"/>
                      <a:ext cx="5334000" cy="2823237"/>
                    </a:xfrm>
                    <a:prstGeom prst="rect">
                      <a:avLst/>
                    </a:prstGeom>
                    <a:noFill/>
                    <a:ln w="9525">
                      <a:noFill/>
                      <a:headEnd/>
                      <a:tailEnd/>
                    </a:ln>
                  </pic:spPr>
                </pic:pic>
              </a:graphicData>
            </a:graphic>
          </wp:inline>
        </w:drawing>
      </w:r>
    </w:p>
    <w:p>
      <w:pPr>
        <w:pStyle w:val="ImageCaption"/>
      </w:pPr>
      <w:r>
        <w:t xml:space="preserve">Figure X. Basis-dimension diagnostics for the functional trophic asymmetry models. The k-index is shown for each climatic smooth in the generalized additive models of functional trophic asymmetry based on functional dispersion (FTA–FDis) and functional richness (FTA–FRic). Predictors comprise PC1 and PC2 of contemporary climate (`cur`), Late Holocene–present anomalies (`lh_anom`), and Last Glacial Maximum–present anomalies (`lgm_anom`). The dashed horizontal line marks the reference (k)-index of one. Green points indicate adequate basis dimensions according to the `k.check` diagnostic (p &gt; 0.05).</w:t>
      </w:r>
    </w:p>
    <w:bookmarkEnd w:id="90"/>
    <w:bookmarkStart w:id="94" w:name="X4f4d890c6453139f199c050e3ae258f8aeb704b"/>
    <w:p>
      <w:pPr>
        <w:pStyle w:val="Heading4"/>
      </w:pPr>
      <w:r>
        <w:t xml:space="preserve">Figure S9: Improvement in model fit after accounting for spatial structure.</w:t>
      </w:r>
    </w:p>
    <w:p>
      <w:pPr>
        <w:pStyle w:val="CaptionedFigure"/>
      </w:pPr>
      <w:r>
        <w:drawing>
          <wp:inline>
            <wp:extent cx="5334000" cy="2823237"/>
            <wp:effectExtent b="0" l="0" r="0" t="0"/>
            <wp:docPr descr="Figure S9. Improvement in model support after accounting for spatial structure. Bars show the difference in Akaike information criterion between climate-only generalized additive models and models that additionally included a two-dimensional smooth of province-centroid longitude and latitude. Positive values indicate stronger support for the climate-plus-space model. Colours distinguish palm, mammal, and FTA responses." title="" id="92" name="Picture"/>
            <a:graphic>
              <a:graphicData uri="http://schemas.openxmlformats.org/drawingml/2006/picture">
                <pic:pic>
                  <pic:nvPicPr>
                    <pic:cNvPr descr="images/clipboard-485580890.png" id="93" name="Picture"/>
                    <pic:cNvPicPr>
                      <a:picLocks noChangeArrowheads="1" noChangeAspect="1"/>
                    </pic:cNvPicPr>
                  </pic:nvPicPr>
                  <pic:blipFill>
                    <a:blip r:embed="rId91"/>
                    <a:stretch>
                      <a:fillRect/>
                    </a:stretch>
                  </pic:blipFill>
                  <pic:spPr bwMode="auto">
                    <a:xfrm>
                      <a:off x="0" y="0"/>
                      <a:ext cx="5334000" cy="2823237"/>
                    </a:xfrm>
                    <a:prstGeom prst="rect">
                      <a:avLst/>
                    </a:prstGeom>
                    <a:noFill/>
                    <a:ln w="9525">
                      <a:noFill/>
                      <a:headEnd/>
                      <a:tailEnd/>
                    </a:ln>
                  </pic:spPr>
                </pic:pic>
              </a:graphicData>
            </a:graphic>
          </wp:inline>
        </w:drawing>
      </w:r>
    </w:p>
    <w:p>
      <w:pPr>
        <w:pStyle w:val="ImageCaption"/>
      </w:pPr>
      <w:r>
        <w:t xml:space="preserve">Figure S9. Improvement in model support after accounting for spatial structure. Bars show the difference in Akaike information criterion between climate-only generalized additive models and models that additionally included a two-dimensional smooth of province-centroid longitude and latitude. Positive values indicate stronger support for the climate-plus-space model. Colours distinguish palm, mammal, and FTA responses.</w:t>
      </w:r>
    </w:p>
    <w:bookmarkEnd w:id="94"/>
    <w:bookmarkEnd w:id="95"/>
    <w:bookmarkStart w:id="224" w:name="references"/>
    <w:p>
      <w:pPr>
        <w:pStyle w:val="Heading2"/>
      </w:pPr>
      <w:r>
        <w:t xml:space="preserve">REFERENCES</w:t>
      </w:r>
    </w:p>
    <w:bookmarkStart w:id="223" w:name="refs"/>
    <w:bookmarkStart w:id="96"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96"/>
    <w:bookmarkStart w:id="97"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97"/>
    <w:bookmarkStart w:id="98"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98"/>
    <w:bookmarkStart w:id="99"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99"/>
    <w:bookmarkStart w:id="100"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00"/>
    <w:bookmarkStart w:id="101"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01"/>
    <w:bookmarkStart w:id="102"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02"/>
    <w:bookmarkStart w:id="103" w:name="ref-Banville2024"/>
    <w:p>
      <w:pPr>
        <w:pStyle w:val="Bibliography"/>
      </w:pPr>
      <w:r>
        <w:t xml:space="preserve">Banville, F., Blyth Strydom T., G., others, and T and Poisot. 2024.</w:t>
      </w:r>
      <w:r>
        <w:t xml:space="preserve"> </w:t>
      </w:r>
      <w:r>
        <w:t xml:space="preserve">“Deciphering Probabilistic Species Interaction Networks.”</w:t>
      </w:r>
    </w:p>
    <w:bookmarkEnd w:id="103"/>
    <w:bookmarkStart w:id="104"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04"/>
    <w:bookmarkStart w:id="105"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05"/>
    <w:bookmarkStart w:id="106"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06"/>
    <w:bookmarkStart w:id="107"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07"/>
    <w:bookmarkStart w:id="108"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08"/>
    <w:bookmarkStart w:id="109"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09"/>
    <w:bookmarkStart w:id="110"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10"/>
    <w:bookmarkStart w:id="111"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11"/>
    <w:bookmarkStart w:id="112"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12"/>
    <w:bookmarkStart w:id="113"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3"/>
    <w:bookmarkStart w:id="115"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14">
        <w:r>
          <w:rPr>
            <w:rStyle w:val="Hyperlink"/>
          </w:rPr>
          <w:t xml:space="preserve">https://doi.org/10.1038/sdata.2018.254</w:t>
        </w:r>
      </w:hyperlink>
      <w:r>
        <w:t xml:space="preserve">.</w:t>
      </w:r>
    </w:p>
    <w:bookmarkEnd w:id="115"/>
    <w:bookmarkStart w:id="117"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16">
        <w:r>
          <w:rPr>
            <w:rStyle w:val="Hyperlink"/>
          </w:rPr>
          <w:t xml:space="preserve">https://doi.org/10.1111/ele.13640</w:t>
        </w:r>
      </w:hyperlink>
      <w:r>
        <w:t xml:space="preserve">.</w:t>
      </w:r>
    </w:p>
    <w:bookmarkEnd w:id="117"/>
    <w:bookmarkStart w:id="118"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18"/>
    <w:bookmarkStart w:id="119"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19"/>
    <w:bookmarkStart w:id="120"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0"/>
    <w:bookmarkStart w:id="122"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1">
        <w:r>
          <w:rPr>
            <w:rStyle w:val="Hyperlink"/>
          </w:rPr>
          <w:t xml:space="preserve">https://doi.org/10.1111/geb.13667</w:t>
        </w:r>
      </w:hyperlink>
      <w:r>
        <w:t xml:space="preserve">.</w:t>
      </w:r>
    </w:p>
    <w:bookmarkEnd w:id="122"/>
    <w:bookmarkStart w:id="124" w:name="ref-DaviesBuckley2011"/>
    <w:p>
      <w:pPr>
        <w:pStyle w:val="Bibliography"/>
      </w:pPr>
      <w:r>
        <w:t xml:space="preserve">Davies, T. Jonathan, and Lauren B. Buckley. 2011.</w:t>
      </w:r>
      <w:r>
        <w:t xml:space="preserve"> </w:t>
      </w:r>
      <w:r>
        <w:t xml:space="preserve">“Phylogenetic Diversity as a Window into the Evolutionary and Biogeographic Histories of Present-Day Richness Gradients for Mammals.”</w:t>
      </w:r>
      <w:r>
        <w:t xml:space="preserve"> </w:t>
      </w:r>
      <w:r>
        <w:rPr>
          <w:i/>
          <w:iCs/>
        </w:rPr>
        <w:t xml:space="preserve">Philosophical Transactions of the Royal Society B: Biological Sciences</w:t>
      </w:r>
      <w:r>
        <w:t xml:space="preserve"> </w:t>
      </w:r>
      <w:r>
        <w:t xml:space="preserve">366 (1576): 2414–25.</w:t>
      </w:r>
      <w:r>
        <w:t xml:space="preserve"> </w:t>
      </w:r>
      <w:hyperlink r:id="rId123">
        <w:r>
          <w:rPr>
            <w:rStyle w:val="Hyperlink"/>
          </w:rPr>
          <w:t xml:space="preserve">https://doi.org/10.1098/rstb.2011.0058</w:t>
        </w:r>
      </w:hyperlink>
      <w:r>
        <w:t xml:space="preserve">.</w:t>
      </w:r>
    </w:p>
    <w:bookmarkEnd w:id="124"/>
    <w:bookmarkStart w:id="125" w:name="ref-de2021towards"/>
    <w:p>
      <w:pPr>
        <w:pStyle w:val="Bibliography"/>
      </w:pPr>
      <w:r>
        <w:t xml:space="preserve">De Bello, Francesco, Zoltán Botta-Dukát, Jan Lepš, and Pavel Fibich. 2021.</w:t>
      </w:r>
      <w:r>
        <w:t xml:space="preserve"> </w:t>
      </w:r>
      <w:r>
        <w:t xml:space="preserve">“Towards a More Balanced Combination of Multiple Traits When Computing Functional Differences Between Species.”</w:t>
      </w:r>
      <w:r>
        <w:t xml:space="preserve"> </w:t>
      </w:r>
      <w:r>
        <w:rPr>
          <w:i/>
          <w:iCs/>
        </w:rPr>
        <w:t xml:space="preserve">Methods in Ecology and Evolution</w:t>
      </w:r>
      <w:r>
        <w:t xml:space="preserve"> </w:t>
      </w:r>
      <w:r>
        <w:t xml:space="preserve">12 (3): 443–48.</w:t>
      </w:r>
    </w:p>
    <w:bookmarkEnd w:id="125"/>
    <w:bookmarkStart w:id="127"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26">
        <w:r>
          <w:rPr>
            <w:rStyle w:val="Hyperlink"/>
          </w:rPr>
          <w:t xml:space="preserve">https://doi.org/10.1098/rspb.2015.2444</w:t>
        </w:r>
      </w:hyperlink>
      <w:r>
        <w:t xml:space="preserve">.</w:t>
      </w:r>
    </w:p>
    <w:bookmarkEnd w:id="127"/>
    <w:bookmarkStart w:id="128"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28"/>
    <w:bookmarkStart w:id="129"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29"/>
    <w:bookmarkStart w:id="130"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30"/>
    <w:bookmarkStart w:id="131"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31"/>
    <w:bookmarkStart w:id="132"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2"/>
    <w:bookmarkStart w:id="133"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3"/>
    <w:bookmarkStart w:id="135" w:name="ref-FergnaniRuggiero2015"/>
    <w:p>
      <w:pPr>
        <w:pStyle w:val="Bibliography"/>
      </w:pPr>
      <w:r>
        <w:t xml:space="preserve">Fergnani, Paula Nilda, and Adriana Ruggiero. 2015.</w:t>
      </w:r>
      <w:r>
        <w:t xml:space="preserve"> </w:t>
      </w:r>
      <w:r>
        <w:t xml:space="preserve">“Ecological Diversity in South American Mammals: Their Geographical Distribution Shows Variable Associations with Phylogenetic Diversity and Does Not Follow the Latitudinal Richness Gradient.”</w:t>
      </w:r>
      <w:r>
        <w:t xml:space="preserve"> </w:t>
      </w:r>
      <w:r>
        <w:rPr>
          <w:i/>
          <w:iCs/>
        </w:rPr>
        <w:t xml:space="preserve">PLOS ONE</w:t>
      </w:r>
      <w:r>
        <w:t xml:space="preserve"> </w:t>
      </w:r>
      <w:r>
        <w:t xml:space="preserve">10 (6): e0128264.</w:t>
      </w:r>
      <w:r>
        <w:t xml:space="preserve"> </w:t>
      </w:r>
      <w:hyperlink r:id="rId134">
        <w:r>
          <w:rPr>
            <w:rStyle w:val="Hyperlink"/>
          </w:rPr>
          <w:t xml:space="preserve">https://doi.org/10.1371/journal.pone.0128264</w:t>
        </w:r>
      </w:hyperlink>
      <w:r>
        <w:t xml:space="preserve">.</w:t>
      </w:r>
    </w:p>
    <w:bookmarkEnd w:id="135"/>
    <w:bookmarkStart w:id="136"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36"/>
    <w:bookmarkStart w:id="137"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37"/>
    <w:bookmarkStart w:id="138"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38"/>
    <w:bookmarkStart w:id="139"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39"/>
    <w:bookmarkStart w:id="140"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40"/>
    <w:bookmarkStart w:id="142"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41">
        <w:r>
          <w:rPr>
            <w:rStyle w:val="Hyperlink"/>
          </w:rPr>
          <w:t xml:space="preserve">https://doi.org/10.1111/1365-2664.14309</w:t>
        </w:r>
      </w:hyperlink>
      <w:r>
        <w:t xml:space="preserve">.</w:t>
      </w:r>
    </w:p>
    <w:bookmarkEnd w:id="142"/>
    <w:bookmarkStart w:id="144"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3">
        <w:r>
          <w:rPr>
            <w:rStyle w:val="Hyperlink"/>
          </w:rPr>
          <w:t xml:space="preserve">https://doi.org/10.1002/eap.2731</w:t>
        </w:r>
      </w:hyperlink>
      <w:r>
        <w:t xml:space="preserve">.</w:t>
      </w:r>
    </w:p>
    <w:bookmarkEnd w:id="144"/>
    <w:bookmarkStart w:id="145"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45"/>
    <w:bookmarkStart w:id="146"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46"/>
    <w:bookmarkStart w:id="147"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47"/>
    <w:bookmarkStart w:id="148"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48"/>
    <w:bookmarkStart w:id="149"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49"/>
    <w:bookmarkStart w:id="151"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50">
        <w:r>
          <w:rPr>
            <w:rStyle w:val="Hyperlink"/>
          </w:rPr>
          <w:t xml:space="preserve">https://doi.org/10.1126/science.1130880</w:t>
        </w:r>
      </w:hyperlink>
      <w:r>
        <w:t xml:space="preserve">.</w:t>
      </w:r>
    </w:p>
    <w:bookmarkEnd w:id="151"/>
    <w:bookmarkStart w:id="152"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52"/>
    <w:bookmarkStart w:id="154"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3">
        <w:r>
          <w:rPr>
            <w:rStyle w:val="Hyperlink"/>
          </w:rPr>
          <w:t xml:space="preserve">https://doi.org/10.1038/s41597-019-0174-2</w:t>
        </w:r>
      </w:hyperlink>
      <w:r>
        <w:t xml:space="preserve">.</w:t>
      </w:r>
    </w:p>
    <w:bookmarkEnd w:id="154"/>
    <w:bookmarkStart w:id="155"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55"/>
    <w:bookmarkStart w:id="156"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56"/>
    <w:bookmarkStart w:id="157"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57"/>
    <w:bookmarkStart w:id="158"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58"/>
    <w:bookmarkStart w:id="159"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59"/>
    <w:bookmarkStart w:id="160"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0"/>
    <w:bookmarkStart w:id="161"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1"/>
    <w:bookmarkStart w:id="162" w:name="ref-Legendre2018"/>
    <w:p>
      <w:pPr>
        <w:pStyle w:val="Bibliography"/>
      </w:pPr>
      <w:r>
        <w:t xml:space="preserve">Legendre, P., and D. Borcard. 2018.</w:t>
      </w:r>
      <w:r>
        <w:t xml:space="preserve"> </w:t>
      </w:r>
      <w:r>
        <w:t xml:space="preserve">“Box–Cox–Chord Transformations for Community Composition Data Prior to Beta Diversity Analysis.”</w:t>
      </w:r>
      <w:r>
        <w:t xml:space="preserve"> </w:t>
      </w:r>
      <w:r>
        <w:rPr>
          <w:i/>
          <w:iCs/>
        </w:rPr>
        <w:t xml:space="preserve">Ecography</w:t>
      </w:r>
      <w:r>
        <w:t xml:space="preserve"> </w:t>
      </w:r>
      <w:r>
        <w:t xml:space="preserve">41: 1820–24.</w:t>
      </w:r>
    </w:p>
    <w:bookmarkEnd w:id="162"/>
    <w:bookmarkStart w:id="164"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3">
        <w:r>
          <w:rPr>
            <w:rStyle w:val="Hyperlink"/>
          </w:rPr>
          <w:t xml:space="preserve">https://doi.org/10.1111/geb.13436</w:t>
        </w:r>
      </w:hyperlink>
      <w:r>
        <w:t xml:space="preserve">.</w:t>
      </w:r>
    </w:p>
    <w:bookmarkEnd w:id="164"/>
    <w:bookmarkStart w:id="165"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5"/>
    <w:bookmarkStart w:id="166"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66"/>
    <w:bookmarkStart w:id="167"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67"/>
    <w:bookmarkStart w:id="168"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68"/>
    <w:bookmarkStart w:id="169"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69"/>
    <w:bookmarkStart w:id="170"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0"/>
    <w:bookmarkStart w:id="171"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71"/>
    <w:bookmarkStart w:id="172"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2"/>
    <w:bookmarkStart w:id="174"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3">
        <w:r>
          <w:rPr>
            <w:rStyle w:val="Hyperlink"/>
          </w:rPr>
          <w:t xml:space="preserve">https://doi.org/10.1038/s41467-019-12995-9</w:t>
        </w:r>
      </w:hyperlink>
      <w:r>
        <w:t xml:space="preserve">.</w:t>
      </w:r>
    </w:p>
    <w:bookmarkEnd w:id="174"/>
    <w:bookmarkStart w:id="175"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5"/>
    <w:bookmarkStart w:id="176"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76"/>
    <w:bookmarkStart w:id="177"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77"/>
    <w:bookmarkStart w:id="178"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78"/>
    <w:bookmarkStart w:id="179"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79"/>
    <w:bookmarkStart w:id="181"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80">
        <w:r>
          <w:rPr>
            <w:rStyle w:val="Hyperlink"/>
          </w:rPr>
          <w:t xml:space="preserve">https://doi.org/10.1111/gcb.16334</w:t>
        </w:r>
      </w:hyperlink>
      <w:r>
        <w:t xml:space="preserve">.</w:t>
      </w:r>
    </w:p>
    <w:bookmarkEnd w:id="181"/>
    <w:bookmarkStart w:id="183" w:name="ref-Oliveira2016"/>
    <w:p>
      <w:pPr>
        <w:pStyle w:val="Bibliography"/>
      </w:pPr>
      <w:r>
        <w:t xml:space="preserve">Oliveira, Brunno F., Antonin Machac, Gabriel C. Costa, Thomas M. Brooks, Ana D. Davidson, Carlo Rondinini, and Catherine H. Graham. 2016.</w:t>
      </w:r>
      <w:r>
        <w:t xml:space="preserve"> </w:t>
      </w:r>
      <w:r>
        <w:t xml:space="preserve">“Species and Functional Diversity Accumulate Differently in Mammals.”</w:t>
      </w:r>
      <w:r>
        <w:t xml:space="preserve"> </w:t>
      </w:r>
      <w:r>
        <w:rPr>
          <w:i/>
          <w:iCs/>
        </w:rPr>
        <w:t xml:space="preserve">Global Ecology and Biogeography</w:t>
      </w:r>
      <w:r>
        <w:t xml:space="preserve"> </w:t>
      </w:r>
      <w:r>
        <w:t xml:space="preserve">25 (9): 1119–30.</w:t>
      </w:r>
      <w:r>
        <w:t xml:space="preserve"> </w:t>
      </w:r>
      <w:hyperlink r:id="rId182">
        <w:r>
          <w:rPr>
            <w:rStyle w:val="Hyperlink"/>
          </w:rPr>
          <w:t xml:space="preserve">https://doi.org/10.1111/geb.12471</w:t>
        </w:r>
      </w:hyperlink>
      <w:r>
        <w:t xml:space="preserve">.</w:t>
      </w:r>
    </w:p>
    <w:bookmarkEnd w:id="183"/>
    <w:bookmarkStart w:id="184"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4"/>
    <w:bookmarkStart w:id="185"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5"/>
    <w:bookmarkStart w:id="186"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86"/>
    <w:bookmarkStart w:id="187"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87"/>
    <w:bookmarkStart w:id="189" w:name="ref-Pinho2021"/>
    <w:p>
      <w:pPr>
        <w:pStyle w:val="Bibliography"/>
      </w:pPr>
      <w:r>
        <w:t xml:space="preserve">Pinho, Bruno X., Marcelo Tabarelli, Cajo J. F. ter Braak, S. Joseph Wright, Víctor Arroyo-Rodríguez, Maíra Benchimol, Bettina M. J. Engelbrecht, et al. 2021.</w:t>
      </w:r>
      <w:r>
        <w:t xml:space="preserve"> </w:t>
      </w:r>
      <w:r>
        <w:t xml:space="preserve">“Functional Biogeography of Neotropical Moist Forests: Trait–Climate Relationships and Assembly Patterns of Tree Communities.”</w:t>
      </w:r>
      <w:r>
        <w:t xml:space="preserve"> </w:t>
      </w:r>
      <w:r>
        <w:rPr>
          <w:i/>
          <w:iCs/>
        </w:rPr>
        <w:t xml:space="preserve">Global Ecology and Biogeography</w:t>
      </w:r>
      <w:r>
        <w:t xml:space="preserve"> </w:t>
      </w:r>
      <w:r>
        <w:t xml:space="preserve">30 (7): 1430–46.</w:t>
      </w:r>
      <w:r>
        <w:t xml:space="preserve"> </w:t>
      </w:r>
      <w:hyperlink r:id="rId188">
        <w:r>
          <w:rPr>
            <w:rStyle w:val="Hyperlink"/>
          </w:rPr>
          <w:t xml:space="preserve">https://doi.org/10.1111/geb.13309</w:t>
        </w:r>
      </w:hyperlink>
      <w:r>
        <w:t xml:space="preserve">.</w:t>
      </w:r>
    </w:p>
    <w:bookmarkEnd w:id="189"/>
    <w:bookmarkStart w:id="190"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90"/>
    <w:bookmarkStart w:id="191"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91"/>
    <w:bookmarkStart w:id="193"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92">
        <w:r>
          <w:rPr>
            <w:rStyle w:val="Hyperlink"/>
          </w:rPr>
          <w:t xml:space="preserve">https://doi.org/10.1126/science.235.4785.167</w:t>
        </w:r>
      </w:hyperlink>
      <w:r>
        <w:t xml:space="preserve">.</w:t>
      </w:r>
    </w:p>
    <w:bookmarkEnd w:id="193"/>
    <w:bookmarkStart w:id="194"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4"/>
    <w:bookmarkStart w:id="196"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5">
        <w:r>
          <w:rPr>
            <w:rStyle w:val="Hyperlink"/>
          </w:rPr>
          <w:t xml:space="preserve">https://doi.org/10.1073/pnas.1910489116</w:t>
        </w:r>
      </w:hyperlink>
      <w:r>
        <w:t xml:space="preserve">.</w:t>
      </w:r>
    </w:p>
    <w:bookmarkEnd w:id="196"/>
    <w:bookmarkStart w:id="197"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197"/>
    <w:bookmarkStart w:id="198"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198"/>
    <w:bookmarkStart w:id="199"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199"/>
    <w:bookmarkStart w:id="201"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200">
        <w:r>
          <w:rPr>
            <w:rStyle w:val="Hyperlink"/>
          </w:rPr>
          <w:t xml:space="preserve">https://doi.org/10.1111/ecog.02118</w:t>
        </w:r>
      </w:hyperlink>
      <w:r>
        <w:t xml:space="preserve">.</w:t>
      </w:r>
    </w:p>
    <w:bookmarkEnd w:id="201"/>
    <w:bookmarkStart w:id="202"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202"/>
    <w:bookmarkStart w:id="203"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3"/>
    <w:bookmarkStart w:id="204"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4"/>
    <w:bookmarkStart w:id="206"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6"/>
    <w:bookmarkStart w:id="207"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7"/>
    <w:bookmarkStart w:id="208"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08"/>
    <w:bookmarkStart w:id="209"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09"/>
    <w:bookmarkStart w:id="211"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10">
        <w:r>
          <w:rPr>
            <w:rStyle w:val="Hyperlink"/>
          </w:rPr>
          <w:t xml:space="preserve">https://doi.org/10.1016/j.biocon.2018.05.022</w:t>
        </w:r>
      </w:hyperlink>
      <w:r>
        <w:t xml:space="preserve">.</w:t>
      </w:r>
    </w:p>
    <w:bookmarkEnd w:id="211"/>
    <w:bookmarkStart w:id="212"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12"/>
    <w:bookmarkStart w:id="213"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3"/>
    <w:bookmarkStart w:id="214"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4"/>
    <w:bookmarkStart w:id="216"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5">
        <w:r>
          <w:rPr>
            <w:rStyle w:val="Hyperlink"/>
          </w:rPr>
          <w:t xml:space="preserve">https://doi.org/10.1016/j.tree.2004.09.011</w:t>
        </w:r>
      </w:hyperlink>
      <w:r>
        <w:t xml:space="preserve">.</w:t>
      </w:r>
    </w:p>
    <w:bookmarkEnd w:id="216"/>
    <w:bookmarkStart w:id="218"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17">
        <w:r>
          <w:rPr>
            <w:rStyle w:val="Hyperlink"/>
          </w:rPr>
          <w:t xml:space="preserve">https://doi.org/10.1890/13-1917.1</w:t>
        </w:r>
      </w:hyperlink>
      <w:r>
        <w:t xml:space="preserve">.</w:t>
      </w:r>
    </w:p>
    <w:bookmarkEnd w:id="218"/>
    <w:bookmarkStart w:id="220"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19">
        <w:r>
          <w:rPr>
            <w:rStyle w:val="Hyperlink"/>
          </w:rPr>
          <w:t xml:space="preserve">https://doi.org/10.1201/9781315370279</w:t>
        </w:r>
      </w:hyperlink>
      <w:r>
        <w:t xml:space="preserve">.</w:t>
      </w:r>
    </w:p>
    <w:bookmarkEnd w:id="220"/>
    <w:bookmarkStart w:id="221"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21"/>
    <w:bookmarkStart w:id="222"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22"/>
    <w:bookmarkEnd w:id="223"/>
    <w:bookmarkEnd w:id="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87" Target="media/rId87.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45" Target="media/rId45.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71" Target="media/rId71.png" /><Relationship Type="http://schemas.openxmlformats.org/officeDocument/2006/relationships/image" Id="rId63" Target="media/rId63.png" /><Relationship Type="http://schemas.openxmlformats.org/officeDocument/2006/relationships/image" Id="rId40" Target="media/rId40.png" /><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2026-09-12T18:09:36Z</dcterms:created>
  <dcterms:modified xsi:type="dcterms:W3CDTF">2026-09-12T18:09:36Z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2026-09-12</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