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AnniversaryAchievements v2.3.43</w:t>
      </w:r>
    </w:p>
    <w:p>
      <w:pPr>
        <w:widowControl/>
      </w:pPr>
      <w:r>
        <w:rPr>
          <w:b/>
          <w:color w:val="1F4E79"/>
          <w:sz w:val="24"/>
        </w:rPr>
        <w:t>Redundante Quest- und Fertigkeitskriterien entfernt; Fischsammlung erneut verifiziert</w:t>
      </w:r>
    </w:p>
    <w:p>
      <w:pPr>
        <w:widowControl/>
      </w:pPr>
      <w:r>
        <w:rPr>
          <w:i/>
          <w:sz w:val="18"/>
        </w:rPr>
        <w:t>Technischer Changelog mit Datenänderungen, stabilen Kriterien-IDs, Laufzeitwirkung und Regressionstests</w:t>
      </w:r>
    </w:p>
    <w:p>
      <w:pPr>
        <w:widowControl/>
        <w:spacing w:after="160"/>
      </w:pPr>
      <w:r>
        <w:t>Kernaussage: Sieben tatsächlich redundante Kriterien wurden aus den effektiven Classic-/TBC-Katalogen entfernt. Drei zusätzliche, nur zur TBC-ID-Umschreibung vorhandene Patcheinträge entfielen ebenfalls. ID 446 war im Ausgangsstand bereits korrekt: Item 8365 und 8366 sind jeweils genau einmal vorhanden.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8"/>
        <w:gridCol w:w="5098"/>
      </w:tblGrid>
      <w:tr>
        <w:trPr>
          <w:cantSplit/>
        </w:trPr>
        <w:tc>
          <w:tcPr>
            <w:tcW w:type="dxa" w:w="29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Addon-Version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v2.3.43</w:t>
            </w:r>
          </w:p>
        </w:tc>
      </w:tr>
      <w:tr>
        <w:trPr>
          <w:cantSplit/>
        </w:trPr>
        <w:tc>
          <w:tcPr>
            <w:tcW w:type="dxa" w:w="29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Public API</w:t>
            </w:r>
          </w:p>
        </w:tc>
        <w:tc>
          <w:tcPr>
            <w:tcW w:type="dxa" w:w="6520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1.4.0 (unverändert)</w:t>
            </w:r>
          </w:p>
        </w:tc>
      </w:tr>
      <w:tr>
        <w:trPr>
          <w:cantSplit/>
        </w:trPr>
        <w:tc>
          <w:tcPr>
            <w:tcW w:type="dxa" w:w="29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Clients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Classic Era 11508 / TBC Anniversary 20506</w:t>
            </w:r>
          </w:p>
        </w:tc>
      </w:tr>
      <w:tr>
        <w:trPr>
          <w:cantSplit/>
        </w:trPr>
        <w:tc>
          <w:tcPr>
            <w:tcW w:type="dxa" w:w="29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Betroffene IDs</w:t>
            </w:r>
          </w:p>
        </w:tc>
        <w:tc>
          <w:tcPr>
            <w:tcW w:type="dxa" w:w="6520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90, 424, 428, 432, 434, 435, 436; Verifikation 446</w:t>
            </w:r>
          </w:p>
        </w:tc>
      </w:tr>
      <w:tr>
        <w:trPr>
          <w:cantSplit/>
        </w:trPr>
        <w:tc>
          <w:tcPr>
            <w:tcW w:type="dxa" w:w="29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SavedVariables-Schema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unverändert</w:t>
            </w:r>
          </w:p>
        </w:tc>
      </w:tr>
      <w:tr>
        <w:trPr>
          <w:cantSplit/>
        </w:trPr>
        <w:tc>
          <w:tcPr>
            <w:tcW w:type="dxa" w:w="29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Katalogzähler</w:t>
            </w:r>
          </w:p>
        </w:tc>
        <w:tc>
          <w:tcPr>
            <w:tcW w:type="dxa" w:w="6520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unverändert; entfernte Kriterien-IDs werden nicht wiederverwendet</w:t>
            </w:r>
          </w:p>
        </w:tc>
      </w:tr>
    </w:tbl>
    <w:p>
      <w:pPr>
        <w:pStyle w:val="Heading1"/>
        <w:keepNext/>
      </w:pPr>
      <w:r>
        <w:t>1. Ausgangslage und Umfang</w:t>
      </w:r>
    </w:p>
    <w:p>
      <w:pPr>
        <w:widowControl/>
      </w:pPr>
      <w:r>
        <w:t>Die betroffenen Definitionen enthielten funktional identische Kriterien mit unterschiedlichen stabilen Kriterien-IDs. Solche Duplikate ändern den fachlichen Abschluss nicht, erzeugen aber unnötige Kriterienobjekte, Registry-Einträge und Triggerauswertungen.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9"/>
        <w:gridCol w:w="2549"/>
        <w:gridCol w:w="2549"/>
        <w:gridCol w:w="2549"/>
      </w:tblGrid>
      <w:tr>
        <w:trPr>
          <w:cantSplit/>
        </w:trPr>
        <w:tc>
          <w:tcPr>
            <w:tcW w:type="dxa" w:w="6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36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Flavor</w:t>
            </w:r>
          </w:p>
        </w:tc>
        <w:tc>
          <w:tcPr>
            <w:tcW w:type="dxa" w:w="345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Redundanz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Maßnahme</w:t>
            </w:r>
          </w:p>
        </w:tc>
      </w:tr>
      <w:tr>
        <w:trPr>
          <w:cantSplit/>
        </w:trPr>
        <w:tc>
          <w:tcPr>
            <w:tcW w:type="dxa" w:w="680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90</w:t>
            </w:r>
          </w:p>
        </w:tc>
        <w:tc>
          <w:tcPr>
            <w:tcW w:type="dxa" w:w="136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TBC</w:t>
            </w:r>
          </w:p>
        </w:tc>
        <w:tc>
          <w:tcPr>
            <w:tcW w:type="dxa" w:w="345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Quest 10985 zweimal im selben OR-Kriterium</w:t>
            </w:r>
          </w:p>
        </w:tc>
        <w:tc>
          <w:tcPr>
            <w:tcW w:type="dxa" w:w="3969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zweites COMPLETE_QUEST-Unterkriterium entfernt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424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Classic/TBC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Erste Hilfe 300 zweimal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zweites Fertigkeitskriterium entfernt</w:t>
            </w:r>
          </w:p>
        </w:tc>
      </w:tr>
      <w:tr>
        <w:trPr>
          <w:cantSplit/>
        </w:trPr>
        <w:tc>
          <w:tcPr>
            <w:tcW w:type="dxa" w:w="680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428</w:t>
            </w:r>
          </w:p>
        </w:tc>
        <w:tc>
          <w:tcPr>
            <w:tcW w:type="dxa" w:w="136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Classic/TBC</w:t>
            </w:r>
          </w:p>
        </w:tc>
        <w:tc>
          <w:tcPr>
            <w:tcW w:type="dxa" w:w="345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Angeln 300 zweimal</w:t>
            </w:r>
          </w:p>
        </w:tc>
        <w:tc>
          <w:tcPr>
            <w:tcW w:type="dxa" w:w="3969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zweites Fertigkeitskriterium entfernt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432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Classic/TBC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Kochen 300 zweimal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zweites Fertigkeitskriterium entfernt</w:t>
            </w:r>
          </w:p>
        </w:tc>
      </w:tr>
      <w:tr>
        <w:trPr>
          <w:cantSplit/>
        </w:trPr>
        <w:tc>
          <w:tcPr>
            <w:tcW w:type="dxa" w:w="680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434</w:t>
            </w:r>
          </w:p>
        </w:tc>
        <w:tc>
          <w:tcPr>
            <w:tcW w:type="dxa" w:w="136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TBC</w:t>
            </w:r>
          </w:p>
        </w:tc>
        <w:tc>
          <w:tcPr>
            <w:tcW w:type="dxa" w:w="345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Erste Hilfe 375 zweimal</w:t>
            </w:r>
          </w:p>
        </w:tc>
        <w:tc>
          <w:tcPr>
            <w:tcW w:type="dxa" w:w="3969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zweites Fertigkeitskriterium entfernt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435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TBC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Angeln 375 zweimal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zweites Fertigkeitskriterium entfernt</w:t>
            </w:r>
          </w:p>
        </w:tc>
      </w:tr>
      <w:tr>
        <w:trPr>
          <w:cantSplit/>
        </w:trPr>
        <w:tc>
          <w:tcPr>
            <w:tcW w:type="dxa" w:w="680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436</w:t>
            </w:r>
          </w:p>
        </w:tc>
        <w:tc>
          <w:tcPr>
            <w:tcW w:type="dxa" w:w="136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TBC</w:t>
            </w:r>
          </w:p>
        </w:tc>
        <w:tc>
          <w:tcPr>
            <w:tcW w:type="dxa" w:w="345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Kochen 375 zweimal</w:t>
            </w:r>
          </w:p>
        </w:tc>
        <w:tc>
          <w:tcPr>
            <w:tcW w:type="dxa" w:w="3969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zweites Fertigkeitskriterium entfernt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446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Classic/TBC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gemeldete doppelte Item-ID 8365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bereits seit v2.3.41 korrigiert; 8365/8366 je einmal bestätigt</w:t>
            </w:r>
          </w:p>
        </w:tc>
      </w:tr>
    </w:tbl>
    <w:p>
      <w:pPr>
        <w:pStyle w:val="Heading1"/>
        <w:keepNext/>
        <w:pageBreakBefore/>
      </w:pPr>
      <w:r>
        <w:t>2. Erfolg 90 – Questduplikat im OR-Kriterium</w:t>
      </w:r>
    </w:p>
    <w:p>
      <w:pPr>
        <w:widowControl/>
      </w:pPr>
      <w:r>
        <w:t>Der äußere OR-Knoten mit stabiler Kriterien-ID 295 bleibt erhalten. Dadurch ändert sich die sichtbare und gespeicherte Hauptkriterien-ID nicht. Entfernt wurde ausschließlich das zweite identische COMPLETE_QUEST-Unterkriterium mit ID 294; Unterkriterium 293 bleibt aktiv.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96"/>
      </w:tblGrid>
      <w:tr>
        <w:trPr>
          <w:cantSplit/>
        </w:trPr>
        <w:tc>
          <w:tcPr>
            <w:tcW w:type="dxa" w:w="10196"/>
            <w:shd w:fill="7F60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Vorher</w:t>
            </w:r>
          </w:p>
        </w:tc>
      </w:tr>
      <w:tr>
        <w:trPr>
          <w:cantSplit/>
        </w:trPr>
        <w:tc>
          <w:tcPr>
            <w:tcW w:type="dxa" w:w="1019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["data"] = {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[1] = { ["data"] = { [1] = 10985 }, ["id"] = 293, ["type"] = 3 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[2] = { ["data"] = { [1] = 10985 }, ["id"] = 294, ["type"] = 3 },</w:t>
            </w:r>
            <w:r>
              <w:br/>
            </w:r>
            <w:r>
              <w:rPr>
                <w:rFonts w:ascii="Consolas" w:hAnsi="Consolas"/>
                <w:sz w:val="15"/>
              </w:rPr>
              <w:t>},</w:t>
            </w:r>
            <w:r>
              <w:br/>
            </w:r>
            <w:r>
              <w:rPr>
                <w:rFonts w:ascii="Consolas" w:hAnsi="Consolas"/>
                <w:sz w:val="15"/>
              </w:rPr>
              <w:t>["id"] = 295,</w:t>
            </w:r>
            <w:r>
              <w:br/>
            </w:r>
            <w:r>
              <w:rPr>
                <w:rFonts w:ascii="Consolas" w:hAnsi="Consolas"/>
                <w:sz w:val="15"/>
              </w:rPr>
              <w:t>["type"] = 39,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96"/>
      </w:tblGrid>
      <w:tr>
        <w:trPr>
          <w:cantSplit/>
        </w:trPr>
        <w:tc>
          <w:tcPr>
            <w:tcW w:type="dxa" w:w="101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Nachher</w:t>
            </w:r>
          </w:p>
        </w:tc>
      </w:tr>
      <w:tr>
        <w:trPr>
          <w:cantSplit/>
        </w:trPr>
        <w:tc>
          <w:tcPr>
            <w:tcW w:type="dxa" w:w="1019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["data"] = {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[1] = { ["data"] = { [1] = 10985 }, ["id"] = 293, ["type"] = 3 },</w:t>
            </w:r>
            <w:r>
              <w:br/>
            </w:r>
            <w:r>
              <w:rPr>
                <w:rFonts w:ascii="Consolas" w:hAnsi="Consolas"/>
                <w:sz w:val="15"/>
              </w:rPr>
              <w:t>},</w:t>
            </w:r>
            <w:r>
              <w:br/>
            </w:r>
            <w:r>
              <w:rPr>
                <w:rFonts w:ascii="Consolas" w:hAnsi="Consolas"/>
                <w:sz w:val="15"/>
              </w:rPr>
              <w:t>["id"] = 295,</w:t>
            </w:r>
            <w:r>
              <w:br/>
            </w:r>
            <w:r>
              <w:rPr>
                <w:rFonts w:ascii="Consolas" w:hAnsi="Consolas"/>
                <w:sz w:val="15"/>
              </w:rPr>
              <w:t>["type"] = 39,</w:t>
            </w:r>
          </w:p>
        </w:tc>
      </w:tr>
    </w:tbl>
    <w:p>
      <w:pPr>
        <w:pStyle w:val="ListBullet"/>
        <w:keepLines/>
        <w:widowControl/>
      </w:pPr>
      <w:r>
        <w:t>Quest 10985 wird weiterhin über denselben fachlichen Trigger ausgewertet.</w:t>
      </w:r>
    </w:p>
    <w:p>
      <w:pPr>
        <w:pStyle w:val="ListBullet"/>
        <w:keepLines/>
        <w:widowControl/>
      </w:pPr>
      <w:r>
        <w:t>Der OR-Container bleibt kompatibel und enthält nun genau einen eindeutigen Untereintrag.</w:t>
      </w:r>
    </w:p>
    <w:p>
      <w:pPr>
        <w:pStyle w:val="ListBullet"/>
        <w:keepLines/>
        <w:widowControl/>
      </w:pPr>
      <w:r>
        <w:t>Die entfernte Unterkriterien-ID 294 wird nicht neu vergeben.</w:t>
      </w:r>
    </w:p>
    <w:p>
      <w:pPr>
        <w:pStyle w:val="Heading1"/>
        <w:keepNext/>
      </w:pPr>
      <w:r>
        <w:t>3. Fertigkeitserfolge 424, 428 und 432</w:t>
      </w:r>
    </w:p>
    <w:p>
      <w:pPr>
        <w:widowControl/>
      </w:pPr>
      <w:r>
        <w:t>Die gemeinsamen Classic-Definitionen enthielten je zwei identische Fertigkeitskriterien für Rang 300. Da TBC diese Definitionen als Basis übernimmt, wurden gleichzeitig die korrespondierenden zweiten TBC-ID-Patches entfernt. Der erste Kriterienplatz und seine jeweilige effektive ID bleiben bestehen.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9"/>
        <w:gridCol w:w="2549"/>
        <w:gridCol w:w="2549"/>
        <w:gridCol w:w="2549"/>
      </w:tblGrid>
      <w:tr>
        <w:trPr>
          <w:cantSplit/>
        </w:trPr>
        <w:tc>
          <w:tcPr>
            <w:tcW w:type="dxa" w:w="6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Fertigkeit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Classic: behalten / entfernt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TBC effektiv: behalten / entfernt</w:t>
            </w:r>
          </w:p>
        </w:tc>
      </w:tr>
      <w:tr>
        <w:trPr>
          <w:cantSplit/>
        </w:trPr>
        <w:tc>
          <w:tcPr>
            <w:tcW w:type="dxa" w:w="680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424</w:t>
            </w:r>
          </w:p>
        </w:tc>
        <w:tc>
          <w:tcPr>
            <w:tcW w:type="dxa" w:w="226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Erste Hilfe 300</w:t>
            </w:r>
          </w:p>
        </w:tc>
        <w:tc>
          <w:tcPr>
            <w:tcW w:type="dxa" w:w="328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1622 / 1623</w:t>
            </w:r>
          </w:p>
        </w:tc>
        <w:tc>
          <w:tcPr>
            <w:tcW w:type="dxa" w:w="328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1633 / 1634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428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Angeln 300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1627 / 1628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1638 / 1639</w:t>
            </w:r>
          </w:p>
        </w:tc>
      </w:tr>
      <w:tr>
        <w:trPr>
          <w:cantSplit/>
        </w:trPr>
        <w:tc>
          <w:tcPr>
            <w:tcW w:type="dxa" w:w="680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432</w:t>
            </w:r>
          </w:p>
        </w:tc>
        <w:tc>
          <w:tcPr>
            <w:tcW w:type="dxa" w:w="226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Kochen 300</w:t>
            </w:r>
          </w:p>
        </w:tc>
        <w:tc>
          <w:tcPr>
            <w:tcW w:type="dxa" w:w="328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1632 / 1633</w:t>
            </w:r>
          </w:p>
        </w:tc>
        <w:tc>
          <w:tcPr>
            <w:tcW w:type="dxa" w:w="328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1643 / 1644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96"/>
      </w:tblGrid>
      <w:tr>
        <w:trPr>
          <w:cantSplit/>
        </w:trPr>
        <w:tc>
          <w:tcPr>
            <w:tcW w:type="dxa" w:w="101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Struktur nach der Bereinigung</w:t>
            </w:r>
          </w:p>
        </w:tc>
      </w:tr>
      <w:tr>
        <w:trPr>
          <w:cantSplit/>
        </w:trPr>
        <w:tc>
          <w:tcPr>
            <w:tcW w:type="dxa" w:w="10196"/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["criteria"] = {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[1] = {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["data"] = { [1] = &lt;Fertigkeit&gt;, [2] = 300 },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["id"] = &lt;stabile verbleibende Kriterien-ID&gt;,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    ["type"] = 12,</w:t>
            </w:r>
            <w:r>
              <w:br/>
            </w:r>
            <w:r>
              <w:rPr>
                <w:rFonts w:ascii="Consolas" w:hAnsi="Consolas"/>
                <w:sz w:val="15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sz w:val="15"/>
              </w:rPr>
              <w:t>},</w:t>
            </w:r>
          </w:p>
        </w:tc>
      </w:tr>
    </w:tbl>
    <w:p>
      <w:pPr>
        <w:pStyle w:val="Heading1"/>
        <w:keepNext/>
      </w:pPr>
      <w:r>
        <w:t>4. TBC-Erfolge 434, 435 und 436</w:t>
      </w:r>
    </w:p>
    <w:p>
      <w:pPr>
        <w:widowControl/>
      </w:pPr>
      <w:r>
        <w:t>Die TBC-exklusiven Meistererfolge für Rang 375 wurden analog auf jeweils ein eindeutiges Kriterium reduziert.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9"/>
        <w:gridCol w:w="2549"/>
        <w:gridCol w:w="2549"/>
        <w:gridCol w:w="2549"/>
      </w:tblGrid>
      <w:tr>
        <w:trPr>
          <w:cantSplit/>
        </w:trPr>
        <w:tc>
          <w:tcPr>
            <w:tcW w:type="dxa" w:w="85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Fertigkeit</w:t>
            </w:r>
          </w:p>
        </w:tc>
        <w:tc>
          <w:tcPr>
            <w:tcW w:type="dxa" w:w="249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Behaltene ID</w:t>
            </w:r>
          </w:p>
        </w:tc>
        <w:tc>
          <w:tcPr>
            <w:tcW w:type="dxa" w:w="272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Entfernte Duplikat-ID</w:t>
            </w:r>
          </w:p>
        </w:tc>
      </w:tr>
      <w:tr>
        <w:trPr>
          <w:cantSplit/>
        </w:trPr>
        <w:tc>
          <w:tcPr>
            <w:tcW w:type="dxa" w:w="850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434</w:t>
            </w:r>
          </w:p>
        </w:tc>
        <w:tc>
          <w:tcPr>
            <w:tcW w:type="dxa" w:w="3402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Erste Hilfe 375</w:t>
            </w:r>
          </w:p>
        </w:tc>
        <w:tc>
          <w:tcPr>
            <w:tcW w:type="dxa" w:w="2494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1648</w:t>
            </w:r>
          </w:p>
        </w:tc>
        <w:tc>
          <w:tcPr>
            <w:tcW w:type="dxa" w:w="272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1649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435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Angeln 375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1650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1651</w:t>
            </w:r>
          </w:p>
        </w:tc>
      </w:tr>
      <w:tr>
        <w:trPr>
          <w:cantSplit/>
        </w:trPr>
        <w:tc>
          <w:tcPr>
            <w:tcW w:type="dxa" w:w="850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436</w:t>
            </w:r>
          </w:p>
        </w:tc>
        <w:tc>
          <w:tcPr>
            <w:tcW w:type="dxa" w:w="3402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Kochen 375</w:t>
            </w:r>
          </w:p>
        </w:tc>
        <w:tc>
          <w:tcPr>
            <w:tcW w:type="dxa" w:w="2494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1652</w:t>
            </w:r>
          </w:p>
        </w:tc>
        <w:tc>
          <w:tcPr>
            <w:tcW w:type="dxa" w:w="272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1653</w:t>
            </w:r>
          </w:p>
        </w:tc>
      </w:tr>
    </w:tbl>
    <w:p>
      <w:pPr>
        <w:pStyle w:val="ListBullet"/>
        <w:keepLines/>
        <w:widowControl/>
      </w:pPr>
      <w:r>
        <w:t>Abschlussbedingung und benötigter Fertigkeitsrang bleiben unverändert.</w:t>
      </w:r>
    </w:p>
    <w:p>
      <w:pPr>
        <w:pStyle w:val="ListBullet"/>
        <w:keepLines/>
        <w:widowControl/>
      </w:pPr>
      <w:r>
        <w:t>Vorgänger-/Nachfolgerketten 424→434, 428→435 und 432→436 bleiben unverändert.</w:t>
      </w:r>
    </w:p>
    <w:p>
      <w:pPr>
        <w:pStyle w:val="ListBullet"/>
        <w:keepLines/>
        <w:widowControl/>
      </w:pPr>
      <w:r>
        <w:t>Bestehende abgeschlossene Erfolge bleiben abgeschlossen; veraltete SavedVariables-Einträge entfernter Kriterien werden nicht mehr referenziert.</w:t>
      </w:r>
    </w:p>
    <w:p>
      <w:pPr>
        <w:pStyle w:val="Heading1"/>
        <w:keepNext/>
        <w:pageBreakBefore/>
      </w:pPr>
      <w:r>
        <w:t>5. Erfolg 446 – Fischsammlung</w:t>
      </w:r>
    </w:p>
    <w:p>
      <w:pPr>
        <w:widowControl/>
      </w:pPr>
      <w:r>
        <w:t>Im bereitgestellten v2.3.42-Ausgangsstand war die in v2.3.41 vorgenommene Korrektur bereits enthalten. Eine weitere Änderung an der Definition war deshalb weder nötig noch zulässig.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8"/>
        <w:gridCol w:w="5098"/>
      </w:tblGrid>
      <w:tr>
        <w:trPr>
          <w:cantSplit/>
        </w:trPr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Prüfung</w:t>
            </w:r>
          </w:p>
        </w:tc>
        <w:tc>
          <w:tcPr>
            <w:tcW w:type="dxa" w:w="606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Ergebnis</w:t>
            </w:r>
          </w:p>
        </w:tc>
      </w:tr>
      <w:tr>
        <w:trPr>
          <w:cantSplit/>
        </w:trPr>
        <w:tc>
          <w:tcPr>
            <w:tcW w:type="dxa" w:w="3402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Anzahl der Fischkriterien</w:t>
            </w:r>
          </w:p>
        </w:tc>
        <w:tc>
          <w:tcPr>
            <w:tcW w:type="dxa" w:w="6066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28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Anzahl unterschiedlicher Item-IDs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28</w:t>
            </w:r>
          </w:p>
        </w:tc>
      </w:tr>
      <w:tr>
        <w:trPr>
          <w:cantSplit/>
        </w:trPr>
        <w:tc>
          <w:tcPr>
            <w:tcW w:type="dxa" w:w="3402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Item 8365</w:t>
            </w:r>
          </w:p>
        </w:tc>
        <w:tc>
          <w:tcPr>
            <w:tcW w:type="dxa" w:w="6066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genau einmal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Item 8366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genau einmal</w:t>
            </w:r>
          </w:p>
        </w:tc>
      </w:tr>
      <w:tr>
        <w:trPr>
          <w:cantSplit/>
        </w:trPr>
        <w:tc>
          <w:tcPr>
            <w:tcW w:type="dxa" w:w="3402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TBC-Delta</w:t>
            </w:r>
          </w:p>
        </w:tc>
        <w:tc>
          <w:tcPr>
            <w:tcW w:type="dxa" w:w="6066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ändert nur stabile Kriterien-IDs; keine Itemdaten</w:t>
            </w:r>
          </w:p>
        </w:tc>
      </w:tr>
    </w:tbl>
    <w:p>
      <w:pPr>
        <w:pStyle w:val="Heading1"/>
        <w:keepNext/>
      </w:pPr>
      <w:r>
        <w:t>6. Laufzeit- und Performancewirkung</w:t>
      </w:r>
    </w:p>
    <w:p>
      <w:pPr>
        <w:pStyle w:val="ListBullet"/>
        <w:keepLines/>
        <w:widowControl/>
      </w:pPr>
      <w:r>
        <w:t>Classic erzeugt für die drei Rang-300-Erfolge insgesamt drei Kriterienobjekte weniger.</w:t>
      </w:r>
    </w:p>
    <w:p>
      <w:pPr>
        <w:pStyle w:val="ListBullet"/>
        <w:keepLines/>
        <w:widowControl/>
      </w:pPr>
      <w:r>
        <w:t>TBC erzeugt sieben Kriterienobjekte weniger: ein Quest-Unterkriterium, drei gemeinsame Rang-300-Kriterien und drei Rang-375-Kriterien.</w:t>
      </w:r>
    </w:p>
    <w:p>
      <w:pPr>
        <w:pStyle w:val="ListBullet"/>
        <w:keepLines/>
        <w:widowControl/>
      </w:pPr>
      <w:r>
        <w:t>Fertigkeitsupdates treffen pro betroffenem Erfolg nur noch ein Registry-Ziel statt zwei identische Ziele.</w:t>
      </w:r>
    </w:p>
    <w:p>
      <w:pPr>
        <w:pStyle w:val="ListBullet"/>
        <w:keepLines/>
        <w:widowControl/>
      </w:pPr>
      <w:r>
        <w:t>Quest 10985 wird innerhalb des OR-Knotens nur noch einmal geprüft.</w:t>
      </w:r>
    </w:p>
    <w:p>
      <w:pPr>
        <w:pStyle w:val="ListBullet"/>
        <w:keepLines/>
        <w:widowControl/>
      </w:pPr>
      <w:r>
        <w:t>Es wurden keine neuen Events, Timer, Scans oder SavedVariables-Migrationen eingeführt.</w:t>
      </w:r>
    </w:p>
    <w:p>
      <w:pPr>
        <w:pStyle w:val="Heading1"/>
        <w:keepNext/>
      </w:pPr>
      <w:r>
        <w:t>7. Kompatibilität und stabile IDs</w:t>
      </w:r>
    </w:p>
    <w:p>
      <w:pPr>
        <w:widowControl/>
      </w:pPr>
      <w:r>
        <w:t>Die globalen Kriterienzähler bleiben bewusst unverändert. Sie stellen Obergrenzen für stabile IDs dar und sind keine Anzahl aktiver Kriterien. Entfernte IDs werden nicht kompaktiert und nicht wiederverwendet; dadurch entstehen keine Kollisionen mit bestehenden SavedVariables oder Erweiterungsregistrierungen.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8"/>
        <w:gridCol w:w="5098"/>
      </w:tblGrid>
      <w:tr>
        <w:trPr>
          <w:cantSplit/>
        </w:trPr>
        <w:tc>
          <w:tcPr>
            <w:tcW w:type="dxa" w:w="396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Bereich</w:t>
            </w:r>
          </w:p>
        </w:tc>
        <w:tc>
          <w:tcPr>
            <w:tcW w:type="dxa" w:w="549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Entfernte IDs</w:t>
            </w:r>
          </w:p>
        </w:tc>
      </w:tr>
      <w:tr>
        <w:trPr>
          <w:cantSplit/>
        </w:trPr>
        <w:tc>
          <w:tcPr>
            <w:tcW w:type="dxa" w:w="3969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ID 90 Unterkriterium</w:t>
            </w:r>
          </w:p>
        </w:tc>
        <w:tc>
          <w:tcPr>
            <w:tcW w:type="dxa" w:w="5499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294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Classic-Duplikate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1623, 1628, 1633</w:t>
            </w:r>
          </w:p>
        </w:tc>
      </w:tr>
      <w:tr>
        <w:trPr>
          <w:cantSplit/>
        </w:trPr>
        <w:tc>
          <w:tcPr>
            <w:tcW w:type="dxa" w:w="3969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TBC-Patches der gemeinsamen Erfolge</w:t>
            </w:r>
          </w:p>
        </w:tc>
        <w:tc>
          <w:tcPr>
            <w:tcW w:type="dxa" w:w="5499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1634, 1639, 1644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TBC-exklusive Duplikate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1649, 1651, 1653</w:t>
            </w:r>
          </w:p>
        </w:tc>
      </w:tr>
    </w:tbl>
    <w:p>
      <w:pPr>
        <w:pStyle w:val="Heading1"/>
        <w:keepNext/>
      </w:pPr>
      <w:r>
        <w:t>8. Geänderte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8"/>
        <w:gridCol w:w="5098"/>
      </w:tblGrid>
      <w:tr>
        <w:trPr>
          <w:cantSplit/>
        </w:trPr>
        <w:tc>
          <w:tcPr>
            <w:tcW w:type="dxa" w:w="32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Datei</w:t>
            </w:r>
          </w:p>
        </w:tc>
        <w:tc>
          <w:tcPr>
            <w:tcW w:type="dxa" w:w="61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Änderung</w:t>
            </w:r>
          </w:p>
        </w:tc>
      </w:tr>
      <w:tr>
        <w:trPr>
          <w:cantSplit/>
        </w:trPr>
        <w:tc>
          <w:tcPr>
            <w:tcW w:type="dxa" w:w="328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achievements/Achievements_Classic.lua</w:t>
            </w:r>
          </w:p>
        </w:tc>
        <w:tc>
          <w:tcPr>
            <w:tcW w:type="dxa" w:w="6180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Doppelte Rang-300-Kriterien aus 424, 428 und 432 entfernt; Versionskommentar aktualisiert.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achievements/Achievements_TBC.lua</w:t>
            </w:r>
          </w:p>
        </w:tc>
        <w:tc>
          <w:tcPr>
            <w:tcW w:type="dxa" w:w="61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Doppeltes Quest-Unterkriterium aus 90, doppelte Rang-375-Kriterien aus 434–436 und überflüssige zweite ID-Patches für 424/428/432 entfernt.</w:t>
            </w:r>
          </w:p>
        </w:tc>
      </w:tr>
      <w:tr>
        <w:trPr>
          <w:cantSplit/>
        </w:trPr>
        <w:tc>
          <w:tcPr>
            <w:tcW w:type="dxa" w:w="328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AnniversaryAchievements.toc</w:t>
            </w:r>
          </w:p>
        </w:tc>
        <w:tc>
          <w:tcPr>
            <w:tcW w:type="dxa" w:w="6180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Version auf v2.3.43 erhöht.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api/PublicAPI.lua</w:t>
            </w:r>
          </w:p>
        </w:tc>
        <w:tc>
          <w:tcPr>
            <w:tcW w:type="dxa" w:w="61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Fallback der Addon-Version auf v2.3.43 erhöht; Public API selbst bleibt 1.4.0.</w:t>
            </w:r>
          </w:p>
        </w:tc>
      </w:tr>
      <w:tr>
        <w:trPr>
          <w:cantSplit/>
        </w:trPr>
        <w:tc>
          <w:tcPr>
            <w:tcW w:type="dxa" w:w="328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util/Settings.lua</w:t>
            </w:r>
          </w:p>
        </w:tc>
        <w:tc>
          <w:tcPr>
            <w:tcW w:type="dxa" w:w="6180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Angezeigte Hauptaddon-Version auf v2.3.43 erhöht.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CHANGELOG.txt</w:t>
            </w:r>
          </w:p>
        </w:tc>
        <w:tc>
          <w:tcPr>
            <w:tcW w:type="dxa" w:w="61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Kurzvermerk für v2.3.43 ergänzt.</w:t>
            </w:r>
          </w:p>
        </w:tc>
      </w:tr>
      <w:tr>
        <w:trPr>
          <w:cantSplit/>
        </w:trPr>
        <w:tc>
          <w:tcPr>
            <w:tcW w:type="dxa" w:w="328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CHANGELOGS/CHANGELOG_v2.3.43.docx</w:t>
            </w:r>
          </w:p>
        </w:tc>
        <w:tc>
          <w:tcPr>
            <w:tcW w:type="dxa" w:w="6180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Dieser technische Changelog.</w:t>
            </w:r>
          </w:p>
        </w:tc>
      </w:tr>
    </w:tbl>
    <w:p>
      <w:pPr>
        <w:pStyle w:val="Heading1"/>
        <w:keepNext/>
      </w:pPr>
      <w:r>
        <w:t>9. Regressionstests und Freigabestatus</w:t>
      </w:r>
    </w:p>
    <w:p>
      <w:pPr>
        <w:pStyle w:val="ListBullet"/>
        <w:keepLines/>
        <w:widowControl/>
      </w:pPr>
      <w:r>
        <w:t>Syntaxprüfung aller 86 Lua-Dateien mit texluac -p bestanden.</w:t>
      </w:r>
    </w:p>
    <w:p>
      <w:pPr>
        <w:pStyle w:val="ListBullet"/>
        <w:keepLines/>
        <w:widowControl/>
      </w:pPr>
      <w:r>
        <w:t>ID 90 enthält genau einen Quest-10985-Unterknoten; die Fertigkeitserfolge 424, 428, 432 und 434–436 jeweils genau ein unverändertes Rang-Kriterium.</w:t>
      </w:r>
    </w:p>
    <w:p>
      <w:pPr>
        <w:pStyle w:val="ListBullet"/>
        <w:keepLines/>
        <w:widowControl/>
      </w:pPr>
      <w:r>
        <w:t>Die TBC-Patches 424/428/432 enthalten nur die verbleibende ID; ID 446 besitzt 28 unterschiedliche Item-IDs einschließlich 8365 und 8366 je einmal.</w:t>
      </w:r>
    </w:p>
    <w:p>
      <w:pPr>
        <w:pStyle w:val="ListBullet"/>
        <w:keepLines/>
        <w:widowControl/>
      </w:pPr>
      <w:r>
        <w:t>Versionskonsistenz, ZIP-Struktur, Archivintegrität und DOCX-Rendering werden vor Paketfreigabe geprüft.</w:t>
      </w:r>
    </w:p>
    <w:p>
      <w:pPr>
        <w:widowControl/>
      </w:pPr>
      <w:r>
        <w:rPr>
          <w:b/>
        </w:rPr>
        <w:t>Freigabestatus: v2.3.43 ist für die In-Game-Prüfung bereit. Die fachlichen Abschlussbedingungen bleiben unverändert; entfernt wurden ausschließlich identische, unnötige Kriterien und ihre TBC-ID-Patches.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1022" w:bottom="907" w:left="102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v2.3.43 · 15. Juli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AnniversaryAchievements · Technischer Changelog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6B410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AnniversaryAchievements v2.3.43 – Technischer Changelog</dc:title>
  <dc:subject>Bereinigung redundanter Achievement-Kriterien</dc:subject>
  <dc:creator>BearCraftStudios</dc:creator>
  <cp:keywords>AnniversaryAchievements, v2.3.43, Changelog, Kriterien, Performance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