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“Sistema Integral de Gestión de Pedidos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y Administración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b050"/>
          <w:sz w:val="36"/>
          <w:szCs w:val="36"/>
          <w:rtl w:val="0"/>
        </w:rPr>
        <w:t xml:space="preserve">SIGPA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b050"/>
          <w:sz w:val="36"/>
          <w:szCs w:val="36"/>
          <w:rtl w:val="0"/>
        </w:rPr>
        <w:t xml:space="preserve">26/08/2026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bookmarkStart w:colFirst="0" w:colLast="0" w:name="_iupvb3tlk2xj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bookmarkStart w:colFirst="0" w:colLast="0" w:name="_32wy8j19fqr6" w:id="1"/>
      <w:bookmarkEnd w:id="1"/>
      <w:r w:rsidDel="00000000" w:rsidR="00000000" w:rsidRPr="00000000">
        <w:rPr>
          <w:rtl w:val="0"/>
        </w:rPr>
      </w:r>
    </w:p>
    <w:sdt>
      <w:sdtPr>
        <w:id w:val="8781956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nt386fm33z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u323hcfo24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“SIGPA”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li28mkd8h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2nt386fm33zg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Elaboración de la versión inicial del documento de épicas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Julio Cifuentes, Felipe Gaete y Ariel Olivares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Correcciones y ajustes del documento de épicas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Julio Cifuentes, Felipe Gaete y Ariel Olivare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dhpnisrdt73d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Capstone PTY4614 001V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SIGPA (Sistema Integral de Gestión de Pedidos </w:t>
            </w:r>
            <w:r w:rsidDel="00000000" w:rsidR="00000000" w:rsidRPr="00000000">
              <w:rPr>
                <w:rtl w:val="0"/>
              </w:rPr>
              <w:t xml:space="preserve">y Administración</w:t>
            </w:r>
            <w:r w:rsidDel="00000000" w:rsidR="00000000" w:rsidRPr="00000000">
              <w:rPr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14/12/2026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Antonio Cabrera, socio de Comercial De María LTDA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wirsjvtcfst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18.421.560-8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Julio Cifuentes Gallardo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juli.cifuentes@duocuc.cl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18.782.583-0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Felipe Gaete Troncoso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f.gaete@duocuc.cl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19.409.557-0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Ariel Olivares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ar.olivaresv@duocuc.cl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au323hcfo24t" w:id="5"/>
      <w:bookmarkEnd w:id="5"/>
      <w:r w:rsidDel="00000000" w:rsidR="00000000" w:rsidRPr="00000000">
        <w:rPr>
          <w:rtl w:val="0"/>
        </w:rPr>
        <w:t xml:space="preserve">Épicas para el proyecto “SIGPA”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600"/>
        <w:gridCol w:w="5480"/>
        <w:tblGridChange w:id="0">
          <w:tblGrid>
            <w:gridCol w:w="846"/>
            <w:gridCol w:w="2600"/>
            <w:gridCol w:w="54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Chatbot conversacional en WhatsApp para la recepción de pedidos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Agrupa las funcionalidades del chatbot en WhatsApp mediante las cuales los clientes inician, completan y confirman pedidos utilizando lenguaje natural, incluyendo el reconocimiento de productos, cantidades, dirección de despacho y clientes frecuentes.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administrativo web para la gestión de pedidos y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Agrupa las funcionalidades del panel administrativo web mediante las cuales se autentica a los usuarios y se gestionan los pedidos, los clientes y su estado logístico.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Dashboard de ventas con indicadores comerciales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Agrupa las funcionalidades de visualización de indicadores comerciales, tales como las ventas totales, los productos más vendidos y la distribución de pedidos por comuna.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Optimización y automatización de rutas de despacho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Comprende la planificación y asignación automatizada de rutas de despacho mediante la orquestación con n8n, integrada como parte del alcance del MVP del proyecto.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4hli28mkd8hj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prioriza cada épica mediante el método MoSCoW, considerando tres criterios: el valor que aporta al mandante Comercial De María LTDA, la urgencia manifestada por la empresa durante el levantamiento de requerimientos y la complejidad técnica asociada a su desarrollo. A partir de estos criterios, se clasifica cada épica en una de las categorías Must have (debe tener), Should have (debería tener), Could have (podría tener) o Won’t have (no tendrá por ahora), escala que se mantiene coherente con la priorización definida en el backlog del proyecto y que orienta el orden de trabajo dentro del tablero Kanban.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5687"/>
        <w:gridCol w:w="2295"/>
        <w:tblGridChange w:id="0">
          <w:tblGrid>
            <w:gridCol w:w="846"/>
            <w:gridCol w:w="5687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 (MoSCoW)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Chatbot conversacional en WhatsApp para la recepción de pedidos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Panel administrativo web para la gestión de pedidos y clientes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Dashboard de ventas con indicadores comerciales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y automatización de rutas de despacho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de Usuario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de Usuario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-828673</wp:posOffset>
          </wp:positionH>
          <wp:positionV relativeFrom="paragraph">
            <wp:posOffset>-142873</wp:posOffset>
          </wp:positionV>
          <wp:extent cx="1686878" cy="361474"/>
          <wp:effectExtent b="0" l="0" r="0" t="0"/>
          <wp:wrapNone/>
          <wp:docPr descr="http://www.duoc.cl/normasgraficas/normasgraficas/marca-duoc/6logo-fondo-transparente/fondo-transparente.png" id="1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6878" cy="3614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