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C0B28" w14:textId="77777777" w:rsidR="00203927" w:rsidRDefault="00000000" w:rsidP="00324773">
      <w:pPr>
        <w:pStyle w:val="Ttulo1"/>
        <w:jc w:val="center"/>
      </w:pPr>
      <w:r>
        <w:t xml:space="preserve">Anexo — </w:t>
      </w:r>
      <w:proofErr w:type="spellStart"/>
      <w:r>
        <w:t>Análise</w:t>
      </w:r>
      <w:proofErr w:type="spellEnd"/>
      <w:r>
        <w:t xml:space="preserve"> dos </w:t>
      </w:r>
      <w:proofErr w:type="spellStart"/>
      <w:r>
        <w:t>Comentários</w:t>
      </w:r>
      <w:proofErr w:type="spellEnd"/>
      <w:r>
        <w:t xml:space="preserve"> dos </w:t>
      </w:r>
      <w:proofErr w:type="spellStart"/>
      <w:r>
        <w:t>Gestores</w:t>
      </w:r>
      <w:proofErr w:type="spellEnd"/>
      <w:r>
        <w:t xml:space="preserve"> (TC 011.073/2025-0)</w:t>
      </w:r>
    </w:p>
    <w:p w14:paraId="2034F951" w14:textId="77777777" w:rsidR="00203927" w:rsidRDefault="00000000">
      <w:pPr>
        <w:pStyle w:val="Ttulo2"/>
      </w:pPr>
      <w:proofErr w:type="spellStart"/>
      <w:r>
        <w:t>Introdução</w:t>
      </w:r>
      <w:proofErr w:type="spellEnd"/>
    </w:p>
    <w:p w14:paraId="2B4D4E9A" w14:textId="77777777" w:rsidR="00203927" w:rsidRDefault="00000000" w:rsidP="00324773">
      <w:pPr>
        <w:pStyle w:val="Pargrafonumerado"/>
        <w:numPr>
          <w:ilvl w:val="0"/>
          <w:numId w:val="6"/>
        </w:numPr>
        <w:spacing w:after="120"/>
        <w:ind w:left="0" w:firstLine="0"/>
      </w:pPr>
      <w:r>
        <w:t>O relatório preliminar de auditoria, constante da peça 141, foi submetido ao pronunciamento da subunidade (peça 142) e ao pronunciamento da unidade (peça 143), que manifestaram concordância com a proposta formulada pelo AUFC responsável e verificaram o atendimento à Resolução TCU 315/2020. Em seguida, o Ofício 4045/2026-TCU/</w:t>
      </w:r>
      <w:proofErr w:type="spellStart"/>
      <w:r>
        <w:t>Seproc</w:t>
      </w:r>
      <w:proofErr w:type="spellEnd"/>
      <w:r>
        <w:t xml:space="preserve"> (peça 144) encaminhou à Secretária-Executiva do Ministério do Desenvolvimento Agrário e Agricultura Familiar (MDA) a íntegra do relatório preliminar, nos termos do art. 14 da Resolução TCU 315/2020, concedendo prazo de quinze dias para apresentação de comentários acerca das conclusões e das propostas de encaminhamento, informando as consequências práticas da implementação das medidas aventadas e eventuais alternativas. A ciência da comunicação ocorreu em 23/02/2026 (peça 145). O MDA solicitou prorrogação de prazo por mais quinze dias (peça 146), alegando a extensão do relatório e a complexidade dos achados, tendo o pedido sido deferido até 18/03/2026 (peça 147). Os comentários foram encaminhados pela Assessoria Especial de Controle Interno do MDA (peça 148), acompanhados das considerações técnicas elaboradas pelo Departamento de Cadastro Nacional da Agricultura Familiar — DCAF (peça 149), que constituem a manifestação central do gestor, detalhada nas peças 150 a 168.</w:t>
      </w:r>
    </w:p>
    <w:p w14:paraId="4FCD29EF" w14:textId="77777777" w:rsidR="00203927" w:rsidRDefault="00000000" w:rsidP="00324773">
      <w:pPr>
        <w:pStyle w:val="Pargrafonumerado"/>
        <w:numPr>
          <w:ilvl w:val="0"/>
          <w:numId w:val="6"/>
        </w:numPr>
        <w:spacing w:after="120"/>
        <w:ind w:left="0" w:firstLine="0"/>
      </w:pPr>
      <w:r>
        <w:t xml:space="preserve">Este documento apresenta o inventário dos 30 argumentos substantivos deduzidos pelo gestor nessa manifestação e a análise da equipe de auditoria para cada um deles. A análise foi conduzida com três cautelas metodológicas: preservar o nexo entre cada argumento do gestor e o ponto do relatório por ele tensionado; manter aderência à relatório, que distingue passivo acumulado de situação corrente, reconhece os avanços implementados pelo gestor e concentra os encaminhamentos no resultado a </w:t>
      </w:r>
      <w:proofErr w:type="gramStart"/>
      <w:r>
        <w:t>alcançar;.</w:t>
      </w:r>
      <w:proofErr w:type="gramEnd"/>
    </w:p>
    <w:p w14:paraId="0CCE9450" w14:textId="77777777" w:rsidR="00203927" w:rsidRDefault="00000000" w:rsidP="00324773">
      <w:pPr>
        <w:pStyle w:val="Ttulo2"/>
        <w:jc w:val="center"/>
      </w:pPr>
      <w:proofErr w:type="spellStart"/>
      <w:r>
        <w:t>Inventário</w:t>
      </w:r>
      <w:proofErr w:type="spellEnd"/>
      <w:r>
        <w:t xml:space="preserve"> dos </w:t>
      </w:r>
      <w:proofErr w:type="spellStart"/>
      <w:r>
        <w:t>argumentos</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701"/>
        <w:gridCol w:w="1985"/>
        <w:gridCol w:w="4439"/>
      </w:tblGrid>
      <w:tr w:rsidR="00203927" w14:paraId="30AE6B7B" w14:textId="77777777" w:rsidTr="00324773">
        <w:trPr>
          <w:jc w:val="center"/>
        </w:trPr>
        <w:tc>
          <w:tcPr>
            <w:tcW w:w="1271" w:type="dxa"/>
          </w:tcPr>
          <w:p w14:paraId="6C1C7669" w14:textId="77777777" w:rsidR="00203927" w:rsidRDefault="00000000" w:rsidP="00324773">
            <w:pPr>
              <w:spacing w:before="20" w:after="20"/>
              <w:jc w:val="center"/>
            </w:pPr>
            <w:r>
              <w:rPr>
                <w:rFonts w:ascii="Times New Roman" w:hAnsi="Times New Roman"/>
                <w:b/>
                <w:sz w:val="20"/>
              </w:rPr>
              <w:t>ARG</w:t>
            </w:r>
          </w:p>
        </w:tc>
        <w:tc>
          <w:tcPr>
            <w:tcW w:w="1701" w:type="dxa"/>
          </w:tcPr>
          <w:p w14:paraId="1AF78093" w14:textId="77777777" w:rsidR="00203927" w:rsidRDefault="00000000" w:rsidP="00324773">
            <w:pPr>
              <w:spacing w:before="20" w:after="20"/>
              <w:jc w:val="center"/>
            </w:pPr>
            <w:proofErr w:type="spellStart"/>
            <w:r>
              <w:rPr>
                <w:rFonts w:ascii="Times New Roman" w:hAnsi="Times New Roman"/>
                <w:b/>
                <w:sz w:val="20"/>
              </w:rPr>
              <w:t>Peça</w:t>
            </w:r>
            <w:proofErr w:type="spellEnd"/>
          </w:p>
        </w:tc>
        <w:tc>
          <w:tcPr>
            <w:tcW w:w="1985" w:type="dxa"/>
          </w:tcPr>
          <w:p w14:paraId="240C4692" w14:textId="77777777" w:rsidR="00203927" w:rsidRDefault="00000000" w:rsidP="00324773">
            <w:pPr>
              <w:spacing w:before="20" w:after="20"/>
              <w:jc w:val="center"/>
            </w:pPr>
            <w:r>
              <w:rPr>
                <w:rFonts w:ascii="Times New Roman" w:hAnsi="Times New Roman"/>
                <w:b/>
                <w:sz w:val="20"/>
              </w:rPr>
              <w:t>Página</w:t>
            </w:r>
          </w:p>
        </w:tc>
        <w:tc>
          <w:tcPr>
            <w:tcW w:w="4439" w:type="dxa"/>
          </w:tcPr>
          <w:p w14:paraId="05FC073D" w14:textId="77777777" w:rsidR="00203927" w:rsidRDefault="00000000">
            <w:pPr>
              <w:spacing w:before="20" w:after="20"/>
            </w:pPr>
            <w:proofErr w:type="spellStart"/>
            <w:r>
              <w:rPr>
                <w:rFonts w:ascii="Times New Roman" w:hAnsi="Times New Roman"/>
                <w:b/>
                <w:sz w:val="20"/>
              </w:rPr>
              <w:t>Síntese</w:t>
            </w:r>
            <w:proofErr w:type="spellEnd"/>
          </w:p>
        </w:tc>
      </w:tr>
      <w:tr w:rsidR="00203927" w14:paraId="4C29D0F1" w14:textId="77777777" w:rsidTr="00324773">
        <w:trPr>
          <w:jc w:val="center"/>
        </w:trPr>
        <w:tc>
          <w:tcPr>
            <w:tcW w:w="1271" w:type="dxa"/>
          </w:tcPr>
          <w:p w14:paraId="2E5E09A1" w14:textId="77777777" w:rsidR="00203927" w:rsidRDefault="00000000" w:rsidP="00324773">
            <w:pPr>
              <w:spacing w:before="20" w:after="20"/>
              <w:jc w:val="center"/>
            </w:pPr>
            <w:r>
              <w:rPr>
                <w:rFonts w:ascii="Times New Roman" w:hAnsi="Times New Roman"/>
                <w:sz w:val="20"/>
              </w:rPr>
              <w:t>ARG-01</w:t>
            </w:r>
          </w:p>
        </w:tc>
        <w:tc>
          <w:tcPr>
            <w:tcW w:w="1701" w:type="dxa"/>
          </w:tcPr>
          <w:p w14:paraId="68A424F3" w14:textId="77777777" w:rsidR="00203927" w:rsidRDefault="00000000" w:rsidP="00324773">
            <w:pPr>
              <w:spacing w:before="20" w:after="20"/>
              <w:jc w:val="center"/>
            </w:pPr>
            <w:r>
              <w:rPr>
                <w:rFonts w:ascii="Times New Roman" w:hAnsi="Times New Roman"/>
                <w:sz w:val="20"/>
              </w:rPr>
              <w:t>150</w:t>
            </w:r>
          </w:p>
        </w:tc>
        <w:tc>
          <w:tcPr>
            <w:tcW w:w="1985" w:type="dxa"/>
          </w:tcPr>
          <w:p w14:paraId="7C2A78B5" w14:textId="77777777" w:rsidR="00203927" w:rsidRDefault="00000000" w:rsidP="00324773">
            <w:pPr>
              <w:spacing w:before="20" w:after="20"/>
              <w:jc w:val="center"/>
            </w:pPr>
            <w:r>
              <w:rPr>
                <w:rFonts w:ascii="Times New Roman" w:hAnsi="Times New Roman"/>
                <w:sz w:val="20"/>
              </w:rPr>
              <w:t>18-19</w:t>
            </w:r>
          </w:p>
        </w:tc>
        <w:tc>
          <w:tcPr>
            <w:tcW w:w="4439" w:type="dxa"/>
          </w:tcPr>
          <w:p w14:paraId="0465B051" w14:textId="77777777" w:rsidR="00203927" w:rsidRDefault="00000000">
            <w:pPr>
              <w:spacing w:before="20" w:after="20"/>
            </w:pPr>
            <w:proofErr w:type="spellStart"/>
            <w:r>
              <w:rPr>
                <w:rFonts w:ascii="Times New Roman" w:hAnsi="Times New Roman"/>
                <w:sz w:val="20"/>
              </w:rPr>
              <w:t>Extrapolação</w:t>
            </w:r>
            <w:proofErr w:type="spellEnd"/>
            <w:r>
              <w:rPr>
                <w:rFonts w:ascii="Times New Roman" w:hAnsi="Times New Roman"/>
                <w:sz w:val="20"/>
              </w:rPr>
              <w:t xml:space="preserve"> </w:t>
            </w:r>
            <w:proofErr w:type="spellStart"/>
            <w:r>
              <w:rPr>
                <w:rFonts w:ascii="Times New Roman" w:hAnsi="Times New Roman"/>
                <w:sz w:val="20"/>
              </w:rPr>
              <w:t>amostral</w:t>
            </w:r>
            <w:proofErr w:type="spellEnd"/>
            <w:r>
              <w:rPr>
                <w:rFonts w:ascii="Times New Roman" w:hAnsi="Times New Roman"/>
                <w:sz w:val="20"/>
              </w:rPr>
              <w:t xml:space="preserve"> </w:t>
            </w:r>
            <w:proofErr w:type="spellStart"/>
            <w:r>
              <w:rPr>
                <w:rFonts w:ascii="Times New Roman" w:hAnsi="Times New Roman"/>
                <w:sz w:val="20"/>
              </w:rPr>
              <w:t>em</w:t>
            </w:r>
            <w:proofErr w:type="spellEnd"/>
            <w:r>
              <w:rPr>
                <w:rFonts w:ascii="Times New Roman" w:hAnsi="Times New Roman"/>
                <w:sz w:val="20"/>
              </w:rPr>
              <w:t xml:space="preserve"> base </w:t>
            </w:r>
            <w:proofErr w:type="spellStart"/>
            <w:r>
              <w:rPr>
                <w:rFonts w:ascii="Times New Roman" w:hAnsi="Times New Roman"/>
                <w:sz w:val="20"/>
              </w:rPr>
              <w:t>heterogênea</w:t>
            </w:r>
            <w:proofErr w:type="spellEnd"/>
            <w:r>
              <w:rPr>
                <w:rFonts w:ascii="Times New Roman" w:hAnsi="Times New Roman"/>
                <w:sz w:val="20"/>
              </w:rPr>
              <w:t xml:space="preserve"> e </w:t>
            </w:r>
            <w:proofErr w:type="spellStart"/>
            <w:r>
              <w:rPr>
                <w:rFonts w:ascii="Times New Roman" w:hAnsi="Times New Roman"/>
                <w:sz w:val="20"/>
              </w:rPr>
              <w:t>rechecagem</w:t>
            </w:r>
            <w:proofErr w:type="spellEnd"/>
            <w:r>
              <w:rPr>
                <w:rFonts w:ascii="Times New Roman" w:hAnsi="Times New Roman"/>
                <w:sz w:val="20"/>
              </w:rPr>
              <w:t xml:space="preserve"> com </w:t>
            </w:r>
            <w:proofErr w:type="spellStart"/>
            <w:r>
              <w:rPr>
                <w:rFonts w:ascii="Times New Roman" w:hAnsi="Times New Roman"/>
                <w:sz w:val="20"/>
              </w:rPr>
              <w:t>amostra</w:t>
            </w:r>
            <w:proofErr w:type="spellEnd"/>
            <w:r>
              <w:rPr>
                <w:rFonts w:ascii="Times New Roman" w:hAnsi="Times New Roman"/>
                <w:sz w:val="20"/>
              </w:rPr>
              <w:t xml:space="preserve"> </w:t>
            </w:r>
            <w:proofErr w:type="spellStart"/>
            <w:r>
              <w:rPr>
                <w:rFonts w:ascii="Times New Roman" w:hAnsi="Times New Roman"/>
                <w:sz w:val="20"/>
              </w:rPr>
              <w:t>própria</w:t>
            </w:r>
            <w:proofErr w:type="spellEnd"/>
          </w:p>
        </w:tc>
      </w:tr>
      <w:tr w:rsidR="00203927" w14:paraId="39EA2C37" w14:textId="77777777" w:rsidTr="00324773">
        <w:trPr>
          <w:jc w:val="center"/>
        </w:trPr>
        <w:tc>
          <w:tcPr>
            <w:tcW w:w="1271" w:type="dxa"/>
          </w:tcPr>
          <w:p w14:paraId="7B418C42" w14:textId="77777777" w:rsidR="00203927" w:rsidRDefault="00000000" w:rsidP="00324773">
            <w:pPr>
              <w:spacing w:before="20" w:after="20"/>
              <w:jc w:val="center"/>
            </w:pPr>
            <w:r>
              <w:rPr>
                <w:rFonts w:ascii="Times New Roman" w:hAnsi="Times New Roman"/>
                <w:sz w:val="20"/>
              </w:rPr>
              <w:t>ARG-02</w:t>
            </w:r>
          </w:p>
        </w:tc>
        <w:tc>
          <w:tcPr>
            <w:tcW w:w="1701" w:type="dxa"/>
          </w:tcPr>
          <w:p w14:paraId="1CAEB099" w14:textId="77777777" w:rsidR="00203927" w:rsidRDefault="00000000" w:rsidP="00324773">
            <w:pPr>
              <w:spacing w:before="20" w:after="20"/>
              <w:jc w:val="center"/>
            </w:pPr>
            <w:r>
              <w:rPr>
                <w:rFonts w:ascii="Times New Roman" w:hAnsi="Times New Roman"/>
                <w:sz w:val="20"/>
              </w:rPr>
              <w:t>150 / 156 / 162</w:t>
            </w:r>
          </w:p>
        </w:tc>
        <w:tc>
          <w:tcPr>
            <w:tcW w:w="1985" w:type="dxa"/>
          </w:tcPr>
          <w:p w14:paraId="74B9915B" w14:textId="77777777" w:rsidR="00203927" w:rsidRDefault="00000000" w:rsidP="00324773">
            <w:pPr>
              <w:spacing w:before="20" w:after="20"/>
              <w:jc w:val="center"/>
            </w:pPr>
            <w:r>
              <w:rPr>
                <w:rFonts w:ascii="Times New Roman" w:hAnsi="Times New Roman"/>
                <w:sz w:val="20"/>
              </w:rPr>
              <w:t>9-13 / 1-2 / 2-3</w:t>
            </w:r>
          </w:p>
        </w:tc>
        <w:tc>
          <w:tcPr>
            <w:tcW w:w="4439" w:type="dxa"/>
          </w:tcPr>
          <w:p w14:paraId="0E0A3D9B" w14:textId="77777777" w:rsidR="00203927" w:rsidRDefault="00000000">
            <w:pPr>
              <w:spacing w:before="20" w:after="20"/>
            </w:pPr>
            <w:r>
              <w:rPr>
                <w:rFonts w:ascii="Times New Roman" w:hAnsi="Times New Roman"/>
                <w:sz w:val="20"/>
              </w:rPr>
              <w:t xml:space="preserve">CAF </w:t>
            </w:r>
            <w:proofErr w:type="spellStart"/>
            <w:r>
              <w:rPr>
                <w:rFonts w:ascii="Times New Roman" w:hAnsi="Times New Roman"/>
                <w:sz w:val="20"/>
              </w:rPr>
              <w:t>como</w:t>
            </w:r>
            <w:proofErr w:type="spellEnd"/>
            <w:r>
              <w:rPr>
                <w:rFonts w:ascii="Times New Roman" w:hAnsi="Times New Roman"/>
                <w:sz w:val="20"/>
              </w:rPr>
              <w:t xml:space="preserve"> </w:t>
            </w:r>
            <w:proofErr w:type="spellStart"/>
            <w:r>
              <w:rPr>
                <w:rFonts w:ascii="Times New Roman" w:hAnsi="Times New Roman"/>
                <w:sz w:val="20"/>
              </w:rPr>
              <w:t>cadastro</w:t>
            </w:r>
            <w:proofErr w:type="spellEnd"/>
            <w:r>
              <w:rPr>
                <w:rFonts w:ascii="Times New Roman" w:hAnsi="Times New Roman"/>
                <w:sz w:val="20"/>
              </w:rPr>
              <w:t xml:space="preserve"> </w:t>
            </w:r>
            <w:proofErr w:type="spellStart"/>
            <w:r>
              <w:rPr>
                <w:rFonts w:ascii="Times New Roman" w:hAnsi="Times New Roman"/>
                <w:sz w:val="20"/>
              </w:rPr>
              <w:t>autodeclaratório</w:t>
            </w:r>
            <w:proofErr w:type="spellEnd"/>
            <w:r>
              <w:rPr>
                <w:rFonts w:ascii="Times New Roman" w:hAnsi="Times New Roman"/>
                <w:sz w:val="20"/>
              </w:rPr>
              <w:t xml:space="preserve">, porta de entrada e </w:t>
            </w:r>
            <w:proofErr w:type="spellStart"/>
            <w:r>
              <w:rPr>
                <w:rFonts w:ascii="Times New Roman" w:hAnsi="Times New Roman"/>
                <w:sz w:val="20"/>
              </w:rPr>
              <w:t>instrumento</w:t>
            </w:r>
            <w:proofErr w:type="spellEnd"/>
            <w:r>
              <w:rPr>
                <w:rFonts w:ascii="Times New Roman" w:hAnsi="Times New Roman"/>
                <w:sz w:val="20"/>
              </w:rPr>
              <w:t xml:space="preserve"> de </w:t>
            </w:r>
            <w:proofErr w:type="spellStart"/>
            <w:r>
              <w:rPr>
                <w:rFonts w:ascii="Times New Roman" w:hAnsi="Times New Roman"/>
                <w:sz w:val="20"/>
              </w:rPr>
              <w:t>identificação</w:t>
            </w:r>
            <w:proofErr w:type="spellEnd"/>
            <w:r>
              <w:rPr>
                <w:rFonts w:ascii="Times New Roman" w:hAnsi="Times New Roman"/>
                <w:sz w:val="20"/>
              </w:rPr>
              <w:t xml:space="preserve"> </w:t>
            </w:r>
            <w:proofErr w:type="spellStart"/>
            <w:r>
              <w:rPr>
                <w:rFonts w:ascii="Times New Roman" w:hAnsi="Times New Roman"/>
                <w:sz w:val="20"/>
              </w:rPr>
              <w:t>socioeconômica</w:t>
            </w:r>
            <w:proofErr w:type="spellEnd"/>
          </w:p>
        </w:tc>
      </w:tr>
      <w:tr w:rsidR="00203927" w14:paraId="4BAB6854" w14:textId="77777777" w:rsidTr="00324773">
        <w:trPr>
          <w:jc w:val="center"/>
        </w:trPr>
        <w:tc>
          <w:tcPr>
            <w:tcW w:w="1271" w:type="dxa"/>
          </w:tcPr>
          <w:p w14:paraId="67AF09B4" w14:textId="77777777" w:rsidR="00203927" w:rsidRDefault="00000000" w:rsidP="00324773">
            <w:pPr>
              <w:spacing w:before="20" w:after="20"/>
              <w:jc w:val="center"/>
            </w:pPr>
            <w:r>
              <w:rPr>
                <w:rFonts w:ascii="Times New Roman" w:hAnsi="Times New Roman"/>
                <w:sz w:val="20"/>
              </w:rPr>
              <w:t>ARG-03</w:t>
            </w:r>
          </w:p>
        </w:tc>
        <w:tc>
          <w:tcPr>
            <w:tcW w:w="1701" w:type="dxa"/>
          </w:tcPr>
          <w:p w14:paraId="4114226C" w14:textId="77777777" w:rsidR="00203927" w:rsidRDefault="00000000" w:rsidP="00324773">
            <w:pPr>
              <w:spacing w:before="20" w:after="20"/>
              <w:jc w:val="center"/>
            </w:pPr>
            <w:r>
              <w:rPr>
                <w:rFonts w:ascii="Times New Roman" w:hAnsi="Times New Roman"/>
                <w:sz w:val="20"/>
              </w:rPr>
              <w:t>150 / 152</w:t>
            </w:r>
          </w:p>
        </w:tc>
        <w:tc>
          <w:tcPr>
            <w:tcW w:w="1985" w:type="dxa"/>
          </w:tcPr>
          <w:p w14:paraId="3C794F85" w14:textId="77777777" w:rsidR="00203927" w:rsidRDefault="00000000" w:rsidP="00324773">
            <w:pPr>
              <w:spacing w:before="20" w:after="20"/>
              <w:jc w:val="center"/>
            </w:pPr>
            <w:r>
              <w:rPr>
                <w:rFonts w:ascii="Times New Roman" w:hAnsi="Times New Roman"/>
                <w:sz w:val="20"/>
              </w:rPr>
              <w:t>4-7 / 11-13</w:t>
            </w:r>
          </w:p>
        </w:tc>
        <w:tc>
          <w:tcPr>
            <w:tcW w:w="4439" w:type="dxa"/>
          </w:tcPr>
          <w:p w14:paraId="14EC6355" w14:textId="77777777" w:rsidR="00203927" w:rsidRDefault="00000000">
            <w:pPr>
              <w:spacing w:before="20" w:after="20"/>
            </w:pPr>
            <w:proofErr w:type="spellStart"/>
            <w:r>
              <w:rPr>
                <w:rFonts w:ascii="Times New Roman" w:hAnsi="Times New Roman"/>
                <w:sz w:val="20"/>
              </w:rPr>
              <w:t>Reconstrução</w:t>
            </w:r>
            <w:proofErr w:type="spellEnd"/>
            <w:r>
              <w:rPr>
                <w:rFonts w:ascii="Times New Roman" w:hAnsi="Times New Roman"/>
                <w:sz w:val="20"/>
              </w:rPr>
              <w:t xml:space="preserve"> </w:t>
            </w:r>
            <w:proofErr w:type="spellStart"/>
            <w:r>
              <w:rPr>
                <w:rFonts w:ascii="Times New Roman" w:hAnsi="Times New Roman"/>
                <w:sz w:val="20"/>
              </w:rPr>
              <w:t>institucional</w:t>
            </w:r>
            <w:proofErr w:type="spellEnd"/>
            <w:r>
              <w:rPr>
                <w:rFonts w:ascii="Times New Roman" w:hAnsi="Times New Roman"/>
                <w:sz w:val="20"/>
              </w:rPr>
              <w:t xml:space="preserve"> do MDA, </w:t>
            </w:r>
            <w:proofErr w:type="spellStart"/>
            <w:r>
              <w:rPr>
                <w:rFonts w:ascii="Times New Roman" w:hAnsi="Times New Roman"/>
                <w:sz w:val="20"/>
              </w:rPr>
              <w:t>Portaria</w:t>
            </w:r>
            <w:proofErr w:type="spellEnd"/>
            <w:r>
              <w:rPr>
                <w:rFonts w:ascii="Times New Roman" w:hAnsi="Times New Roman"/>
                <w:sz w:val="20"/>
              </w:rPr>
              <w:t xml:space="preserve"> MDA 20/2023 e </w:t>
            </w:r>
            <w:proofErr w:type="spellStart"/>
            <w:r>
              <w:rPr>
                <w:rFonts w:ascii="Times New Roman" w:hAnsi="Times New Roman"/>
                <w:sz w:val="20"/>
              </w:rPr>
              <w:t>inovações</w:t>
            </w:r>
            <w:proofErr w:type="spellEnd"/>
            <w:r>
              <w:rPr>
                <w:rFonts w:ascii="Times New Roman" w:hAnsi="Times New Roman"/>
                <w:sz w:val="20"/>
              </w:rPr>
              <w:t xml:space="preserve"> do CAF 3.0</w:t>
            </w:r>
          </w:p>
        </w:tc>
      </w:tr>
      <w:tr w:rsidR="00203927" w14:paraId="52FCDE09" w14:textId="77777777" w:rsidTr="00324773">
        <w:trPr>
          <w:jc w:val="center"/>
        </w:trPr>
        <w:tc>
          <w:tcPr>
            <w:tcW w:w="1271" w:type="dxa"/>
          </w:tcPr>
          <w:p w14:paraId="09CE3E0E" w14:textId="77777777" w:rsidR="00203927" w:rsidRDefault="00000000" w:rsidP="00324773">
            <w:pPr>
              <w:spacing w:before="20" w:after="20"/>
              <w:jc w:val="center"/>
            </w:pPr>
            <w:r>
              <w:rPr>
                <w:rFonts w:ascii="Times New Roman" w:hAnsi="Times New Roman"/>
                <w:sz w:val="20"/>
              </w:rPr>
              <w:t>ARG-04</w:t>
            </w:r>
          </w:p>
        </w:tc>
        <w:tc>
          <w:tcPr>
            <w:tcW w:w="1701" w:type="dxa"/>
          </w:tcPr>
          <w:p w14:paraId="482F42E7" w14:textId="77777777" w:rsidR="00203927" w:rsidRDefault="00000000" w:rsidP="00324773">
            <w:pPr>
              <w:spacing w:before="20" w:after="20"/>
              <w:jc w:val="center"/>
            </w:pPr>
            <w:r>
              <w:rPr>
                <w:rFonts w:ascii="Times New Roman" w:hAnsi="Times New Roman"/>
                <w:sz w:val="20"/>
              </w:rPr>
              <w:t>150 / 153 / 157</w:t>
            </w:r>
          </w:p>
        </w:tc>
        <w:tc>
          <w:tcPr>
            <w:tcW w:w="1985" w:type="dxa"/>
          </w:tcPr>
          <w:p w14:paraId="58266B03" w14:textId="77777777" w:rsidR="00203927" w:rsidRDefault="00000000" w:rsidP="00324773">
            <w:pPr>
              <w:spacing w:before="20" w:after="20"/>
              <w:jc w:val="center"/>
            </w:pPr>
            <w:r>
              <w:rPr>
                <w:rFonts w:ascii="Times New Roman" w:hAnsi="Times New Roman"/>
                <w:sz w:val="20"/>
              </w:rPr>
              <w:t>12-16 / 4 / 3</w:t>
            </w:r>
          </w:p>
        </w:tc>
        <w:tc>
          <w:tcPr>
            <w:tcW w:w="4439" w:type="dxa"/>
          </w:tcPr>
          <w:p w14:paraId="54E43CC9" w14:textId="77777777" w:rsidR="00203927" w:rsidRDefault="00000000">
            <w:pPr>
              <w:spacing w:before="20" w:after="20"/>
            </w:pPr>
            <w:proofErr w:type="spellStart"/>
            <w:r>
              <w:rPr>
                <w:rFonts w:ascii="Times New Roman" w:hAnsi="Times New Roman"/>
                <w:sz w:val="20"/>
              </w:rPr>
              <w:t>Heterogeneidade</w:t>
            </w:r>
            <w:proofErr w:type="spellEnd"/>
            <w:r>
              <w:rPr>
                <w:rFonts w:ascii="Times New Roman" w:hAnsi="Times New Roman"/>
                <w:sz w:val="20"/>
              </w:rPr>
              <w:t xml:space="preserve"> dos </w:t>
            </w:r>
            <w:proofErr w:type="spellStart"/>
            <w:r>
              <w:rPr>
                <w:rFonts w:ascii="Times New Roman" w:hAnsi="Times New Roman"/>
                <w:sz w:val="20"/>
              </w:rPr>
              <w:t>públicos</w:t>
            </w:r>
            <w:proofErr w:type="spellEnd"/>
            <w:r>
              <w:rPr>
                <w:rFonts w:ascii="Times New Roman" w:hAnsi="Times New Roman"/>
                <w:sz w:val="20"/>
              </w:rPr>
              <w:t xml:space="preserve">, rede </w:t>
            </w:r>
            <w:proofErr w:type="spellStart"/>
            <w:r>
              <w:rPr>
                <w:rFonts w:ascii="Times New Roman" w:hAnsi="Times New Roman"/>
                <w:sz w:val="20"/>
              </w:rPr>
              <w:t>emissora</w:t>
            </w:r>
            <w:proofErr w:type="spellEnd"/>
            <w:r>
              <w:rPr>
                <w:rFonts w:ascii="Times New Roman" w:hAnsi="Times New Roman"/>
                <w:sz w:val="20"/>
              </w:rPr>
              <w:t xml:space="preserve"> e </w:t>
            </w:r>
            <w:proofErr w:type="spellStart"/>
            <w:r>
              <w:rPr>
                <w:rFonts w:ascii="Times New Roman" w:hAnsi="Times New Roman"/>
                <w:sz w:val="20"/>
              </w:rPr>
              <w:t>mudança</w:t>
            </w:r>
            <w:proofErr w:type="spellEnd"/>
            <w:r>
              <w:rPr>
                <w:rFonts w:ascii="Times New Roman" w:hAnsi="Times New Roman"/>
                <w:sz w:val="20"/>
              </w:rPr>
              <w:t xml:space="preserve"> cultural da </w:t>
            </w:r>
            <w:proofErr w:type="spellStart"/>
            <w:r>
              <w:rPr>
                <w:rFonts w:ascii="Times New Roman" w:hAnsi="Times New Roman"/>
                <w:sz w:val="20"/>
              </w:rPr>
              <w:t>implantação</w:t>
            </w:r>
            <w:proofErr w:type="spellEnd"/>
          </w:p>
        </w:tc>
      </w:tr>
      <w:tr w:rsidR="00203927" w14:paraId="01AF953F" w14:textId="77777777" w:rsidTr="00324773">
        <w:trPr>
          <w:jc w:val="center"/>
        </w:trPr>
        <w:tc>
          <w:tcPr>
            <w:tcW w:w="1271" w:type="dxa"/>
          </w:tcPr>
          <w:p w14:paraId="49DED224" w14:textId="77777777" w:rsidR="00203927" w:rsidRDefault="00000000" w:rsidP="00324773">
            <w:pPr>
              <w:spacing w:before="20" w:after="20"/>
              <w:jc w:val="center"/>
            </w:pPr>
            <w:r>
              <w:rPr>
                <w:rFonts w:ascii="Times New Roman" w:hAnsi="Times New Roman"/>
                <w:sz w:val="20"/>
              </w:rPr>
              <w:t>ARG-05</w:t>
            </w:r>
          </w:p>
        </w:tc>
        <w:tc>
          <w:tcPr>
            <w:tcW w:w="1701" w:type="dxa"/>
          </w:tcPr>
          <w:p w14:paraId="043084E0" w14:textId="77777777" w:rsidR="00203927" w:rsidRDefault="00000000" w:rsidP="00324773">
            <w:pPr>
              <w:spacing w:before="20" w:after="20"/>
              <w:jc w:val="center"/>
            </w:pPr>
            <w:r>
              <w:rPr>
                <w:rFonts w:ascii="Times New Roman" w:hAnsi="Times New Roman"/>
                <w:sz w:val="20"/>
              </w:rPr>
              <w:t>154 / 155 / 160 / 165</w:t>
            </w:r>
          </w:p>
        </w:tc>
        <w:tc>
          <w:tcPr>
            <w:tcW w:w="1985" w:type="dxa"/>
          </w:tcPr>
          <w:p w14:paraId="54663807" w14:textId="77777777" w:rsidR="00203927" w:rsidRDefault="00000000" w:rsidP="00324773">
            <w:pPr>
              <w:spacing w:before="20" w:after="20"/>
              <w:jc w:val="center"/>
            </w:pPr>
            <w:r>
              <w:rPr>
                <w:rFonts w:ascii="Times New Roman" w:hAnsi="Times New Roman"/>
                <w:sz w:val="20"/>
              </w:rPr>
              <w:t>1 / 2-4 / 1 / 2</w:t>
            </w:r>
          </w:p>
        </w:tc>
        <w:tc>
          <w:tcPr>
            <w:tcW w:w="4439" w:type="dxa"/>
          </w:tcPr>
          <w:p w14:paraId="70803649" w14:textId="77777777" w:rsidR="00203927" w:rsidRDefault="00000000">
            <w:pPr>
              <w:spacing w:before="20" w:after="20"/>
            </w:pPr>
            <w:proofErr w:type="spellStart"/>
            <w:r>
              <w:rPr>
                <w:rFonts w:ascii="Times New Roman" w:hAnsi="Times New Roman"/>
                <w:sz w:val="20"/>
              </w:rPr>
              <w:t>Restrições</w:t>
            </w:r>
            <w:proofErr w:type="spellEnd"/>
            <w:r>
              <w:rPr>
                <w:rFonts w:ascii="Times New Roman" w:hAnsi="Times New Roman"/>
                <w:sz w:val="20"/>
              </w:rPr>
              <w:t xml:space="preserve"> </w:t>
            </w:r>
            <w:proofErr w:type="spellStart"/>
            <w:r>
              <w:rPr>
                <w:rFonts w:ascii="Times New Roman" w:hAnsi="Times New Roman"/>
                <w:sz w:val="20"/>
              </w:rPr>
              <w:t>estruturais</w:t>
            </w:r>
            <w:proofErr w:type="spellEnd"/>
            <w:r>
              <w:rPr>
                <w:rFonts w:ascii="Times New Roman" w:hAnsi="Times New Roman"/>
                <w:sz w:val="20"/>
              </w:rPr>
              <w:t xml:space="preserve"> de TIC, </w:t>
            </w:r>
            <w:proofErr w:type="spellStart"/>
            <w:r>
              <w:rPr>
                <w:rFonts w:ascii="Times New Roman" w:hAnsi="Times New Roman"/>
                <w:sz w:val="20"/>
              </w:rPr>
              <w:t>intermitência</w:t>
            </w:r>
            <w:proofErr w:type="spellEnd"/>
            <w:r>
              <w:rPr>
                <w:rFonts w:ascii="Times New Roman" w:hAnsi="Times New Roman"/>
                <w:sz w:val="20"/>
              </w:rPr>
              <w:t xml:space="preserve"> do CAFWeb e </w:t>
            </w:r>
            <w:proofErr w:type="spellStart"/>
            <w:r>
              <w:rPr>
                <w:rFonts w:ascii="Times New Roman" w:hAnsi="Times New Roman"/>
                <w:sz w:val="20"/>
              </w:rPr>
              <w:t>dependências</w:t>
            </w:r>
            <w:proofErr w:type="spellEnd"/>
            <w:r>
              <w:rPr>
                <w:rFonts w:ascii="Times New Roman" w:hAnsi="Times New Roman"/>
                <w:sz w:val="20"/>
              </w:rPr>
              <w:t xml:space="preserve"> </w:t>
            </w:r>
            <w:proofErr w:type="spellStart"/>
            <w:r>
              <w:rPr>
                <w:rFonts w:ascii="Times New Roman" w:hAnsi="Times New Roman"/>
                <w:sz w:val="20"/>
              </w:rPr>
              <w:t>interinstitucionais</w:t>
            </w:r>
            <w:proofErr w:type="spellEnd"/>
          </w:p>
        </w:tc>
      </w:tr>
      <w:tr w:rsidR="00203927" w14:paraId="2DA2ABA5" w14:textId="77777777" w:rsidTr="00324773">
        <w:trPr>
          <w:jc w:val="center"/>
        </w:trPr>
        <w:tc>
          <w:tcPr>
            <w:tcW w:w="1271" w:type="dxa"/>
          </w:tcPr>
          <w:p w14:paraId="47FD35A1" w14:textId="77777777" w:rsidR="00203927" w:rsidRDefault="00000000" w:rsidP="00324773">
            <w:pPr>
              <w:spacing w:before="20" w:after="20"/>
              <w:jc w:val="center"/>
            </w:pPr>
            <w:r>
              <w:rPr>
                <w:rFonts w:ascii="Times New Roman" w:hAnsi="Times New Roman"/>
                <w:sz w:val="20"/>
              </w:rPr>
              <w:t>ARG-06</w:t>
            </w:r>
          </w:p>
        </w:tc>
        <w:tc>
          <w:tcPr>
            <w:tcW w:w="1701" w:type="dxa"/>
          </w:tcPr>
          <w:p w14:paraId="57FF2D9E" w14:textId="77777777" w:rsidR="00203927" w:rsidRDefault="00000000" w:rsidP="00324773">
            <w:pPr>
              <w:spacing w:before="20" w:after="20"/>
              <w:jc w:val="center"/>
            </w:pPr>
            <w:r>
              <w:rPr>
                <w:rFonts w:ascii="Times New Roman" w:hAnsi="Times New Roman"/>
                <w:sz w:val="20"/>
              </w:rPr>
              <w:t>158 / 159</w:t>
            </w:r>
          </w:p>
        </w:tc>
        <w:tc>
          <w:tcPr>
            <w:tcW w:w="1985" w:type="dxa"/>
          </w:tcPr>
          <w:p w14:paraId="7385E5DB" w14:textId="77777777" w:rsidR="00203927" w:rsidRDefault="00000000" w:rsidP="00324773">
            <w:pPr>
              <w:spacing w:before="20" w:after="20"/>
              <w:jc w:val="center"/>
            </w:pPr>
            <w:r>
              <w:rPr>
                <w:rFonts w:ascii="Times New Roman" w:hAnsi="Times New Roman"/>
                <w:sz w:val="20"/>
              </w:rPr>
              <w:t>1 / 1</w:t>
            </w:r>
          </w:p>
        </w:tc>
        <w:tc>
          <w:tcPr>
            <w:tcW w:w="4439" w:type="dxa"/>
          </w:tcPr>
          <w:p w14:paraId="72CFEC21" w14:textId="77777777" w:rsidR="00203927" w:rsidRDefault="00000000">
            <w:pPr>
              <w:spacing w:before="20" w:after="20"/>
            </w:pPr>
            <w:proofErr w:type="spellStart"/>
            <w:r>
              <w:rPr>
                <w:rFonts w:ascii="Times New Roman" w:hAnsi="Times New Roman"/>
                <w:sz w:val="20"/>
              </w:rPr>
              <w:t>Providências</w:t>
            </w:r>
            <w:proofErr w:type="spellEnd"/>
            <w:r>
              <w:rPr>
                <w:rFonts w:ascii="Times New Roman" w:hAnsi="Times New Roman"/>
                <w:sz w:val="20"/>
              </w:rPr>
              <w:t xml:space="preserve"> </w:t>
            </w:r>
            <w:proofErr w:type="spellStart"/>
            <w:r>
              <w:rPr>
                <w:rFonts w:ascii="Times New Roman" w:hAnsi="Times New Roman"/>
                <w:sz w:val="20"/>
              </w:rPr>
              <w:t>em</w:t>
            </w:r>
            <w:proofErr w:type="spellEnd"/>
            <w:r>
              <w:rPr>
                <w:rFonts w:ascii="Times New Roman" w:hAnsi="Times New Roman"/>
                <w:sz w:val="20"/>
              </w:rPr>
              <w:t xml:space="preserve"> </w:t>
            </w:r>
            <w:proofErr w:type="spellStart"/>
            <w:r>
              <w:rPr>
                <w:rFonts w:ascii="Times New Roman" w:hAnsi="Times New Roman"/>
                <w:sz w:val="20"/>
              </w:rPr>
              <w:t>curso</w:t>
            </w:r>
            <w:proofErr w:type="spellEnd"/>
            <w:r>
              <w:rPr>
                <w:rFonts w:ascii="Times New Roman" w:hAnsi="Times New Roman"/>
                <w:sz w:val="20"/>
              </w:rPr>
              <w:t xml:space="preserve">: TED/UFES e </w:t>
            </w:r>
            <w:proofErr w:type="spellStart"/>
            <w:r>
              <w:rPr>
                <w:rFonts w:ascii="Times New Roman" w:hAnsi="Times New Roman"/>
                <w:sz w:val="20"/>
              </w:rPr>
              <w:t>Dataprev</w:t>
            </w:r>
            <w:proofErr w:type="spellEnd"/>
          </w:p>
        </w:tc>
      </w:tr>
      <w:tr w:rsidR="00203927" w14:paraId="543D28EB" w14:textId="77777777" w:rsidTr="00324773">
        <w:trPr>
          <w:jc w:val="center"/>
        </w:trPr>
        <w:tc>
          <w:tcPr>
            <w:tcW w:w="1271" w:type="dxa"/>
          </w:tcPr>
          <w:p w14:paraId="549FA3F2" w14:textId="77777777" w:rsidR="00203927" w:rsidRDefault="00000000" w:rsidP="00324773">
            <w:pPr>
              <w:spacing w:before="20" w:after="20"/>
              <w:jc w:val="center"/>
            </w:pPr>
            <w:r>
              <w:rPr>
                <w:rFonts w:ascii="Times New Roman" w:hAnsi="Times New Roman"/>
                <w:sz w:val="20"/>
              </w:rPr>
              <w:t>ARG-07</w:t>
            </w:r>
          </w:p>
        </w:tc>
        <w:tc>
          <w:tcPr>
            <w:tcW w:w="1701" w:type="dxa"/>
          </w:tcPr>
          <w:p w14:paraId="0B614DF0" w14:textId="77777777" w:rsidR="00203927" w:rsidRDefault="00000000" w:rsidP="00324773">
            <w:pPr>
              <w:spacing w:before="20" w:after="20"/>
              <w:jc w:val="center"/>
            </w:pPr>
            <w:r>
              <w:rPr>
                <w:rFonts w:ascii="Times New Roman" w:hAnsi="Times New Roman"/>
                <w:sz w:val="20"/>
              </w:rPr>
              <w:t>150</w:t>
            </w:r>
          </w:p>
        </w:tc>
        <w:tc>
          <w:tcPr>
            <w:tcW w:w="1985" w:type="dxa"/>
          </w:tcPr>
          <w:p w14:paraId="2EF7AD8E" w14:textId="77777777" w:rsidR="00203927" w:rsidRDefault="00000000" w:rsidP="00324773">
            <w:pPr>
              <w:spacing w:before="20" w:after="20"/>
              <w:jc w:val="center"/>
            </w:pPr>
            <w:r>
              <w:rPr>
                <w:rFonts w:ascii="Times New Roman" w:hAnsi="Times New Roman"/>
                <w:sz w:val="20"/>
              </w:rPr>
              <w:t>24-26</w:t>
            </w:r>
          </w:p>
        </w:tc>
        <w:tc>
          <w:tcPr>
            <w:tcW w:w="4439" w:type="dxa"/>
          </w:tcPr>
          <w:p w14:paraId="6EC9F15B" w14:textId="77777777" w:rsidR="00203927" w:rsidRDefault="00000000">
            <w:pPr>
              <w:spacing w:before="20" w:after="20"/>
            </w:pPr>
            <w:r>
              <w:rPr>
                <w:rFonts w:ascii="Times New Roman" w:hAnsi="Times New Roman"/>
                <w:sz w:val="20"/>
              </w:rPr>
              <w:t xml:space="preserve">Modelo </w:t>
            </w:r>
            <w:proofErr w:type="spellStart"/>
            <w:r>
              <w:rPr>
                <w:rFonts w:ascii="Times New Roman" w:hAnsi="Times New Roman"/>
                <w:sz w:val="20"/>
              </w:rPr>
              <w:t>híbrido</w:t>
            </w:r>
            <w:proofErr w:type="spellEnd"/>
            <w:r>
              <w:rPr>
                <w:rFonts w:ascii="Times New Roman" w:hAnsi="Times New Roman"/>
                <w:sz w:val="20"/>
              </w:rPr>
              <w:t xml:space="preserve"> de </w:t>
            </w:r>
            <w:proofErr w:type="spellStart"/>
            <w:r>
              <w:rPr>
                <w:rFonts w:ascii="Times New Roman" w:hAnsi="Times New Roman"/>
                <w:sz w:val="20"/>
              </w:rPr>
              <w:t>validação</w:t>
            </w:r>
            <w:proofErr w:type="spellEnd"/>
            <w:r>
              <w:rPr>
                <w:rFonts w:ascii="Times New Roman" w:hAnsi="Times New Roman"/>
                <w:sz w:val="20"/>
              </w:rPr>
              <w:t xml:space="preserve"> do </w:t>
            </w:r>
            <w:proofErr w:type="spellStart"/>
            <w:r>
              <w:rPr>
                <w:rFonts w:ascii="Times New Roman" w:hAnsi="Times New Roman"/>
                <w:sz w:val="20"/>
              </w:rPr>
              <w:t>Achado</w:t>
            </w:r>
            <w:proofErr w:type="spellEnd"/>
            <w:r>
              <w:rPr>
                <w:rFonts w:ascii="Times New Roman" w:hAnsi="Times New Roman"/>
                <w:sz w:val="20"/>
              </w:rPr>
              <w:t xml:space="preserve"> I</w:t>
            </w:r>
          </w:p>
        </w:tc>
      </w:tr>
      <w:tr w:rsidR="00203927" w14:paraId="69781191" w14:textId="77777777" w:rsidTr="00324773">
        <w:trPr>
          <w:jc w:val="center"/>
        </w:trPr>
        <w:tc>
          <w:tcPr>
            <w:tcW w:w="1271" w:type="dxa"/>
          </w:tcPr>
          <w:p w14:paraId="495798C3" w14:textId="77777777" w:rsidR="00203927" w:rsidRDefault="00000000" w:rsidP="00324773">
            <w:pPr>
              <w:spacing w:before="20" w:after="20"/>
              <w:jc w:val="center"/>
            </w:pPr>
            <w:r>
              <w:rPr>
                <w:rFonts w:ascii="Times New Roman" w:hAnsi="Times New Roman"/>
                <w:sz w:val="20"/>
              </w:rPr>
              <w:t>ARG-08</w:t>
            </w:r>
          </w:p>
        </w:tc>
        <w:tc>
          <w:tcPr>
            <w:tcW w:w="1701" w:type="dxa"/>
          </w:tcPr>
          <w:p w14:paraId="408C3F11" w14:textId="77777777" w:rsidR="00203927" w:rsidRDefault="00000000" w:rsidP="00324773">
            <w:pPr>
              <w:spacing w:before="20" w:after="20"/>
              <w:jc w:val="center"/>
            </w:pPr>
            <w:r>
              <w:rPr>
                <w:rFonts w:ascii="Times New Roman" w:hAnsi="Times New Roman"/>
                <w:sz w:val="20"/>
              </w:rPr>
              <w:t>150 / 163</w:t>
            </w:r>
          </w:p>
        </w:tc>
        <w:tc>
          <w:tcPr>
            <w:tcW w:w="1985" w:type="dxa"/>
          </w:tcPr>
          <w:p w14:paraId="5F5C3AED" w14:textId="77777777" w:rsidR="00203927" w:rsidRDefault="00000000" w:rsidP="00324773">
            <w:pPr>
              <w:spacing w:before="20" w:after="20"/>
              <w:jc w:val="center"/>
            </w:pPr>
            <w:r>
              <w:rPr>
                <w:rFonts w:ascii="Times New Roman" w:hAnsi="Times New Roman"/>
                <w:sz w:val="20"/>
              </w:rPr>
              <w:t>31, 63-64 / 1-2</w:t>
            </w:r>
          </w:p>
        </w:tc>
        <w:tc>
          <w:tcPr>
            <w:tcW w:w="4439" w:type="dxa"/>
          </w:tcPr>
          <w:p w14:paraId="704D8870" w14:textId="77777777" w:rsidR="00203927" w:rsidRDefault="00000000">
            <w:pPr>
              <w:spacing w:before="20" w:after="20"/>
            </w:pPr>
            <w:r>
              <w:rPr>
                <w:rFonts w:ascii="Times New Roman" w:hAnsi="Times New Roman"/>
                <w:sz w:val="20"/>
              </w:rPr>
              <w:t xml:space="preserve">Norma </w:t>
            </w:r>
            <w:proofErr w:type="spellStart"/>
            <w:r>
              <w:rPr>
                <w:rFonts w:ascii="Times New Roman" w:hAnsi="Times New Roman"/>
                <w:sz w:val="20"/>
              </w:rPr>
              <w:t>vigente</w:t>
            </w:r>
            <w:proofErr w:type="spellEnd"/>
            <w:r>
              <w:rPr>
                <w:rFonts w:ascii="Times New Roman" w:hAnsi="Times New Roman"/>
                <w:sz w:val="20"/>
              </w:rPr>
              <w:t xml:space="preserve"> à </w:t>
            </w:r>
            <w:proofErr w:type="spellStart"/>
            <w:r>
              <w:rPr>
                <w:rFonts w:ascii="Times New Roman" w:hAnsi="Times New Roman"/>
                <w:sz w:val="20"/>
              </w:rPr>
              <w:t>época</w:t>
            </w:r>
            <w:proofErr w:type="spellEnd"/>
            <w:r>
              <w:rPr>
                <w:rFonts w:ascii="Times New Roman" w:hAnsi="Times New Roman"/>
                <w:sz w:val="20"/>
              </w:rPr>
              <w:t xml:space="preserve">, conjunto </w:t>
            </w:r>
            <w:proofErr w:type="spellStart"/>
            <w:r>
              <w:rPr>
                <w:rFonts w:ascii="Times New Roman" w:hAnsi="Times New Roman"/>
                <w:sz w:val="20"/>
              </w:rPr>
              <w:t>probatório</w:t>
            </w:r>
            <w:proofErr w:type="spellEnd"/>
            <w:r>
              <w:rPr>
                <w:rFonts w:ascii="Times New Roman" w:hAnsi="Times New Roman"/>
                <w:sz w:val="20"/>
              </w:rPr>
              <w:t xml:space="preserve"> integral e </w:t>
            </w:r>
            <w:proofErr w:type="spellStart"/>
            <w:r>
              <w:rPr>
                <w:rFonts w:ascii="Times New Roman" w:hAnsi="Times New Roman"/>
                <w:sz w:val="20"/>
              </w:rPr>
              <w:t>enquadramento</w:t>
            </w:r>
            <w:proofErr w:type="spellEnd"/>
            <w:r>
              <w:rPr>
                <w:rFonts w:ascii="Times New Roman" w:hAnsi="Times New Roman"/>
                <w:sz w:val="20"/>
              </w:rPr>
              <w:t xml:space="preserve"> </w:t>
            </w:r>
            <w:proofErr w:type="spellStart"/>
            <w:r>
              <w:rPr>
                <w:rFonts w:ascii="Times New Roman" w:hAnsi="Times New Roman"/>
                <w:sz w:val="20"/>
              </w:rPr>
              <w:t>por</w:t>
            </w:r>
            <w:proofErr w:type="spellEnd"/>
            <w:r>
              <w:rPr>
                <w:rFonts w:ascii="Times New Roman" w:hAnsi="Times New Roman"/>
                <w:sz w:val="20"/>
              </w:rPr>
              <w:t xml:space="preserve"> </w:t>
            </w:r>
            <w:proofErr w:type="spellStart"/>
            <w:r>
              <w:rPr>
                <w:rFonts w:ascii="Times New Roman" w:hAnsi="Times New Roman"/>
                <w:sz w:val="20"/>
              </w:rPr>
              <w:t>período</w:t>
            </w:r>
            <w:proofErr w:type="spellEnd"/>
          </w:p>
        </w:tc>
      </w:tr>
      <w:tr w:rsidR="00203927" w14:paraId="34284090" w14:textId="77777777" w:rsidTr="00324773">
        <w:trPr>
          <w:jc w:val="center"/>
        </w:trPr>
        <w:tc>
          <w:tcPr>
            <w:tcW w:w="1271" w:type="dxa"/>
          </w:tcPr>
          <w:p w14:paraId="3E46E2A2" w14:textId="77777777" w:rsidR="00203927" w:rsidRDefault="00000000" w:rsidP="00324773">
            <w:pPr>
              <w:spacing w:before="20" w:after="20"/>
              <w:jc w:val="center"/>
            </w:pPr>
            <w:r>
              <w:rPr>
                <w:rFonts w:ascii="Times New Roman" w:hAnsi="Times New Roman"/>
                <w:sz w:val="20"/>
              </w:rPr>
              <w:t>ARG-09</w:t>
            </w:r>
          </w:p>
        </w:tc>
        <w:tc>
          <w:tcPr>
            <w:tcW w:w="1701" w:type="dxa"/>
          </w:tcPr>
          <w:p w14:paraId="40713D77" w14:textId="77777777" w:rsidR="00203927" w:rsidRDefault="00000000" w:rsidP="00324773">
            <w:pPr>
              <w:spacing w:before="20" w:after="20"/>
              <w:jc w:val="center"/>
            </w:pPr>
            <w:r>
              <w:rPr>
                <w:rFonts w:ascii="Times New Roman" w:hAnsi="Times New Roman"/>
                <w:sz w:val="20"/>
              </w:rPr>
              <w:t>150 / 157 / 158</w:t>
            </w:r>
          </w:p>
        </w:tc>
        <w:tc>
          <w:tcPr>
            <w:tcW w:w="1985" w:type="dxa"/>
          </w:tcPr>
          <w:p w14:paraId="534FC530" w14:textId="77777777" w:rsidR="00203927" w:rsidRDefault="00000000" w:rsidP="00324773">
            <w:pPr>
              <w:spacing w:before="20" w:after="20"/>
              <w:jc w:val="center"/>
            </w:pPr>
            <w:r>
              <w:rPr>
                <w:rFonts w:ascii="Times New Roman" w:hAnsi="Times New Roman"/>
                <w:sz w:val="20"/>
              </w:rPr>
              <w:t>21-29 / 1 / 1</w:t>
            </w:r>
          </w:p>
        </w:tc>
        <w:tc>
          <w:tcPr>
            <w:tcW w:w="4439" w:type="dxa"/>
          </w:tcPr>
          <w:p w14:paraId="364C9CCD" w14:textId="77777777" w:rsidR="00203927" w:rsidRDefault="00000000">
            <w:pPr>
              <w:spacing w:before="20" w:after="20"/>
            </w:pPr>
            <w:r>
              <w:rPr>
                <w:rFonts w:ascii="Times New Roman" w:hAnsi="Times New Roman"/>
                <w:sz w:val="20"/>
              </w:rPr>
              <w:t xml:space="preserve">Escala da base, </w:t>
            </w:r>
            <w:proofErr w:type="spellStart"/>
            <w:r>
              <w:rPr>
                <w:rFonts w:ascii="Times New Roman" w:hAnsi="Times New Roman"/>
                <w:sz w:val="20"/>
              </w:rPr>
              <w:t>validação</w:t>
            </w:r>
            <w:proofErr w:type="spellEnd"/>
            <w:r>
              <w:rPr>
                <w:rFonts w:ascii="Times New Roman" w:hAnsi="Times New Roman"/>
                <w:sz w:val="20"/>
              </w:rPr>
              <w:t xml:space="preserve"> manual e </w:t>
            </w:r>
            <w:proofErr w:type="spellStart"/>
            <w:r>
              <w:rPr>
                <w:rFonts w:ascii="Times New Roman" w:hAnsi="Times New Roman"/>
                <w:sz w:val="20"/>
              </w:rPr>
              <w:t>enfrentamento</w:t>
            </w:r>
            <w:proofErr w:type="spellEnd"/>
            <w:r>
              <w:rPr>
                <w:rFonts w:ascii="Times New Roman" w:hAnsi="Times New Roman"/>
                <w:sz w:val="20"/>
              </w:rPr>
              <w:t xml:space="preserve"> gradual do </w:t>
            </w:r>
            <w:proofErr w:type="spellStart"/>
            <w:r>
              <w:rPr>
                <w:rFonts w:ascii="Times New Roman" w:hAnsi="Times New Roman"/>
                <w:sz w:val="20"/>
              </w:rPr>
              <w:t>passivo</w:t>
            </w:r>
            <w:proofErr w:type="spellEnd"/>
            <w:r>
              <w:rPr>
                <w:rFonts w:ascii="Times New Roman" w:hAnsi="Times New Roman"/>
                <w:sz w:val="20"/>
              </w:rPr>
              <w:t xml:space="preserve"> documental</w:t>
            </w:r>
          </w:p>
        </w:tc>
      </w:tr>
      <w:tr w:rsidR="00203927" w14:paraId="5ABC3C42" w14:textId="77777777" w:rsidTr="00324773">
        <w:trPr>
          <w:jc w:val="center"/>
        </w:trPr>
        <w:tc>
          <w:tcPr>
            <w:tcW w:w="1271" w:type="dxa"/>
          </w:tcPr>
          <w:p w14:paraId="074190DC" w14:textId="77777777" w:rsidR="00203927" w:rsidRDefault="00000000" w:rsidP="00324773">
            <w:pPr>
              <w:spacing w:before="20" w:after="20"/>
              <w:jc w:val="center"/>
            </w:pPr>
            <w:r>
              <w:rPr>
                <w:rFonts w:ascii="Times New Roman" w:hAnsi="Times New Roman"/>
                <w:sz w:val="20"/>
              </w:rPr>
              <w:lastRenderedPageBreak/>
              <w:t>ARG-10</w:t>
            </w:r>
          </w:p>
        </w:tc>
        <w:tc>
          <w:tcPr>
            <w:tcW w:w="1701" w:type="dxa"/>
          </w:tcPr>
          <w:p w14:paraId="795EF267" w14:textId="77777777" w:rsidR="00203927" w:rsidRDefault="00000000" w:rsidP="00324773">
            <w:pPr>
              <w:spacing w:before="20" w:after="20"/>
              <w:jc w:val="center"/>
            </w:pPr>
            <w:r>
              <w:rPr>
                <w:rFonts w:ascii="Times New Roman" w:hAnsi="Times New Roman"/>
                <w:sz w:val="20"/>
              </w:rPr>
              <w:t>150</w:t>
            </w:r>
          </w:p>
        </w:tc>
        <w:tc>
          <w:tcPr>
            <w:tcW w:w="1985" w:type="dxa"/>
          </w:tcPr>
          <w:p w14:paraId="4A86593F" w14:textId="77777777" w:rsidR="00203927" w:rsidRDefault="00000000" w:rsidP="00324773">
            <w:pPr>
              <w:spacing w:before="20" w:after="20"/>
              <w:jc w:val="center"/>
            </w:pPr>
            <w:r>
              <w:rPr>
                <w:rFonts w:ascii="Times New Roman" w:hAnsi="Times New Roman"/>
                <w:sz w:val="20"/>
              </w:rPr>
              <w:t>23, 64</w:t>
            </w:r>
          </w:p>
        </w:tc>
        <w:tc>
          <w:tcPr>
            <w:tcW w:w="4439" w:type="dxa"/>
          </w:tcPr>
          <w:p w14:paraId="1F1A9B15" w14:textId="77777777" w:rsidR="00203927" w:rsidRDefault="00000000">
            <w:pPr>
              <w:spacing w:before="20" w:after="20"/>
            </w:pPr>
            <w:proofErr w:type="spellStart"/>
            <w:r>
              <w:rPr>
                <w:rFonts w:ascii="Times New Roman" w:hAnsi="Times New Roman"/>
                <w:sz w:val="20"/>
              </w:rPr>
              <w:t>Resolução</w:t>
            </w:r>
            <w:proofErr w:type="spellEnd"/>
            <w:r>
              <w:rPr>
                <w:rFonts w:ascii="Times New Roman" w:hAnsi="Times New Roman"/>
                <w:sz w:val="20"/>
              </w:rPr>
              <w:t xml:space="preserve"> </w:t>
            </w:r>
            <w:proofErr w:type="spellStart"/>
            <w:r>
              <w:rPr>
                <w:rFonts w:ascii="Times New Roman" w:hAnsi="Times New Roman"/>
                <w:sz w:val="20"/>
              </w:rPr>
              <w:t>Conarq</w:t>
            </w:r>
            <w:proofErr w:type="spellEnd"/>
            <w:r>
              <w:rPr>
                <w:rFonts w:ascii="Times New Roman" w:hAnsi="Times New Roman"/>
                <w:sz w:val="20"/>
              </w:rPr>
              <w:t xml:space="preserve"> e 300 DPI </w:t>
            </w:r>
            <w:proofErr w:type="spellStart"/>
            <w:r>
              <w:rPr>
                <w:rFonts w:ascii="Times New Roman" w:hAnsi="Times New Roman"/>
                <w:sz w:val="20"/>
              </w:rPr>
              <w:t>como</w:t>
            </w:r>
            <w:proofErr w:type="spellEnd"/>
            <w:r>
              <w:rPr>
                <w:rFonts w:ascii="Times New Roman" w:hAnsi="Times New Roman"/>
                <w:sz w:val="20"/>
              </w:rPr>
              <w:t xml:space="preserve"> </w:t>
            </w:r>
            <w:proofErr w:type="spellStart"/>
            <w:r>
              <w:rPr>
                <w:rFonts w:ascii="Times New Roman" w:hAnsi="Times New Roman"/>
                <w:sz w:val="20"/>
              </w:rPr>
              <w:t>referência</w:t>
            </w:r>
            <w:proofErr w:type="spellEnd"/>
            <w:r>
              <w:rPr>
                <w:rFonts w:ascii="Times New Roman" w:hAnsi="Times New Roman"/>
                <w:sz w:val="20"/>
              </w:rPr>
              <w:t xml:space="preserve"> </w:t>
            </w:r>
            <w:proofErr w:type="spellStart"/>
            <w:r>
              <w:rPr>
                <w:rFonts w:ascii="Times New Roman" w:hAnsi="Times New Roman"/>
                <w:sz w:val="20"/>
              </w:rPr>
              <w:t>orientativa</w:t>
            </w:r>
            <w:proofErr w:type="spellEnd"/>
          </w:p>
        </w:tc>
      </w:tr>
      <w:tr w:rsidR="00203927" w14:paraId="3F41B021" w14:textId="77777777" w:rsidTr="00324773">
        <w:trPr>
          <w:jc w:val="center"/>
        </w:trPr>
        <w:tc>
          <w:tcPr>
            <w:tcW w:w="1271" w:type="dxa"/>
          </w:tcPr>
          <w:p w14:paraId="0260A2B2" w14:textId="77777777" w:rsidR="00203927" w:rsidRDefault="00000000" w:rsidP="00324773">
            <w:pPr>
              <w:spacing w:before="20" w:after="20"/>
              <w:jc w:val="center"/>
            </w:pPr>
            <w:r>
              <w:rPr>
                <w:rFonts w:ascii="Times New Roman" w:hAnsi="Times New Roman"/>
                <w:sz w:val="20"/>
              </w:rPr>
              <w:t>ARG-11</w:t>
            </w:r>
          </w:p>
        </w:tc>
        <w:tc>
          <w:tcPr>
            <w:tcW w:w="1701" w:type="dxa"/>
          </w:tcPr>
          <w:p w14:paraId="504E3DA9" w14:textId="77777777" w:rsidR="00203927" w:rsidRDefault="00000000" w:rsidP="00324773">
            <w:pPr>
              <w:spacing w:before="20" w:after="20"/>
              <w:jc w:val="center"/>
            </w:pPr>
            <w:r>
              <w:rPr>
                <w:rFonts w:ascii="Times New Roman" w:hAnsi="Times New Roman"/>
                <w:sz w:val="20"/>
              </w:rPr>
              <w:t>150</w:t>
            </w:r>
          </w:p>
        </w:tc>
        <w:tc>
          <w:tcPr>
            <w:tcW w:w="1985" w:type="dxa"/>
          </w:tcPr>
          <w:p w14:paraId="64A062AC" w14:textId="77777777" w:rsidR="00203927" w:rsidRDefault="00000000" w:rsidP="00324773">
            <w:pPr>
              <w:spacing w:before="20" w:after="20"/>
              <w:jc w:val="center"/>
            </w:pPr>
            <w:r>
              <w:rPr>
                <w:rFonts w:ascii="Times New Roman" w:hAnsi="Times New Roman"/>
                <w:sz w:val="20"/>
              </w:rPr>
              <w:t>27-29, 46</w:t>
            </w:r>
          </w:p>
        </w:tc>
        <w:tc>
          <w:tcPr>
            <w:tcW w:w="4439" w:type="dxa"/>
          </w:tcPr>
          <w:p w14:paraId="77F64F00" w14:textId="77777777" w:rsidR="00203927" w:rsidRDefault="00000000">
            <w:pPr>
              <w:spacing w:before="20" w:after="20"/>
            </w:pPr>
            <w:r>
              <w:rPr>
                <w:rFonts w:ascii="Times New Roman" w:hAnsi="Times New Roman"/>
                <w:sz w:val="20"/>
              </w:rPr>
              <w:t xml:space="preserve">Risco de </w:t>
            </w:r>
            <w:proofErr w:type="spellStart"/>
            <w:r>
              <w:rPr>
                <w:rFonts w:ascii="Times New Roman" w:hAnsi="Times New Roman"/>
                <w:sz w:val="20"/>
              </w:rPr>
              <w:t>desvio</w:t>
            </w:r>
            <w:proofErr w:type="spellEnd"/>
            <w:r>
              <w:rPr>
                <w:rFonts w:ascii="Times New Roman" w:hAnsi="Times New Roman"/>
                <w:sz w:val="20"/>
              </w:rPr>
              <w:t xml:space="preserve"> de </w:t>
            </w:r>
            <w:proofErr w:type="spellStart"/>
            <w:r>
              <w:rPr>
                <w:rFonts w:ascii="Times New Roman" w:hAnsi="Times New Roman"/>
                <w:sz w:val="20"/>
              </w:rPr>
              <w:t>finalidade</w:t>
            </w:r>
            <w:proofErr w:type="spellEnd"/>
            <w:r>
              <w:rPr>
                <w:rFonts w:ascii="Times New Roman" w:hAnsi="Times New Roman"/>
                <w:sz w:val="20"/>
              </w:rPr>
              <w:t xml:space="preserve"> </w:t>
            </w:r>
            <w:proofErr w:type="spellStart"/>
            <w:r>
              <w:rPr>
                <w:rFonts w:ascii="Times New Roman" w:hAnsi="Times New Roman"/>
                <w:sz w:val="20"/>
              </w:rPr>
              <w:t>não</w:t>
            </w:r>
            <w:proofErr w:type="spellEnd"/>
            <w:r>
              <w:rPr>
                <w:rFonts w:ascii="Times New Roman" w:hAnsi="Times New Roman"/>
                <w:sz w:val="20"/>
              </w:rPr>
              <w:t xml:space="preserve"> </w:t>
            </w:r>
            <w:proofErr w:type="spellStart"/>
            <w:r>
              <w:rPr>
                <w:rFonts w:ascii="Times New Roman" w:hAnsi="Times New Roman"/>
                <w:sz w:val="20"/>
              </w:rPr>
              <w:t>decorre</w:t>
            </w:r>
            <w:proofErr w:type="spellEnd"/>
            <w:r>
              <w:rPr>
                <w:rFonts w:ascii="Times New Roman" w:hAnsi="Times New Roman"/>
                <w:sz w:val="20"/>
              </w:rPr>
              <w:t xml:space="preserve"> </w:t>
            </w:r>
            <w:proofErr w:type="spellStart"/>
            <w:r>
              <w:rPr>
                <w:rFonts w:ascii="Times New Roman" w:hAnsi="Times New Roman"/>
                <w:sz w:val="20"/>
              </w:rPr>
              <w:t>linearmente</w:t>
            </w:r>
            <w:proofErr w:type="spellEnd"/>
            <w:r>
              <w:rPr>
                <w:rFonts w:ascii="Times New Roman" w:hAnsi="Times New Roman"/>
                <w:sz w:val="20"/>
              </w:rPr>
              <w:t xml:space="preserve"> do CAF</w:t>
            </w:r>
          </w:p>
        </w:tc>
      </w:tr>
      <w:tr w:rsidR="00203927" w14:paraId="15C054FD" w14:textId="77777777" w:rsidTr="00324773">
        <w:trPr>
          <w:jc w:val="center"/>
        </w:trPr>
        <w:tc>
          <w:tcPr>
            <w:tcW w:w="1271" w:type="dxa"/>
          </w:tcPr>
          <w:p w14:paraId="560EC8DD" w14:textId="77777777" w:rsidR="00203927" w:rsidRDefault="00000000" w:rsidP="00324773">
            <w:pPr>
              <w:spacing w:before="20" w:after="20"/>
              <w:jc w:val="center"/>
            </w:pPr>
            <w:r>
              <w:rPr>
                <w:rFonts w:ascii="Times New Roman" w:hAnsi="Times New Roman"/>
                <w:sz w:val="20"/>
              </w:rPr>
              <w:t>ARG-12</w:t>
            </w:r>
          </w:p>
        </w:tc>
        <w:tc>
          <w:tcPr>
            <w:tcW w:w="1701" w:type="dxa"/>
          </w:tcPr>
          <w:p w14:paraId="103CAF30" w14:textId="77777777" w:rsidR="00203927" w:rsidRDefault="00000000" w:rsidP="00324773">
            <w:pPr>
              <w:spacing w:before="20" w:after="20"/>
              <w:jc w:val="center"/>
            </w:pPr>
            <w:r>
              <w:rPr>
                <w:rFonts w:ascii="Times New Roman" w:hAnsi="Times New Roman"/>
                <w:sz w:val="20"/>
              </w:rPr>
              <w:t>150</w:t>
            </w:r>
          </w:p>
        </w:tc>
        <w:tc>
          <w:tcPr>
            <w:tcW w:w="1985" w:type="dxa"/>
          </w:tcPr>
          <w:p w14:paraId="0319834E" w14:textId="77777777" w:rsidR="00203927" w:rsidRDefault="00000000" w:rsidP="00324773">
            <w:pPr>
              <w:spacing w:before="20" w:after="20"/>
              <w:jc w:val="center"/>
            </w:pPr>
            <w:r>
              <w:rPr>
                <w:rFonts w:ascii="Times New Roman" w:hAnsi="Times New Roman"/>
                <w:sz w:val="20"/>
              </w:rPr>
              <w:t>30, 56, 72-73</w:t>
            </w:r>
          </w:p>
        </w:tc>
        <w:tc>
          <w:tcPr>
            <w:tcW w:w="4439" w:type="dxa"/>
          </w:tcPr>
          <w:p w14:paraId="04CF0A07" w14:textId="77777777" w:rsidR="00203927" w:rsidRDefault="00000000">
            <w:pPr>
              <w:spacing w:before="20" w:after="20"/>
            </w:pPr>
            <w:proofErr w:type="spellStart"/>
            <w:r>
              <w:rPr>
                <w:rFonts w:ascii="Times New Roman" w:hAnsi="Times New Roman"/>
                <w:sz w:val="20"/>
              </w:rPr>
              <w:t>Escalonamento</w:t>
            </w:r>
            <w:proofErr w:type="spellEnd"/>
            <w:r>
              <w:rPr>
                <w:rFonts w:ascii="Times New Roman" w:hAnsi="Times New Roman"/>
                <w:sz w:val="20"/>
              </w:rPr>
              <w:t xml:space="preserve"> </w:t>
            </w:r>
            <w:proofErr w:type="spellStart"/>
            <w:r>
              <w:rPr>
                <w:rFonts w:ascii="Times New Roman" w:hAnsi="Times New Roman"/>
                <w:sz w:val="20"/>
              </w:rPr>
              <w:t>por</w:t>
            </w:r>
            <w:proofErr w:type="spellEnd"/>
            <w:r>
              <w:rPr>
                <w:rFonts w:ascii="Times New Roman" w:hAnsi="Times New Roman"/>
                <w:sz w:val="20"/>
              </w:rPr>
              <w:t xml:space="preserve"> </w:t>
            </w:r>
            <w:proofErr w:type="spellStart"/>
            <w:r>
              <w:rPr>
                <w:rFonts w:ascii="Times New Roman" w:hAnsi="Times New Roman"/>
                <w:sz w:val="20"/>
              </w:rPr>
              <w:t>materialidade</w:t>
            </w:r>
            <w:proofErr w:type="spellEnd"/>
            <w:r>
              <w:rPr>
                <w:rFonts w:ascii="Times New Roman" w:hAnsi="Times New Roman"/>
                <w:sz w:val="20"/>
              </w:rPr>
              <w:t xml:space="preserve"> e </w:t>
            </w:r>
            <w:proofErr w:type="spellStart"/>
            <w:r>
              <w:rPr>
                <w:rFonts w:ascii="Times New Roman" w:hAnsi="Times New Roman"/>
                <w:sz w:val="20"/>
              </w:rPr>
              <w:t>revisão</w:t>
            </w:r>
            <w:proofErr w:type="spellEnd"/>
            <w:r>
              <w:rPr>
                <w:rFonts w:ascii="Times New Roman" w:hAnsi="Times New Roman"/>
                <w:sz w:val="20"/>
              </w:rPr>
              <w:t xml:space="preserve"> dos </w:t>
            </w:r>
            <w:proofErr w:type="spellStart"/>
            <w:r>
              <w:rPr>
                <w:rFonts w:ascii="Times New Roman" w:hAnsi="Times New Roman"/>
                <w:sz w:val="20"/>
              </w:rPr>
              <w:t>encaminhamentos</w:t>
            </w:r>
            <w:proofErr w:type="spellEnd"/>
            <w:r>
              <w:rPr>
                <w:rFonts w:ascii="Times New Roman" w:hAnsi="Times New Roman"/>
                <w:sz w:val="20"/>
              </w:rPr>
              <w:t xml:space="preserve"> do </w:t>
            </w:r>
            <w:proofErr w:type="spellStart"/>
            <w:r>
              <w:rPr>
                <w:rFonts w:ascii="Times New Roman" w:hAnsi="Times New Roman"/>
                <w:sz w:val="20"/>
              </w:rPr>
              <w:t>Achado</w:t>
            </w:r>
            <w:proofErr w:type="spellEnd"/>
            <w:r>
              <w:rPr>
                <w:rFonts w:ascii="Times New Roman" w:hAnsi="Times New Roman"/>
                <w:sz w:val="20"/>
              </w:rPr>
              <w:t xml:space="preserve"> I</w:t>
            </w:r>
          </w:p>
        </w:tc>
      </w:tr>
      <w:tr w:rsidR="00203927" w14:paraId="22032BC8" w14:textId="77777777" w:rsidTr="00324773">
        <w:trPr>
          <w:jc w:val="center"/>
        </w:trPr>
        <w:tc>
          <w:tcPr>
            <w:tcW w:w="1271" w:type="dxa"/>
          </w:tcPr>
          <w:p w14:paraId="0E8918FE" w14:textId="77777777" w:rsidR="00203927" w:rsidRDefault="00000000" w:rsidP="00324773">
            <w:pPr>
              <w:spacing w:before="20" w:after="20"/>
              <w:jc w:val="center"/>
            </w:pPr>
            <w:r>
              <w:rPr>
                <w:rFonts w:ascii="Times New Roman" w:hAnsi="Times New Roman"/>
                <w:sz w:val="20"/>
              </w:rPr>
              <w:t>ARG-13</w:t>
            </w:r>
          </w:p>
        </w:tc>
        <w:tc>
          <w:tcPr>
            <w:tcW w:w="1701" w:type="dxa"/>
          </w:tcPr>
          <w:p w14:paraId="3C908522" w14:textId="77777777" w:rsidR="00203927" w:rsidRDefault="00000000" w:rsidP="00324773">
            <w:pPr>
              <w:spacing w:before="20" w:after="20"/>
              <w:jc w:val="center"/>
            </w:pPr>
            <w:r>
              <w:rPr>
                <w:rFonts w:ascii="Times New Roman" w:hAnsi="Times New Roman"/>
                <w:sz w:val="20"/>
              </w:rPr>
              <w:t>166</w:t>
            </w:r>
          </w:p>
        </w:tc>
        <w:tc>
          <w:tcPr>
            <w:tcW w:w="1985" w:type="dxa"/>
          </w:tcPr>
          <w:p w14:paraId="0F504E3A" w14:textId="77777777" w:rsidR="00203927" w:rsidRDefault="00000000" w:rsidP="00324773">
            <w:pPr>
              <w:spacing w:before="20" w:after="20"/>
              <w:jc w:val="center"/>
            </w:pPr>
            <w:r>
              <w:rPr>
                <w:rFonts w:ascii="Times New Roman" w:hAnsi="Times New Roman"/>
                <w:sz w:val="20"/>
              </w:rPr>
              <w:t>1</w:t>
            </w:r>
          </w:p>
        </w:tc>
        <w:tc>
          <w:tcPr>
            <w:tcW w:w="4439" w:type="dxa"/>
          </w:tcPr>
          <w:p w14:paraId="16D5C56A" w14:textId="77777777" w:rsidR="00203927" w:rsidRDefault="00000000">
            <w:pPr>
              <w:spacing w:before="20" w:after="20"/>
            </w:pPr>
            <w:proofErr w:type="spellStart"/>
            <w:r>
              <w:rPr>
                <w:rFonts w:ascii="Times New Roman" w:hAnsi="Times New Roman"/>
                <w:sz w:val="20"/>
              </w:rPr>
              <w:t>Contestação</w:t>
            </w:r>
            <w:proofErr w:type="spellEnd"/>
            <w:r>
              <w:rPr>
                <w:rFonts w:ascii="Times New Roman" w:hAnsi="Times New Roman"/>
                <w:sz w:val="20"/>
              </w:rPr>
              <w:t xml:space="preserve"> </w:t>
            </w:r>
            <w:proofErr w:type="spellStart"/>
            <w:r>
              <w:rPr>
                <w:rFonts w:ascii="Times New Roman" w:hAnsi="Times New Roman"/>
                <w:sz w:val="20"/>
              </w:rPr>
              <w:t>específica</w:t>
            </w:r>
            <w:proofErr w:type="spellEnd"/>
            <w:r>
              <w:rPr>
                <w:rFonts w:ascii="Times New Roman" w:hAnsi="Times New Roman"/>
                <w:sz w:val="20"/>
              </w:rPr>
              <w:t xml:space="preserve"> </w:t>
            </w:r>
            <w:proofErr w:type="spellStart"/>
            <w:r>
              <w:rPr>
                <w:rFonts w:ascii="Times New Roman" w:hAnsi="Times New Roman"/>
                <w:sz w:val="20"/>
              </w:rPr>
              <w:t>ao</w:t>
            </w:r>
            <w:proofErr w:type="spellEnd"/>
            <w:r>
              <w:rPr>
                <w:rFonts w:ascii="Times New Roman" w:hAnsi="Times New Roman"/>
                <w:sz w:val="20"/>
              </w:rPr>
              <w:t xml:space="preserve"> </w:t>
            </w:r>
            <w:proofErr w:type="spellStart"/>
            <w:r>
              <w:rPr>
                <w:rFonts w:ascii="Times New Roman" w:hAnsi="Times New Roman"/>
                <w:sz w:val="20"/>
              </w:rPr>
              <w:t>Documento</w:t>
            </w:r>
            <w:proofErr w:type="spellEnd"/>
            <w:r>
              <w:rPr>
                <w:rFonts w:ascii="Times New Roman" w:hAnsi="Times New Roman"/>
                <w:sz w:val="20"/>
              </w:rPr>
              <w:t xml:space="preserve"> 105</w:t>
            </w:r>
          </w:p>
        </w:tc>
      </w:tr>
      <w:tr w:rsidR="00203927" w14:paraId="2E0A2014" w14:textId="77777777" w:rsidTr="00324773">
        <w:trPr>
          <w:jc w:val="center"/>
        </w:trPr>
        <w:tc>
          <w:tcPr>
            <w:tcW w:w="1271" w:type="dxa"/>
          </w:tcPr>
          <w:p w14:paraId="6EB35AF0" w14:textId="77777777" w:rsidR="00203927" w:rsidRDefault="00000000" w:rsidP="00324773">
            <w:pPr>
              <w:spacing w:before="20" w:after="20"/>
              <w:jc w:val="center"/>
            </w:pPr>
            <w:r>
              <w:rPr>
                <w:rFonts w:ascii="Times New Roman" w:hAnsi="Times New Roman"/>
                <w:sz w:val="20"/>
              </w:rPr>
              <w:t>ARG-14</w:t>
            </w:r>
          </w:p>
        </w:tc>
        <w:tc>
          <w:tcPr>
            <w:tcW w:w="1701" w:type="dxa"/>
          </w:tcPr>
          <w:p w14:paraId="71B4ADBC" w14:textId="77777777" w:rsidR="00203927" w:rsidRDefault="00000000" w:rsidP="00324773">
            <w:pPr>
              <w:spacing w:before="20" w:after="20"/>
              <w:jc w:val="center"/>
            </w:pPr>
            <w:r>
              <w:rPr>
                <w:rFonts w:ascii="Times New Roman" w:hAnsi="Times New Roman"/>
                <w:sz w:val="20"/>
              </w:rPr>
              <w:t>166</w:t>
            </w:r>
          </w:p>
        </w:tc>
        <w:tc>
          <w:tcPr>
            <w:tcW w:w="1985" w:type="dxa"/>
          </w:tcPr>
          <w:p w14:paraId="3B79EB93" w14:textId="77777777" w:rsidR="00203927" w:rsidRDefault="00000000" w:rsidP="00324773">
            <w:pPr>
              <w:spacing w:before="20" w:after="20"/>
              <w:jc w:val="center"/>
            </w:pPr>
            <w:r>
              <w:rPr>
                <w:rFonts w:ascii="Times New Roman" w:hAnsi="Times New Roman"/>
                <w:sz w:val="20"/>
              </w:rPr>
              <w:t>2</w:t>
            </w:r>
          </w:p>
        </w:tc>
        <w:tc>
          <w:tcPr>
            <w:tcW w:w="4439" w:type="dxa"/>
          </w:tcPr>
          <w:p w14:paraId="4F4F3DFE" w14:textId="77777777" w:rsidR="00203927" w:rsidRDefault="00000000">
            <w:pPr>
              <w:spacing w:before="20" w:after="20"/>
            </w:pPr>
            <w:proofErr w:type="spellStart"/>
            <w:r>
              <w:rPr>
                <w:rFonts w:ascii="Times New Roman" w:hAnsi="Times New Roman"/>
                <w:sz w:val="20"/>
              </w:rPr>
              <w:t>Proporção</w:t>
            </w:r>
            <w:proofErr w:type="spellEnd"/>
            <w:r>
              <w:rPr>
                <w:rFonts w:ascii="Times New Roman" w:hAnsi="Times New Roman"/>
                <w:sz w:val="20"/>
              </w:rPr>
              <w:t xml:space="preserve"> de </w:t>
            </w:r>
            <w:proofErr w:type="spellStart"/>
            <w:r>
              <w:rPr>
                <w:rFonts w:ascii="Times New Roman" w:hAnsi="Times New Roman"/>
                <w:sz w:val="20"/>
              </w:rPr>
              <w:t>conformidade</w:t>
            </w:r>
            <w:proofErr w:type="spellEnd"/>
            <w:r>
              <w:rPr>
                <w:rFonts w:ascii="Times New Roman" w:hAnsi="Times New Roman"/>
                <w:sz w:val="20"/>
              </w:rPr>
              <w:t xml:space="preserve"> e </w:t>
            </w:r>
            <w:proofErr w:type="spellStart"/>
            <w:r>
              <w:rPr>
                <w:rFonts w:ascii="Times New Roman" w:hAnsi="Times New Roman"/>
                <w:sz w:val="20"/>
              </w:rPr>
              <w:t>limites</w:t>
            </w:r>
            <w:proofErr w:type="spellEnd"/>
            <w:r>
              <w:rPr>
                <w:rFonts w:ascii="Times New Roman" w:hAnsi="Times New Roman"/>
                <w:sz w:val="20"/>
              </w:rPr>
              <w:t xml:space="preserve"> de </w:t>
            </w:r>
            <w:proofErr w:type="spellStart"/>
            <w:r>
              <w:rPr>
                <w:rFonts w:ascii="Times New Roman" w:hAnsi="Times New Roman"/>
                <w:sz w:val="20"/>
              </w:rPr>
              <w:t>generalização</w:t>
            </w:r>
            <w:proofErr w:type="spellEnd"/>
            <w:r>
              <w:rPr>
                <w:rFonts w:ascii="Times New Roman" w:hAnsi="Times New Roman"/>
                <w:sz w:val="20"/>
              </w:rPr>
              <w:t xml:space="preserve"> da </w:t>
            </w:r>
            <w:proofErr w:type="spellStart"/>
            <w:r>
              <w:rPr>
                <w:rFonts w:ascii="Times New Roman" w:hAnsi="Times New Roman"/>
                <w:sz w:val="20"/>
              </w:rPr>
              <w:t>reanálise</w:t>
            </w:r>
            <w:proofErr w:type="spellEnd"/>
            <w:r>
              <w:rPr>
                <w:rFonts w:ascii="Times New Roman" w:hAnsi="Times New Roman"/>
                <w:sz w:val="20"/>
              </w:rPr>
              <w:t xml:space="preserve"> ministerial</w:t>
            </w:r>
          </w:p>
        </w:tc>
      </w:tr>
      <w:tr w:rsidR="00203927" w14:paraId="2A8A29AB" w14:textId="77777777" w:rsidTr="00324773">
        <w:trPr>
          <w:jc w:val="center"/>
        </w:trPr>
        <w:tc>
          <w:tcPr>
            <w:tcW w:w="1271" w:type="dxa"/>
          </w:tcPr>
          <w:p w14:paraId="557D5AD5" w14:textId="77777777" w:rsidR="00203927" w:rsidRDefault="00000000" w:rsidP="00324773">
            <w:pPr>
              <w:spacing w:before="20" w:after="20"/>
              <w:jc w:val="center"/>
            </w:pPr>
            <w:r>
              <w:rPr>
                <w:rFonts w:ascii="Times New Roman" w:hAnsi="Times New Roman"/>
                <w:sz w:val="20"/>
              </w:rPr>
              <w:t>ARG-15</w:t>
            </w:r>
          </w:p>
        </w:tc>
        <w:tc>
          <w:tcPr>
            <w:tcW w:w="1701" w:type="dxa"/>
          </w:tcPr>
          <w:p w14:paraId="451286BA" w14:textId="77777777" w:rsidR="00203927" w:rsidRDefault="00000000" w:rsidP="00324773">
            <w:pPr>
              <w:spacing w:before="20" w:after="20"/>
              <w:jc w:val="center"/>
            </w:pPr>
            <w:r>
              <w:rPr>
                <w:rFonts w:ascii="Times New Roman" w:hAnsi="Times New Roman"/>
                <w:sz w:val="20"/>
              </w:rPr>
              <w:t>150</w:t>
            </w:r>
          </w:p>
        </w:tc>
        <w:tc>
          <w:tcPr>
            <w:tcW w:w="1985" w:type="dxa"/>
          </w:tcPr>
          <w:p w14:paraId="72C7763E" w14:textId="77777777" w:rsidR="00203927" w:rsidRDefault="00000000" w:rsidP="00324773">
            <w:pPr>
              <w:spacing w:before="20" w:after="20"/>
              <w:jc w:val="center"/>
            </w:pPr>
            <w:r>
              <w:rPr>
                <w:rFonts w:ascii="Times New Roman" w:hAnsi="Times New Roman"/>
                <w:sz w:val="20"/>
              </w:rPr>
              <w:t>34-35, 72</w:t>
            </w:r>
          </w:p>
        </w:tc>
        <w:tc>
          <w:tcPr>
            <w:tcW w:w="4439" w:type="dxa"/>
          </w:tcPr>
          <w:p w14:paraId="69101F35" w14:textId="77777777" w:rsidR="00203927" w:rsidRDefault="00000000">
            <w:pPr>
              <w:spacing w:before="20" w:after="20"/>
            </w:pPr>
            <w:proofErr w:type="spellStart"/>
            <w:r>
              <w:rPr>
                <w:rFonts w:ascii="Times New Roman" w:hAnsi="Times New Roman"/>
                <w:sz w:val="20"/>
              </w:rPr>
              <w:t>Delimitação</w:t>
            </w:r>
            <w:proofErr w:type="spellEnd"/>
            <w:r>
              <w:rPr>
                <w:rFonts w:ascii="Times New Roman" w:hAnsi="Times New Roman"/>
                <w:sz w:val="20"/>
              </w:rPr>
              <w:t xml:space="preserve"> do </w:t>
            </w:r>
            <w:proofErr w:type="spellStart"/>
            <w:r>
              <w:rPr>
                <w:rFonts w:ascii="Times New Roman" w:hAnsi="Times New Roman"/>
                <w:sz w:val="20"/>
              </w:rPr>
              <w:t>Achado</w:t>
            </w:r>
            <w:proofErr w:type="spellEnd"/>
            <w:r>
              <w:rPr>
                <w:rFonts w:ascii="Times New Roman" w:hAnsi="Times New Roman"/>
                <w:sz w:val="20"/>
              </w:rPr>
              <w:t xml:space="preserve"> II </w:t>
            </w:r>
            <w:proofErr w:type="spellStart"/>
            <w:r>
              <w:rPr>
                <w:rFonts w:ascii="Times New Roman" w:hAnsi="Times New Roman"/>
                <w:sz w:val="20"/>
              </w:rPr>
              <w:t>como</w:t>
            </w:r>
            <w:proofErr w:type="spellEnd"/>
            <w:r>
              <w:rPr>
                <w:rFonts w:ascii="Times New Roman" w:hAnsi="Times New Roman"/>
                <w:sz w:val="20"/>
              </w:rPr>
              <w:t xml:space="preserve"> </w:t>
            </w:r>
            <w:proofErr w:type="spellStart"/>
            <w:r>
              <w:rPr>
                <w:rFonts w:ascii="Times New Roman" w:hAnsi="Times New Roman"/>
                <w:sz w:val="20"/>
              </w:rPr>
              <w:t>problema</w:t>
            </w:r>
            <w:proofErr w:type="spellEnd"/>
            <w:r>
              <w:rPr>
                <w:rFonts w:ascii="Times New Roman" w:hAnsi="Times New Roman"/>
                <w:sz w:val="20"/>
              </w:rPr>
              <w:t xml:space="preserve"> </w:t>
            </w:r>
            <w:proofErr w:type="spellStart"/>
            <w:r>
              <w:rPr>
                <w:rFonts w:ascii="Times New Roman" w:hAnsi="Times New Roman"/>
                <w:sz w:val="20"/>
              </w:rPr>
              <w:t>geoespacial</w:t>
            </w:r>
            <w:proofErr w:type="spellEnd"/>
            <w:r>
              <w:rPr>
                <w:rFonts w:ascii="Times New Roman" w:hAnsi="Times New Roman"/>
                <w:sz w:val="20"/>
              </w:rPr>
              <w:t xml:space="preserve">, </w:t>
            </w:r>
            <w:proofErr w:type="spellStart"/>
            <w:r>
              <w:rPr>
                <w:rFonts w:ascii="Times New Roman" w:hAnsi="Times New Roman"/>
                <w:sz w:val="20"/>
              </w:rPr>
              <w:t>não</w:t>
            </w:r>
            <w:proofErr w:type="spellEnd"/>
            <w:r>
              <w:rPr>
                <w:rFonts w:ascii="Times New Roman" w:hAnsi="Times New Roman"/>
                <w:sz w:val="20"/>
              </w:rPr>
              <w:t xml:space="preserve"> de </w:t>
            </w:r>
            <w:proofErr w:type="spellStart"/>
            <w:r>
              <w:rPr>
                <w:rFonts w:ascii="Times New Roman" w:hAnsi="Times New Roman"/>
                <w:sz w:val="20"/>
              </w:rPr>
              <w:t>finalidade</w:t>
            </w:r>
            <w:proofErr w:type="spellEnd"/>
            <w:r>
              <w:rPr>
                <w:rFonts w:ascii="Times New Roman" w:hAnsi="Times New Roman"/>
                <w:sz w:val="20"/>
              </w:rPr>
              <w:t xml:space="preserve"> </w:t>
            </w:r>
            <w:proofErr w:type="spellStart"/>
            <w:r>
              <w:rPr>
                <w:rFonts w:ascii="Times New Roman" w:hAnsi="Times New Roman"/>
                <w:sz w:val="20"/>
              </w:rPr>
              <w:t>jurídica</w:t>
            </w:r>
            <w:proofErr w:type="spellEnd"/>
            <w:r>
              <w:rPr>
                <w:rFonts w:ascii="Times New Roman" w:hAnsi="Times New Roman"/>
                <w:sz w:val="20"/>
              </w:rPr>
              <w:t xml:space="preserve"> do CAF</w:t>
            </w:r>
          </w:p>
        </w:tc>
      </w:tr>
      <w:tr w:rsidR="00203927" w14:paraId="60D4CECB" w14:textId="77777777" w:rsidTr="00324773">
        <w:trPr>
          <w:jc w:val="center"/>
        </w:trPr>
        <w:tc>
          <w:tcPr>
            <w:tcW w:w="1271" w:type="dxa"/>
          </w:tcPr>
          <w:p w14:paraId="116D50CD" w14:textId="77777777" w:rsidR="00203927" w:rsidRDefault="00000000" w:rsidP="00324773">
            <w:pPr>
              <w:spacing w:before="20" w:after="20"/>
              <w:jc w:val="center"/>
            </w:pPr>
            <w:r>
              <w:rPr>
                <w:rFonts w:ascii="Times New Roman" w:hAnsi="Times New Roman"/>
                <w:sz w:val="20"/>
              </w:rPr>
              <w:t>ARG-16</w:t>
            </w:r>
          </w:p>
        </w:tc>
        <w:tc>
          <w:tcPr>
            <w:tcW w:w="1701" w:type="dxa"/>
          </w:tcPr>
          <w:p w14:paraId="29C18D7C" w14:textId="77777777" w:rsidR="00203927" w:rsidRDefault="00000000" w:rsidP="00324773">
            <w:pPr>
              <w:spacing w:before="20" w:after="20"/>
              <w:jc w:val="center"/>
            </w:pPr>
            <w:r>
              <w:rPr>
                <w:rFonts w:ascii="Times New Roman" w:hAnsi="Times New Roman"/>
                <w:sz w:val="20"/>
              </w:rPr>
              <w:t>150 / 152 / 153</w:t>
            </w:r>
          </w:p>
        </w:tc>
        <w:tc>
          <w:tcPr>
            <w:tcW w:w="1985" w:type="dxa"/>
          </w:tcPr>
          <w:p w14:paraId="015D8CB1" w14:textId="77777777" w:rsidR="00203927" w:rsidRDefault="00000000" w:rsidP="00324773">
            <w:pPr>
              <w:spacing w:before="20" w:after="20"/>
              <w:jc w:val="center"/>
            </w:pPr>
            <w:r>
              <w:rPr>
                <w:rFonts w:ascii="Times New Roman" w:hAnsi="Times New Roman"/>
                <w:sz w:val="20"/>
              </w:rPr>
              <w:t>35, 40 / 11-13 / 4</w:t>
            </w:r>
          </w:p>
        </w:tc>
        <w:tc>
          <w:tcPr>
            <w:tcW w:w="4439" w:type="dxa"/>
          </w:tcPr>
          <w:p w14:paraId="7CEB1014" w14:textId="77777777" w:rsidR="00203927" w:rsidRDefault="00000000">
            <w:pPr>
              <w:spacing w:before="20" w:after="20"/>
            </w:pPr>
            <w:proofErr w:type="spellStart"/>
            <w:r>
              <w:rPr>
                <w:rFonts w:ascii="Times New Roman" w:hAnsi="Times New Roman"/>
                <w:sz w:val="20"/>
              </w:rPr>
              <w:t>Contrapartidas</w:t>
            </w:r>
            <w:proofErr w:type="spellEnd"/>
            <w:r>
              <w:rPr>
                <w:rFonts w:ascii="Times New Roman" w:hAnsi="Times New Roman"/>
                <w:sz w:val="20"/>
              </w:rPr>
              <w:t xml:space="preserve"> do Leaflet e </w:t>
            </w:r>
            <w:proofErr w:type="spellStart"/>
            <w:r>
              <w:rPr>
                <w:rFonts w:ascii="Times New Roman" w:hAnsi="Times New Roman"/>
                <w:sz w:val="20"/>
              </w:rPr>
              <w:t>contexto</w:t>
            </w:r>
            <w:proofErr w:type="spellEnd"/>
            <w:r>
              <w:rPr>
                <w:rFonts w:ascii="Times New Roman" w:hAnsi="Times New Roman"/>
                <w:sz w:val="20"/>
              </w:rPr>
              <w:t xml:space="preserve"> de </w:t>
            </w:r>
            <w:proofErr w:type="spellStart"/>
            <w:r>
              <w:rPr>
                <w:rFonts w:ascii="Times New Roman" w:hAnsi="Times New Roman"/>
                <w:sz w:val="20"/>
              </w:rPr>
              <w:t>implantação</w:t>
            </w:r>
            <w:proofErr w:type="spellEnd"/>
            <w:r>
              <w:rPr>
                <w:rFonts w:ascii="Times New Roman" w:hAnsi="Times New Roman"/>
                <w:sz w:val="20"/>
              </w:rPr>
              <w:t xml:space="preserve"> </w:t>
            </w:r>
            <w:proofErr w:type="spellStart"/>
            <w:r>
              <w:rPr>
                <w:rFonts w:ascii="Times New Roman" w:hAnsi="Times New Roman"/>
                <w:sz w:val="20"/>
              </w:rPr>
              <w:t>recente</w:t>
            </w:r>
            <w:proofErr w:type="spellEnd"/>
          </w:p>
        </w:tc>
      </w:tr>
      <w:tr w:rsidR="00203927" w14:paraId="37755BC4" w14:textId="77777777" w:rsidTr="00324773">
        <w:trPr>
          <w:jc w:val="center"/>
        </w:trPr>
        <w:tc>
          <w:tcPr>
            <w:tcW w:w="1271" w:type="dxa"/>
          </w:tcPr>
          <w:p w14:paraId="5F0E2CF8" w14:textId="77777777" w:rsidR="00203927" w:rsidRDefault="00000000" w:rsidP="00324773">
            <w:pPr>
              <w:spacing w:before="20" w:after="20"/>
              <w:jc w:val="center"/>
            </w:pPr>
            <w:r>
              <w:rPr>
                <w:rFonts w:ascii="Times New Roman" w:hAnsi="Times New Roman"/>
                <w:sz w:val="20"/>
              </w:rPr>
              <w:t>ARG-17</w:t>
            </w:r>
          </w:p>
        </w:tc>
        <w:tc>
          <w:tcPr>
            <w:tcW w:w="1701" w:type="dxa"/>
          </w:tcPr>
          <w:p w14:paraId="3DDFFD29" w14:textId="77777777" w:rsidR="00203927" w:rsidRDefault="00000000" w:rsidP="00324773">
            <w:pPr>
              <w:spacing w:before="20" w:after="20"/>
              <w:jc w:val="center"/>
            </w:pPr>
            <w:r>
              <w:rPr>
                <w:rFonts w:ascii="Times New Roman" w:hAnsi="Times New Roman"/>
                <w:sz w:val="20"/>
              </w:rPr>
              <w:t>150</w:t>
            </w:r>
          </w:p>
        </w:tc>
        <w:tc>
          <w:tcPr>
            <w:tcW w:w="1985" w:type="dxa"/>
          </w:tcPr>
          <w:p w14:paraId="54FFEA48" w14:textId="77777777" w:rsidR="00203927" w:rsidRDefault="00000000" w:rsidP="00324773">
            <w:pPr>
              <w:spacing w:before="20" w:after="20"/>
              <w:jc w:val="center"/>
            </w:pPr>
            <w:r>
              <w:rPr>
                <w:rFonts w:ascii="Times New Roman" w:hAnsi="Times New Roman"/>
                <w:sz w:val="20"/>
              </w:rPr>
              <w:t>35-37</w:t>
            </w:r>
          </w:p>
        </w:tc>
        <w:tc>
          <w:tcPr>
            <w:tcW w:w="4439" w:type="dxa"/>
          </w:tcPr>
          <w:p w14:paraId="78CBA492" w14:textId="77777777" w:rsidR="00203927" w:rsidRDefault="00000000">
            <w:pPr>
              <w:spacing w:before="20" w:after="20"/>
            </w:pPr>
            <w:proofErr w:type="spellStart"/>
            <w:r>
              <w:rPr>
                <w:rFonts w:ascii="Times New Roman" w:hAnsi="Times New Roman"/>
                <w:sz w:val="20"/>
              </w:rPr>
              <w:t>Duplicação</w:t>
            </w:r>
            <w:proofErr w:type="spellEnd"/>
            <w:r>
              <w:rPr>
                <w:rFonts w:ascii="Times New Roman" w:hAnsi="Times New Roman"/>
                <w:sz w:val="20"/>
              </w:rPr>
              <w:t xml:space="preserve"> </w:t>
            </w:r>
            <w:proofErr w:type="spellStart"/>
            <w:r>
              <w:rPr>
                <w:rFonts w:ascii="Times New Roman" w:hAnsi="Times New Roman"/>
                <w:sz w:val="20"/>
              </w:rPr>
              <w:t>espacial</w:t>
            </w:r>
            <w:proofErr w:type="spellEnd"/>
            <w:r>
              <w:rPr>
                <w:rFonts w:ascii="Times New Roman" w:hAnsi="Times New Roman"/>
                <w:sz w:val="20"/>
              </w:rPr>
              <w:t xml:space="preserve"> </w:t>
            </w:r>
            <w:proofErr w:type="spellStart"/>
            <w:r>
              <w:rPr>
                <w:rFonts w:ascii="Times New Roman" w:hAnsi="Times New Roman"/>
                <w:sz w:val="20"/>
              </w:rPr>
              <w:t>não</w:t>
            </w:r>
            <w:proofErr w:type="spellEnd"/>
            <w:r>
              <w:rPr>
                <w:rFonts w:ascii="Times New Roman" w:hAnsi="Times New Roman"/>
                <w:sz w:val="20"/>
              </w:rPr>
              <w:t xml:space="preserve"> equivale a </w:t>
            </w:r>
            <w:proofErr w:type="spellStart"/>
            <w:r>
              <w:rPr>
                <w:rFonts w:ascii="Times New Roman" w:hAnsi="Times New Roman"/>
                <w:sz w:val="20"/>
              </w:rPr>
              <w:t>duplicidade</w:t>
            </w:r>
            <w:proofErr w:type="spellEnd"/>
            <w:r>
              <w:rPr>
                <w:rFonts w:ascii="Times New Roman" w:hAnsi="Times New Roman"/>
                <w:sz w:val="20"/>
              </w:rPr>
              <w:t xml:space="preserve"> </w:t>
            </w:r>
            <w:proofErr w:type="spellStart"/>
            <w:r>
              <w:rPr>
                <w:rFonts w:ascii="Times New Roman" w:hAnsi="Times New Roman"/>
                <w:sz w:val="20"/>
              </w:rPr>
              <w:t>jurídica</w:t>
            </w:r>
            <w:proofErr w:type="spellEnd"/>
            <w:r>
              <w:rPr>
                <w:rFonts w:ascii="Times New Roman" w:hAnsi="Times New Roman"/>
                <w:sz w:val="20"/>
              </w:rPr>
              <w:t xml:space="preserve"> de </w:t>
            </w:r>
            <w:proofErr w:type="spellStart"/>
            <w:r>
              <w:rPr>
                <w:rFonts w:ascii="Times New Roman" w:hAnsi="Times New Roman"/>
                <w:sz w:val="20"/>
              </w:rPr>
              <w:t>beneficiários</w:t>
            </w:r>
            <w:proofErr w:type="spellEnd"/>
          </w:p>
        </w:tc>
      </w:tr>
      <w:tr w:rsidR="00203927" w14:paraId="44270295" w14:textId="77777777" w:rsidTr="00324773">
        <w:trPr>
          <w:jc w:val="center"/>
        </w:trPr>
        <w:tc>
          <w:tcPr>
            <w:tcW w:w="1271" w:type="dxa"/>
          </w:tcPr>
          <w:p w14:paraId="2C4E493E" w14:textId="77777777" w:rsidR="00203927" w:rsidRDefault="00000000" w:rsidP="00324773">
            <w:pPr>
              <w:spacing w:before="20" w:after="20"/>
              <w:jc w:val="center"/>
            </w:pPr>
            <w:r>
              <w:rPr>
                <w:rFonts w:ascii="Times New Roman" w:hAnsi="Times New Roman"/>
                <w:sz w:val="20"/>
              </w:rPr>
              <w:t>ARG-18</w:t>
            </w:r>
          </w:p>
        </w:tc>
        <w:tc>
          <w:tcPr>
            <w:tcW w:w="1701" w:type="dxa"/>
          </w:tcPr>
          <w:p w14:paraId="525C9D99" w14:textId="77777777" w:rsidR="00203927" w:rsidRDefault="00000000" w:rsidP="00324773">
            <w:pPr>
              <w:spacing w:before="20" w:after="20"/>
              <w:jc w:val="center"/>
            </w:pPr>
            <w:r>
              <w:rPr>
                <w:rFonts w:ascii="Times New Roman" w:hAnsi="Times New Roman"/>
                <w:sz w:val="20"/>
              </w:rPr>
              <w:t>161</w:t>
            </w:r>
          </w:p>
        </w:tc>
        <w:tc>
          <w:tcPr>
            <w:tcW w:w="1985" w:type="dxa"/>
          </w:tcPr>
          <w:p w14:paraId="4616DAC3" w14:textId="77777777" w:rsidR="00203927" w:rsidRDefault="00000000" w:rsidP="00324773">
            <w:pPr>
              <w:spacing w:before="20" w:after="20"/>
              <w:jc w:val="center"/>
            </w:pPr>
            <w:r>
              <w:rPr>
                <w:rFonts w:ascii="Times New Roman" w:hAnsi="Times New Roman"/>
                <w:sz w:val="20"/>
              </w:rPr>
              <w:t>1-4</w:t>
            </w:r>
          </w:p>
        </w:tc>
        <w:tc>
          <w:tcPr>
            <w:tcW w:w="4439" w:type="dxa"/>
          </w:tcPr>
          <w:p w14:paraId="75D33F0E" w14:textId="77777777" w:rsidR="00203927" w:rsidRDefault="00000000">
            <w:pPr>
              <w:spacing w:before="20" w:after="20"/>
            </w:pPr>
            <w:proofErr w:type="spellStart"/>
            <w:r>
              <w:rPr>
                <w:rFonts w:ascii="Times New Roman" w:hAnsi="Times New Roman"/>
                <w:sz w:val="20"/>
              </w:rPr>
              <w:t>Inflação</w:t>
            </w:r>
            <w:proofErr w:type="spellEnd"/>
            <w:r>
              <w:rPr>
                <w:rFonts w:ascii="Times New Roman" w:hAnsi="Times New Roman"/>
                <w:sz w:val="20"/>
              </w:rPr>
              <w:t xml:space="preserve"> municipal </w:t>
            </w:r>
            <w:proofErr w:type="spellStart"/>
            <w:r>
              <w:rPr>
                <w:rFonts w:ascii="Times New Roman" w:hAnsi="Times New Roman"/>
                <w:sz w:val="20"/>
              </w:rPr>
              <w:t>como</w:t>
            </w:r>
            <w:proofErr w:type="spellEnd"/>
            <w:r>
              <w:rPr>
                <w:rFonts w:ascii="Times New Roman" w:hAnsi="Times New Roman"/>
                <w:sz w:val="20"/>
              </w:rPr>
              <w:t xml:space="preserve"> </w:t>
            </w:r>
            <w:proofErr w:type="spellStart"/>
            <w:r>
              <w:rPr>
                <w:rFonts w:ascii="Times New Roman" w:hAnsi="Times New Roman"/>
                <w:sz w:val="20"/>
              </w:rPr>
              <w:t>triagem</w:t>
            </w:r>
            <w:proofErr w:type="spellEnd"/>
            <w:r>
              <w:rPr>
                <w:rFonts w:ascii="Times New Roman" w:hAnsi="Times New Roman"/>
                <w:sz w:val="20"/>
              </w:rPr>
              <w:t xml:space="preserve"> </w:t>
            </w:r>
            <w:proofErr w:type="spellStart"/>
            <w:r>
              <w:rPr>
                <w:rFonts w:ascii="Times New Roman" w:hAnsi="Times New Roman"/>
                <w:sz w:val="20"/>
              </w:rPr>
              <w:t>exploratória</w:t>
            </w:r>
            <w:proofErr w:type="spellEnd"/>
            <w:r>
              <w:rPr>
                <w:rFonts w:ascii="Times New Roman" w:hAnsi="Times New Roman"/>
                <w:sz w:val="20"/>
              </w:rPr>
              <w:t xml:space="preserve">, com </w:t>
            </w:r>
            <w:proofErr w:type="spellStart"/>
            <w:r>
              <w:rPr>
                <w:rFonts w:ascii="Times New Roman" w:hAnsi="Times New Roman"/>
                <w:sz w:val="20"/>
              </w:rPr>
              <w:t>reanálise</w:t>
            </w:r>
            <w:proofErr w:type="spellEnd"/>
            <w:r>
              <w:rPr>
                <w:rFonts w:ascii="Times New Roman" w:hAnsi="Times New Roman"/>
                <w:sz w:val="20"/>
              </w:rPr>
              <w:t xml:space="preserve"> de </w:t>
            </w:r>
            <w:proofErr w:type="spellStart"/>
            <w:r>
              <w:rPr>
                <w:rFonts w:ascii="Times New Roman" w:hAnsi="Times New Roman"/>
                <w:sz w:val="20"/>
              </w:rPr>
              <w:t>materialidade</w:t>
            </w:r>
            <w:proofErr w:type="spellEnd"/>
            <w:r>
              <w:rPr>
                <w:rFonts w:ascii="Times New Roman" w:hAnsi="Times New Roman"/>
                <w:sz w:val="20"/>
              </w:rPr>
              <w:t xml:space="preserve"> residual</w:t>
            </w:r>
          </w:p>
        </w:tc>
      </w:tr>
      <w:tr w:rsidR="00203927" w14:paraId="233788E5" w14:textId="77777777" w:rsidTr="00324773">
        <w:trPr>
          <w:jc w:val="center"/>
        </w:trPr>
        <w:tc>
          <w:tcPr>
            <w:tcW w:w="1271" w:type="dxa"/>
          </w:tcPr>
          <w:p w14:paraId="279AE9C5" w14:textId="77777777" w:rsidR="00203927" w:rsidRDefault="00000000" w:rsidP="00324773">
            <w:pPr>
              <w:spacing w:before="20" w:after="20"/>
              <w:jc w:val="center"/>
            </w:pPr>
            <w:r>
              <w:rPr>
                <w:rFonts w:ascii="Times New Roman" w:hAnsi="Times New Roman"/>
                <w:sz w:val="20"/>
              </w:rPr>
              <w:t>ARG-19</w:t>
            </w:r>
          </w:p>
        </w:tc>
        <w:tc>
          <w:tcPr>
            <w:tcW w:w="1701" w:type="dxa"/>
          </w:tcPr>
          <w:p w14:paraId="7D06E3A9" w14:textId="77777777" w:rsidR="00203927" w:rsidRDefault="00000000" w:rsidP="00324773">
            <w:pPr>
              <w:spacing w:before="20" w:after="20"/>
              <w:jc w:val="center"/>
            </w:pPr>
            <w:r>
              <w:rPr>
                <w:rFonts w:ascii="Times New Roman" w:hAnsi="Times New Roman"/>
                <w:sz w:val="20"/>
              </w:rPr>
              <w:t>161</w:t>
            </w:r>
          </w:p>
        </w:tc>
        <w:tc>
          <w:tcPr>
            <w:tcW w:w="1985" w:type="dxa"/>
          </w:tcPr>
          <w:p w14:paraId="0C58B3F9" w14:textId="77777777" w:rsidR="00203927" w:rsidRDefault="00000000" w:rsidP="00324773">
            <w:pPr>
              <w:spacing w:before="20" w:after="20"/>
              <w:jc w:val="center"/>
            </w:pPr>
            <w:r>
              <w:rPr>
                <w:rFonts w:ascii="Times New Roman" w:hAnsi="Times New Roman"/>
                <w:sz w:val="20"/>
              </w:rPr>
              <w:t>2-3</w:t>
            </w:r>
          </w:p>
        </w:tc>
        <w:tc>
          <w:tcPr>
            <w:tcW w:w="4439" w:type="dxa"/>
          </w:tcPr>
          <w:p w14:paraId="41FD0863" w14:textId="77777777" w:rsidR="00203927" w:rsidRDefault="00000000">
            <w:pPr>
              <w:spacing w:before="20" w:after="20"/>
            </w:pPr>
            <w:r>
              <w:rPr>
                <w:rFonts w:ascii="Times New Roman" w:hAnsi="Times New Roman"/>
                <w:sz w:val="20"/>
              </w:rPr>
              <w:t xml:space="preserve">Papel da </w:t>
            </w:r>
            <w:proofErr w:type="spellStart"/>
            <w:r>
              <w:rPr>
                <w:rFonts w:ascii="Times New Roman" w:hAnsi="Times New Roman"/>
                <w:sz w:val="20"/>
              </w:rPr>
              <w:t>integração</w:t>
            </w:r>
            <w:proofErr w:type="spellEnd"/>
            <w:r>
              <w:rPr>
                <w:rFonts w:ascii="Times New Roman" w:hAnsi="Times New Roman"/>
                <w:sz w:val="20"/>
              </w:rPr>
              <w:t xml:space="preserve"> PNRA/</w:t>
            </w:r>
            <w:proofErr w:type="spellStart"/>
            <w:r>
              <w:rPr>
                <w:rFonts w:ascii="Times New Roman" w:hAnsi="Times New Roman"/>
                <w:sz w:val="20"/>
              </w:rPr>
              <w:t>Incra</w:t>
            </w:r>
            <w:proofErr w:type="spellEnd"/>
            <w:r>
              <w:rPr>
                <w:rFonts w:ascii="Times New Roman" w:hAnsi="Times New Roman"/>
                <w:sz w:val="20"/>
              </w:rPr>
              <w:t xml:space="preserve"> </w:t>
            </w:r>
            <w:proofErr w:type="spellStart"/>
            <w:r>
              <w:rPr>
                <w:rFonts w:ascii="Times New Roman" w:hAnsi="Times New Roman"/>
                <w:sz w:val="20"/>
              </w:rPr>
              <w:t>na</w:t>
            </w:r>
            <w:proofErr w:type="spellEnd"/>
            <w:r>
              <w:rPr>
                <w:rFonts w:ascii="Times New Roman" w:hAnsi="Times New Roman"/>
                <w:sz w:val="20"/>
              </w:rPr>
              <w:t xml:space="preserve"> </w:t>
            </w:r>
            <w:proofErr w:type="spellStart"/>
            <w:r>
              <w:rPr>
                <w:rFonts w:ascii="Times New Roman" w:hAnsi="Times New Roman"/>
                <w:sz w:val="20"/>
              </w:rPr>
              <w:t>inflação</w:t>
            </w:r>
            <w:proofErr w:type="spellEnd"/>
            <w:r>
              <w:rPr>
                <w:rFonts w:ascii="Times New Roman" w:hAnsi="Times New Roman"/>
                <w:sz w:val="20"/>
              </w:rPr>
              <w:t xml:space="preserve"> municipal </w:t>
            </w:r>
            <w:proofErr w:type="spellStart"/>
            <w:r>
              <w:rPr>
                <w:rFonts w:ascii="Times New Roman" w:hAnsi="Times New Roman"/>
                <w:sz w:val="20"/>
              </w:rPr>
              <w:t>aparente</w:t>
            </w:r>
            <w:proofErr w:type="spellEnd"/>
          </w:p>
        </w:tc>
      </w:tr>
      <w:tr w:rsidR="00203927" w14:paraId="7FD4C455" w14:textId="77777777" w:rsidTr="00324773">
        <w:trPr>
          <w:jc w:val="center"/>
        </w:trPr>
        <w:tc>
          <w:tcPr>
            <w:tcW w:w="1271" w:type="dxa"/>
          </w:tcPr>
          <w:p w14:paraId="248B853F" w14:textId="77777777" w:rsidR="00203927" w:rsidRDefault="00000000" w:rsidP="00324773">
            <w:pPr>
              <w:spacing w:before="20" w:after="20"/>
              <w:jc w:val="center"/>
            </w:pPr>
            <w:r>
              <w:rPr>
                <w:rFonts w:ascii="Times New Roman" w:hAnsi="Times New Roman"/>
                <w:sz w:val="20"/>
              </w:rPr>
              <w:t>ARG-20</w:t>
            </w:r>
          </w:p>
        </w:tc>
        <w:tc>
          <w:tcPr>
            <w:tcW w:w="1701" w:type="dxa"/>
          </w:tcPr>
          <w:p w14:paraId="17838360" w14:textId="77777777" w:rsidR="00203927" w:rsidRDefault="00000000" w:rsidP="00324773">
            <w:pPr>
              <w:spacing w:before="20" w:after="20"/>
              <w:jc w:val="center"/>
            </w:pPr>
            <w:r>
              <w:rPr>
                <w:rFonts w:ascii="Times New Roman" w:hAnsi="Times New Roman"/>
                <w:sz w:val="20"/>
              </w:rPr>
              <w:t>150</w:t>
            </w:r>
          </w:p>
        </w:tc>
        <w:tc>
          <w:tcPr>
            <w:tcW w:w="1985" w:type="dxa"/>
          </w:tcPr>
          <w:p w14:paraId="2B53CA46" w14:textId="77777777" w:rsidR="00203927" w:rsidRDefault="00000000" w:rsidP="00324773">
            <w:pPr>
              <w:spacing w:before="20" w:after="20"/>
              <w:jc w:val="center"/>
            </w:pPr>
            <w:r>
              <w:rPr>
                <w:rFonts w:ascii="Times New Roman" w:hAnsi="Times New Roman"/>
                <w:sz w:val="20"/>
              </w:rPr>
              <w:t>40-49</w:t>
            </w:r>
          </w:p>
        </w:tc>
        <w:tc>
          <w:tcPr>
            <w:tcW w:w="4439" w:type="dxa"/>
          </w:tcPr>
          <w:p w14:paraId="4883B572" w14:textId="77777777" w:rsidR="00203927" w:rsidRDefault="00000000">
            <w:pPr>
              <w:spacing w:before="20" w:after="20"/>
            </w:pPr>
            <w:proofErr w:type="spellStart"/>
            <w:r>
              <w:rPr>
                <w:rFonts w:ascii="Times New Roman" w:hAnsi="Times New Roman"/>
                <w:sz w:val="20"/>
              </w:rPr>
              <w:t>Redelimitação</w:t>
            </w:r>
            <w:proofErr w:type="spellEnd"/>
            <w:r>
              <w:rPr>
                <w:rFonts w:ascii="Times New Roman" w:hAnsi="Times New Roman"/>
                <w:sz w:val="20"/>
              </w:rPr>
              <w:t xml:space="preserve"> das </w:t>
            </w:r>
            <w:proofErr w:type="spellStart"/>
            <w:r>
              <w:rPr>
                <w:rFonts w:ascii="Times New Roman" w:hAnsi="Times New Roman"/>
                <w:sz w:val="20"/>
              </w:rPr>
              <w:t>causas</w:t>
            </w:r>
            <w:proofErr w:type="spellEnd"/>
            <w:r>
              <w:rPr>
                <w:rFonts w:ascii="Times New Roman" w:hAnsi="Times New Roman"/>
                <w:sz w:val="20"/>
              </w:rPr>
              <w:t xml:space="preserve"> do </w:t>
            </w:r>
            <w:proofErr w:type="spellStart"/>
            <w:r>
              <w:rPr>
                <w:rFonts w:ascii="Times New Roman" w:hAnsi="Times New Roman"/>
                <w:sz w:val="20"/>
              </w:rPr>
              <w:t>Achado</w:t>
            </w:r>
            <w:proofErr w:type="spellEnd"/>
            <w:r>
              <w:rPr>
                <w:rFonts w:ascii="Times New Roman" w:hAnsi="Times New Roman"/>
                <w:sz w:val="20"/>
              </w:rPr>
              <w:t xml:space="preserve"> II e </w:t>
            </w:r>
            <w:proofErr w:type="spellStart"/>
            <w:r>
              <w:rPr>
                <w:rFonts w:ascii="Times New Roman" w:hAnsi="Times New Roman"/>
                <w:sz w:val="20"/>
              </w:rPr>
              <w:t>riscos</w:t>
            </w:r>
            <w:proofErr w:type="spellEnd"/>
            <w:r>
              <w:rPr>
                <w:rFonts w:ascii="Times New Roman" w:hAnsi="Times New Roman"/>
                <w:sz w:val="20"/>
              </w:rPr>
              <w:t xml:space="preserve"> de </w:t>
            </w:r>
            <w:proofErr w:type="spellStart"/>
            <w:r>
              <w:rPr>
                <w:rFonts w:ascii="Times New Roman" w:hAnsi="Times New Roman"/>
                <w:sz w:val="20"/>
              </w:rPr>
              <w:t>sobreleitura</w:t>
            </w:r>
            <w:proofErr w:type="spellEnd"/>
            <w:r>
              <w:rPr>
                <w:rFonts w:ascii="Times New Roman" w:hAnsi="Times New Roman"/>
                <w:sz w:val="20"/>
              </w:rPr>
              <w:t xml:space="preserve"> </w:t>
            </w:r>
            <w:proofErr w:type="spellStart"/>
            <w:r>
              <w:rPr>
                <w:rFonts w:ascii="Times New Roman" w:hAnsi="Times New Roman"/>
                <w:sz w:val="20"/>
              </w:rPr>
              <w:t>analítica</w:t>
            </w:r>
            <w:proofErr w:type="spellEnd"/>
          </w:p>
        </w:tc>
      </w:tr>
      <w:tr w:rsidR="00203927" w14:paraId="7EEEE81A" w14:textId="77777777" w:rsidTr="00324773">
        <w:trPr>
          <w:jc w:val="center"/>
        </w:trPr>
        <w:tc>
          <w:tcPr>
            <w:tcW w:w="1271" w:type="dxa"/>
          </w:tcPr>
          <w:p w14:paraId="207CDCA1" w14:textId="77777777" w:rsidR="00203927" w:rsidRDefault="00000000" w:rsidP="00324773">
            <w:pPr>
              <w:spacing w:before="20" w:after="20"/>
              <w:jc w:val="center"/>
            </w:pPr>
            <w:r>
              <w:rPr>
                <w:rFonts w:ascii="Times New Roman" w:hAnsi="Times New Roman"/>
                <w:sz w:val="20"/>
              </w:rPr>
              <w:t>ARG-21</w:t>
            </w:r>
          </w:p>
        </w:tc>
        <w:tc>
          <w:tcPr>
            <w:tcW w:w="1701" w:type="dxa"/>
          </w:tcPr>
          <w:p w14:paraId="7128C79B" w14:textId="77777777" w:rsidR="00203927" w:rsidRDefault="00000000" w:rsidP="00324773">
            <w:pPr>
              <w:spacing w:before="20" w:after="20"/>
              <w:jc w:val="center"/>
            </w:pPr>
            <w:r>
              <w:rPr>
                <w:rFonts w:ascii="Times New Roman" w:hAnsi="Times New Roman"/>
                <w:sz w:val="20"/>
              </w:rPr>
              <w:t>150</w:t>
            </w:r>
          </w:p>
        </w:tc>
        <w:tc>
          <w:tcPr>
            <w:tcW w:w="1985" w:type="dxa"/>
          </w:tcPr>
          <w:p w14:paraId="447E6B36" w14:textId="77777777" w:rsidR="00203927" w:rsidRDefault="00000000" w:rsidP="00324773">
            <w:pPr>
              <w:spacing w:before="20" w:after="20"/>
              <w:jc w:val="center"/>
            </w:pPr>
            <w:r>
              <w:rPr>
                <w:rFonts w:ascii="Times New Roman" w:hAnsi="Times New Roman"/>
                <w:sz w:val="20"/>
              </w:rPr>
              <w:t>65-67, 72-73</w:t>
            </w:r>
          </w:p>
        </w:tc>
        <w:tc>
          <w:tcPr>
            <w:tcW w:w="4439" w:type="dxa"/>
          </w:tcPr>
          <w:p w14:paraId="40E3D1A8" w14:textId="77777777" w:rsidR="00203927" w:rsidRDefault="00000000">
            <w:pPr>
              <w:spacing w:before="20" w:after="20"/>
            </w:pPr>
            <w:proofErr w:type="spellStart"/>
            <w:r>
              <w:rPr>
                <w:rFonts w:ascii="Times New Roman" w:hAnsi="Times New Roman"/>
                <w:sz w:val="20"/>
              </w:rPr>
              <w:t>Ajuste</w:t>
            </w:r>
            <w:proofErr w:type="spellEnd"/>
            <w:r>
              <w:rPr>
                <w:rFonts w:ascii="Times New Roman" w:hAnsi="Times New Roman"/>
                <w:sz w:val="20"/>
              </w:rPr>
              <w:t xml:space="preserve"> dos </w:t>
            </w:r>
            <w:proofErr w:type="spellStart"/>
            <w:r>
              <w:rPr>
                <w:rFonts w:ascii="Times New Roman" w:hAnsi="Times New Roman"/>
                <w:sz w:val="20"/>
              </w:rPr>
              <w:t>encaminhamentos</w:t>
            </w:r>
            <w:proofErr w:type="spellEnd"/>
            <w:r>
              <w:rPr>
                <w:rFonts w:ascii="Times New Roman" w:hAnsi="Times New Roman"/>
                <w:sz w:val="20"/>
              </w:rPr>
              <w:t xml:space="preserve"> do </w:t>
            </w:r>
            <w:proofErr w:type="spellStart"/>
            <w:r>
              <w:rPr>
                <w:rFonts w:ascii="Times New Roman" w:hAnsi="Times New Roman"/>
                <w:sz w:val="20"/>
              </w:rPr>
              <w:t>Achado</w:t>
            </w:r>
            <w:proofErr w:type="spellEnd"/>
            <w:r>
              <w:rPr>
                <w:rFonts w:ascii="Times New Roman" w:hAnsi="Times New Roman"/>
                <w:sz w:val="20"/>
              </w:rPr>
              <w:t xml:space="preserve"> II para </w:t>
            </w:r>
            <w:proofErr w:type="spellStart"/>
            <w:r>
              <w:rPr>
                <w:rFonts w:ascii="Times New Roman" w:hAnsi="Times New Roman"/>
                <w:sz w:val="20"/>
              </w:rPr>
              <w:t>abordagem</w:t>
            </w:r>
            <w:proofErr w:type="spellEnd"/>
            <w:r>
              <w:rPr>
                <w:rFonts w:ascii="Times New Roman" w:hAnsi="Times New Roman"/>
                <w:sz w:val="20"/>
              </w:rPr>
              <w:t xml:space="preserve"> </w:t>
            </w:r>
            <w:proofErr w:type="spellStart"/>
            <w:r>
              <w:rPr>
                <w:rFonts w:ascii="Times New Roman" w:hAnsi="Times New Roman"/>
                <w:sz w:val="20"/>
              </w:rPr>
              <w:t>prospectiva</w:t>
            </w:r>
            <w:proofErr w:type="spellEnd"/>
            <w:r>
              <w:rPr>
                <w:rFonts w:ascii="Times New Roman" w:hAnsi="Times New Roman"/>
                <w:sz w:val="20"/>
              </w:rPr>
              <w:t xml:space="preserve"> e </w:t>
            </w:r>
            <w:proofErr w:type="spellStart"/>
            <w:r>
              <w:rPr>
                <w:rFonts w:ascii="Times New Roman" w:hAnsi="Times New Roman"/>
                <w:sz w:val="20"/>
              </w:rPr>
              <w:t>orientada</w:t>
            </w:r>
            <w:proofErr w:type="spellEnd"/>
            <w:r>
              <w:rPr>
                <w:rFonts w:ascii="Times New Roman" w:hAnsi="Times New Roman"/>
                <w:sz w:val="20"/>
              </w:rPr>
              <w:t xml:space="preserve"> </w:t>
            </w:r>
            <w:proofErr w:type="spellStart"/>
            <w:r>
              <w:rPr>
                <w:rFonts w:ascii="Times New Roman" w:hAnsi="Times New Roman"/>
                <w:sz w:val="20"/>
              </w:rPr>
              <w:t>por</w:t>
            </w:r>
            <w:proofErr w:type="spellEnd"/>
            <w:r>
              <w:rPr>
                <w:rFonts w:ascii="Times New Roman" w:hAnsi="Times New Roman"/>
                <w:sz w:val="20"/>
              </w:rPr>
              <w:t xml:space="preserve"> </w:t>
            </w:r>
            <w:proofErr w:type="spellStart"/>
            <w:r>
              <w:rPr>
                <w:rFonts w:ascii="Times New Roman" w:hAnsi="Times New Roman"/>
                <w:sz w:val="20"/>
              </w:rPr>
              <w:t>risco</w:t>
            </w:r>
            <w:proofErr w:type="spellEnd"/>
          </w:p>
        </w:tc>
      </w:tr>
      <w:tr w:rsidR="00203927" w14:paraId="58D2C66B" w14:textId="77777777" w:rsidTr="00324773">
        <w:trPr>
          <w:jc w:val="center"/>
        </w:trPr>
        <w:tc>
          <w:tcPr>
            <w:tcW w:w="1271" w:type="dxa"/>
          </w:tcPr>
          <w:p w14:paraId="2E4B37FD" w14:textId="77777777" w:rsidR="00203927" w:rsidRDefault="00000000" w:rsidP="00324773">
            <w:pPr>
              <w:spacing w:before="20" w:after="20"/>
              <w:jc w:val="center"/>
            </w:pPr>
            <w:r>
              <w:rPr>
                <w:rFonts w:ascii="Times New Roman" w:hAnsi="Times New Roman"/>
                <w:sz w:val="20"/>
              </w:rPr>
              <w:t>ARG-22</w:t>
            </w:r>
          </w:p>
        </w:tc>
        <w:tc>
          <w:tcPr>
            <w:tcW w:w="1701" w:type="dxa"/>
          </w:tcPr>
          <w:p w14:paraId="16AFB935" w14:textId="77777777" w:rsidR="00203927" w:rsidRDefault="00000000" w:rsidP="00324773">
            <w:pPr>
              <w:spacing w:before="20" w:after="20"/>
              <w:jc w:val="center"/>
            </w:pPr>
            <w:r>
              <w:rPr>
                <w:rFonts w:ascii="Times New Roman" w:hAnsi="Times New Roman"/>
                <w:sz w:val="20"/>
              </w:rPr>
              <w:t>150</w:t>
            </w:r>
          </w:p>
        </w:tc>
        <w:tc>
          <w:tcPr>
            <w:tcW w:w="1985" w:type="dxa"/>
          </w:tcPr>
          <w:p w14:paraId="6E60E6FD" w14:textId="77777777" w:rsidR="00203927" w:rsidRDefault="00000000" w:rsidP="00324773">
            <w:pPr>
              <w:spacing w:before="20" w:after="20"/>
              <w:jc w:val="center"/>
            </w:pPr>
            <w:r>
              <w:rPr>
                <w:rFonts w:ascii="Times New Roman" w:hAnsi="Times New Roman"/>
                <w:sz w:val="20"/>
              </w:rPr>
              <w:t>48</w:t>
            </w:r>
          </w:p>
        </w:tc>
        <w:tc>
          <w:tcPr>
            <w:tcW w:w="4439" w:type="dxa"/>
          </w:tcPr>
          <w:p w14:paraId="168A75B8" w14:textId="77777777" w:rsidR="00203927" w:rsidRDefault="00000000">
            <w:pPr>
              <w:spacing w:before="20" w:after="20"/>
            </w:pPr>
            <w:proofErr w:type="spellStart"/>
            <w:r>
              <w:rPr>
                <w:rFonts w:ascii="Times New Roman" w:hAnsi="Times New Roman"/>
                <w:sz w:val="20"/>
              </w:rPr>
              <w:t>Capacidade</w:t>
            </w:r>
            <w:proofErr w:type="spellEnd"/>
            <w:r>
              <w:rPr>
                <w:rFonts w:ascii="Times New Roman" w:hAnsi="Times New Roman"/>
                <w:sz w:val="20"/>
              </w:rPr>
              <w:t xml:space="preserve"> civil: </w:t>
            </w:r>
            <w:proofErr w:type="spellStart"/>
            <w:r>
              <w:rPr>
                <w:rFonts w:ascii="Times New Roman" w:hAnsi="Times New Roman"/>
                <w:sz w:val="20"/>
              </w:rPr>
              <w:t>gravidade</w:t>
            </w:r>
            <w:proofErr w:type="spellEnd"/>
            <w:r>
              <w:rPr>
                <w:rFonts w:ascii="Times New Roman" w:hAnsi="Times New Roman"/>
                <w:sz w:val="20"/>
              </w:rPr>
              <w:t xml:space="preserve"> </w:t>
            </w:r>
            <w:proofErr w:type="spellStart"/>
            <w:r>
              <w:rPr>
                <w:rFonts w:ascii="Times New Roman" w:hAnsi="Times New Roman"/>
                <w:sz w:val="20"/>
              </w:rPr>
              <w:t>reconhecida</w:t>
            </w:r>
            <w:proofErr w:type="spellEnd"/>
            <w:r>
              <w:rPr>
                <w:rFonts w:ascii="Times New Roman" w:hAnsi="Times New Roman"/>
                <w:sz w:val="20"/>
              </w:rPr>
              <w:t xml:space="preserve">, </w:t>
            </w:r>
            <w:proofErr w:type="spellStart"/>
            <w:r>
              <w:rPr>
                <w:rFonts w:ascii="Times New Roman" w:hAnsi="Times New Roman"/>
                <w:sz w:val="20"/>
              </w:rPr>
              <w:t>materialidade</w:t>
            </w:r>
            <w:proofErr w:type="spellEnd"/>
            <w:r>
              <w:rPr>
                <w:rFonts w:ascii="Times New Roman" w:hAnsi="Times New Roman"/>
                <w:sz w:val="20"/>
              </w:rPr>
              <w:t xml:space="preserve"> </w:t>
            </w:r>
            <w:proofErr w:type="spellStart"/>
            <w:r>
              <w:rPr>
                <w:rFonts w:ascii="Times New Roman" w:hAnsi="Times New Roman"/>
                <w:sz w:val="20"/>
              </w:rPr>
              <w:t>relativa</w:t>
            </w:r>
            <w:proofErr w:type="spellEnd"/>
            <w:r>
              <w:rPr>
                <w:rFonts w:ascii="Times New Roman" w:hAnsi="Times New Roman"/>
                <w:sz w:val="20"/>
              </w:rPr>
              <w:t xml:space="preserve"> e </w:t>
            </w:r>
            <w:proofErr w:type="spellStart"/>
            <w:r>
              <w:rPr>
                <w:rFonts w:ascii="Times New Roman" w:hAnsi="Times New Roman"/>
                <w:sz w:val="20"/>
              </w:rPr>
              <w:t>existência</w:t>
            </w:r>
            <w:proofErr w:type="spellEnd"/>
            <w:r>
              <w:rPr>
                <w:rFonts w:ascii="Times New Roman" w:hAnsi="Times New Roman"/>
                <w:sz w:val="20"/>
              </w:rPr>
              <w:t xml:space="preserve"> de </w:t>
            </w:r>
            <w:proofErr w:type="spellStart"/>
            <w:r>
              <w:rPr>
                <w:rFonts w:ascii="Times New Roman" w:hAnsi="Times New Roman"/>
                <w:sz w:val="20"/>
              </w:rPr>
              <w:t>controles</w:t>
            </w:r>
            <w:proofErr w:type="spellEnd"/>
          </w:p>
        </w:tc>
      </w:tr>
      <w:tr w:rsidR="00203927" w14:paraId="49CF910B" w14:textId="77777777" w:rsidTr="00324773">
        <w:trPr>
          <w:jc w:val="center"/>
        </w:trPr>
        <w:tc>
          <w:tcPr>
            <w:tcW w:w="1271" w:type="dxa"/>
          </w:tcPr>
          <w:p w14:paraId="2912E804" w14:textId="77777777" w:rsidR="00203927" w:rsidRDefault="00000000" w:rsidP="00324773">
            <w:pPr>
              <w:spacing w:before="20" w:after="20"/>
              <w:jc w:val="center"/>
            </w:pPr>
            <w:r>
              <w:rPr>
                <w:rFonts w:ascii="Times New Roman" w:hAnsi="Times New Roman"/>
                <w:sz w:val="20"/>
              </w:rPr>
              <w:t>ARG-23</w:t>
            </w:r>
          </w:p>
        </w:tc>
        <w:tc>
          <w:tcPr>
            <w:tcW w:w="1701" w:type="dxa"/>
          </w:tcPr>
          <w:p w14:paraId="555B9F91" w14:textId="77777777" w:rsidR="00203927" w:rsidRDefault="00000000" w:rsidP="00324773">
            <w:pPr>
              <w:spacing w:before="20" w:after="20"/>
              <w:jc w:val="center"/>
            </w:pPr>
            <w:r>
              <w:rPr>
                <w:rFonts w:ascii="Times New Roman" w:hAnsi="Times New Roman"/>
                <w:sz w:val="20"/>
              </w:rPr>
              <w:t>150 / 156 / 162</w:t>
            </w:r>
          </w:p>
        </w:tc>
        <w:tc>
          <w:tcPr>
            <w:tcW w:w="1985" w:type="dxa"/>
          </w:tcPr>
          <w:p w14:paraId="37056DC5" w14:textId="77777777" w:rsidR="00203927" w:rsidRDefault="00000000" w:rsidP="00324773">
            <w:pPr>
              <w:spacing w:before="20" w:after="20"/>
              <w:jc w:val="center"/>
            </w:pPr>
            <w:r>
              <w:rPr>
                <w:rFonts w:ascii="Times New Roman" w:hAnsi="Times New Roman"/>
                <w:sz w:val="20"/>
              </w:rPr>
              <w:t>49-50 / 1 / 2-4</w:t>
            </w:r>
          </w:p>
        </w:tc>
        <w:tc>
          <w:tcPr>
            <w:tcW w:w="4439" w:type="dxa"/>
          </w:tcPr>
          <w:p w14:paraId="6650EE37" w14:textId="77777777" w:rsidR="00203927" w:rsidRDefault="00000000">
            <w:pPr>
              <w:spacing w:before="20" w:after="20"/>
            </w:pPr>
            <w:r>
              <w:rPr>
                <w:rFonts w:ascii="Times New Roman" w:hAnsi="Times New Roman"/>
                <w:sz w:val="20"/>
              </w:rPr>
              <w:t xml:space="preserve">E-mail e CEP à luz da </w:t>
            </w:r>
            <w:proofErr w:type="spellStart"/>
            <w:r>
              <w:rPr>
                <w:rFonts w:ascii="Times New Roman" w:hAnsi="Times New Roman"/>
                <w:sz w:val="20"/>
              </w:rPr>
              <w:t>realidade</w:t>
            </w:r>
            <w:proofErr w:type="spellEnd"/>
            <w:r>
              <w:rPr>
                <w:rFonts w:ascii="Times New Roman" w:hAnsi="Times New Roman"/>
                <w:sz w:val="20"/>
              </w:rPr>
              <w:t xml:space="preserve"> material do </w:t>
            </w:r>
            <w:proofErr w:type="spellStart"/>
            <w:r>
              <w:rPr>
                <w:rFonts w:ascii="Times New Roman" w:hAnsi="Times New Roman"/>
                <w:sz w:val="20"/>
              </w:rPr>
              <w:t>público</w:t>
            </w:r>
            <w:proofErr w:type="spellEnd"/>
            <w:r>
              <w:rPr>
                <w:rFonts w:ascii="Times New Roman" w:hAnsi="Times New Roman"/>
                <w:sz w:val="20"/>
              </w:rPr>
              <w:t xml:space="preserve"> rural</w:t>
            </w:r>
          </w:p>
        </w:tc>
      </w:tr>
      <w:tr w:rsidR="00203927" w14:paraId="7E949543" w14:textId="77777777" w:rsidTr="00324773">
        <w:trPr>
          <w:jc w:val="center"/>
        </w:trPr>
        <w:tc>
          <w:tcPr>
            <w:tcW w:w="1271" w:type="dxa"/>
          </w:tcPr>
          <w:p w14:paraId="3AFC1D67" w14:textId="77777777" w:rsidR="00203927" w:rsidRDefault="00000000" w:rsidP="00324773">
            <w:pPr>
              <w:spacing w:before="20" w:after="20"/>
              <w:jc w:val="center"/>
            </w:pPr>
            <w:r>
              <w:rPr>
                <w:rFonts w:ascii="Times New Roman" w:hAnsi="Times New Roman"/>
                <w:sz w:val="20"/>
              </w:rPr>
              <w:t>ARG-24</w:t>
            </w:r>
          </w:p>
        </w:tc>
        <w:tc>
          <w:tcPr>
            <w:tcW w:w="1701" w:type="dxa"/>
          </w:tcPr>
          <w:p w14:paraId="7500BA0D" w14:textId="77777777" w:rsidR="00203927" w:rsidRDefault="00000000" w:rsidP="00324773">
            <w:pPr>
              <w:spacing w:before="20" w:after="20"/>
              <w:jc w:val="center"/>
            </w:pPr>
            <w:r>
              <w:rPr>
                <w:rFonts w:ascii="Times New Roman" w:hAnsi="Times New Roman"/>
                <w:sz w:val="20"/>
              </w:rPr>
              <w:t>150</w:t>
            </w:r>
          </w:p>
        </w:tc>
        <w:tc>
          <w:tcPr>
            <w:tcW w:w="1985" w:type="dxa"/>
          </w:tcPr>
          <w:p w14:paraId="37EE896C" w14:textId="77777777" w:rsidR="00203927" w:rsidRDefault="00000000" w:rsidP="00324773">
            <w:pPr>
              <w:spacing w:before="20" w:after="20"/>
              <w:jc w:val="center"/>
            </w:pPr>
            <w:r>
              <w:rPr>
                <w:rFonts w:ascii="Times New Roman" w:hAnsi="Times New Roman"/>
                <w:sz w:val="20"/>
              </w:rPr>
              <w:t>10-11, 50-51</w:t>
            </w:r>
          </w:p>
        </w:tc>
        <w:tc>
          <w:tcPr>
            <w:tcW w:w="4439" w:type="dxa"/>
          </w:tcPr>
          <w:p w14:paraId="551AC215" w14:textId="77777777" w:rsidR="00203927" w:rsidRDefault="00000000">
            <w:pPr>
              <w:spacing w:before="20" w:after="20"/>
            </w:pPr>
            <w:r>
              <w:rPr>
                <w:rFonts w:ascii="Times New Roman" w:hAnsi="Times New Roman"/>
                <w:sz w:val="20"/>
              </w:rPr>
              <w:t xml:space="preserve">Renda </w:t>
            </w:r>
            <w:proofErr w:type="spellStart"/>
            <w:r>
              <w:rPr>
                <w:rFonts w:ascii="Times New Roman" w:hAnsi="Times New Roman"/>
                <w:sz w:val="20"/>
              </w:rPr>
              <w:t>elevada</w:t>
            </w:r>
            <w:proofErr w:type="spellEnd"/>
            <w:r>
              <w:rPr>
                <w:rFonts w:ascii="Times New Roman" w:hAnsi="Times New Roman"/>
                <w:sz w:val="20"/>
              </w:rPr>
              <w:t xml:space="preserve"> </w:t>
            </w:r>
            <w:proofErr w:type="spellStart"/>
            <w:r>
              <w:rPr>
                <w:rFonts w:ascii="Times New Roman" w:hAnsi="Times New Roman"/>
                <w:sz w:val="20"/>
              </w:rPr>
              <w:t>como</w:t>
            </w:r>
            <w:proofErr w:type="spellEnd"/>
            <w:r>
              <w:rPr>
                <w:rFonts w:ascii="Times New Roman" w:hAnsi="Times New Roman"/>
                <w:sz w:val="20"/>
              </w:rPr>
              <w:t xml:space="preserve"> </w:t>
            </w:r>
            <w:proofErr w:type="spellStart"/>
            <w:r>
              <w:rPr>
                <w:rFonts w:ascii="Times New Roman" w:hAnsi="Times New Roman"/>
                <w:sz w:val="20"/>
              </w:rPr>
              <w:t>indício</w:t>
            </w:r>
            <w:proofErr w:type="spellEnd"/>
            <w:r>
              <w:rPr>
                <w:rFonts w:ascii="Times New Roman" w:hAnsi="Times New Roman"/>
                <w:sz w:val="20"/>
              </w:rPr>
              <w:t xml:space="preserve"> de </w:t>
            </w:r>
            <w:proofErr w:type="spellStart"/>
            <w:r>
              <w:rPr>
                <w:rFonts w:ascii="Times New Roman" w:hAnsi="Times New Roman"/>
                <w:sz w:val="20"/>
              </w:rPr>
              <w:t>risco</w:t>
            </w:r>
            <w:proofErr w:type="spellEnd"/>
            <w:r>
              <w:rPr>
                <w:rFonts w:ascii="Times New Roman" w:hAnsi="Times New Roman"/>
                <w:sz w:val="20"/>
              </w:rPr>
              <w:t xml:space="preserve">, </w:t>
            </w:r>
            <w:proofErr w:type="spellStart"/>
            <w:r>
              <w:rPr>
                <w:rFonts w:ascii="Times New Roman" w:hAnsi="Times New Roman"/>
                <w:sz w:val="20"/>
              </w:rPr>
              <w:t>não</w:t>
            </w:r>
            <w:proofErr w:type="spellEnd"/>
            <w:r>
              <w:rPr>
                <w:rFonts w:ascii="Times New Roman" w:hAnsi="Times New Roman"/>
                <w:sz w:val="20"/>
              </w:rPr>
              <w:t xml:space="preserve"> </w:t>
            </w:r>
            <w:proofErr w:type="spellStart"/>
            <w:r>
              <w:rPr>
                <w:rFonts w:ascii="Times New Roman" w:hAnsi="Times New Roman"/>
                <w:sz w:val="20"/>
              </w:rPr>
              <w:t>inadequação</w:t>
            </w:r>
            <w:proofErr w:type="spellEnd"/>
            <w:r>
              <w:rPr>
                <w:rFonts w:ascii="Times New Roman" w:hAnsi="Times New Roman"/>
                <w:sz w:val="20"/>
              </w:rPr>
              <w:t xml:space="preserve"> </w:t>
            </w:r>
            <w:proofErr w:type="spellStart"/>
            <w:r>
              <w:rPr>
                <w:rFonts w:ascii="Times New Roman" w:hAnsi="Times New Roman"/>
                <w:sz w:val="20"/>
              </w:rPr>
              <w:t>automática</w:t>
            </w:r>
            <w:proofErr w:type="spellEnd"/>
            <w:r>
              <w:rPr>
                <w:rFonts w:ascii="Times New Roman" w:hAnsi="Times New Roman"/>
                <w:sz w:val="20"/>
              </w:rPr>
              <w:t xml:space="preserve"> </w:t>
            </w:r>
            <w:proofErr w:type="spellStart"/>
            <w:r>
              <w:rPr>
                <w:rFonts w:ascii="Times New Roman" w:hAnsi="Times New Roman"/>
                <w:sz w:val="20"/>
              </w:rPr>
              <w:t>ao</w:t>
            </w:r>
            <w:proofErr w:type="spellEnd"/>
            <w:r>
              <w:rPr>
                <w:rFonts w:ascii="Times New Roman" w:hAnsi="Times New Roman"/>
                <w:sz w:val="20"/>
              </w:rPr>
              <w:t xml:space="preserve"> CAF</w:t>
            </w:r>
          </w:p>
        </w:tc>
      </w:tr>
      <w:tr w:rsidR="00203927" w14:paraId="0D13CF98" w14:textId="77777777" w:rsidTr="00324773">
        <w:trPr>
          <w:jc w:val="center"/>
        </w:trPr>
        <w:tc>
          <w:tcPr>
            <w:tcW w:w="1271" w:type="dxa"/>
          </w:tcPr>
          <w:p w14:paraId="252F324A" w14:textId="77777777" w:rsidR="00203927" w:rsidRDefault="00000000" w:rsidP="00324773">
            <w:pPr>
              <w:spacing w:before="20" w:after="20"/>
              <w:jc w:val="center"/>
            </w:pPr>
            <w:r>
              <w:rPr>
                <w:rFonts w:ascii="Times New Roman" w:hAnsi="Times New Roman"/>
                <w:sz w:val="20"/>
              </w:rPr>
              <w:t>ARG-25</w:t>
            </w:r>
          </w:p>
        </w:tc>
        <w:tc>
          <w:tcPr>
            <w:tcW w:w="1701" w:type="dxa"/>
          </w:tcPr>
          <w:p w14:paraId="1EA8F99B" w14:textId="77777777" w:rsidR="00203927" w:rsidRDefault="00000000" w:rsidP="00324773">
            <w:pPr>
              <w:spacing w:before="20" w:after="20"/>
              <w:jc w:val="center"/>
            </w:pPr>
            <w:r>
              <w:rPr>
                <w:rFonts w:ascii="Times New Roman" w:hAnsi="Times New Roman"/>
                <w:sz w:val="20"/>
              </w:rPr>
              <w:t>150</w:t>
            </w:r>
          </w:p>
        </w:tc>
        <w:tc>
          <w:tcPr>
            <w:tcW w:w="1985" w:type="dxa"/>
          </w:tcPr>
          <w:p w14:paraId="537C760A" w14:textId="77777777" w:rsidR="00203927" w:rsidRDefault="00000000" w:rsidP="00324773">
            <w:pPr>
              <w:spacing w:before="20" w:after="20"/>
              <w:jc w:val="center"/>
            </w:pPr>
            <w:r>
              <w:rPr>
                <w:rFonts w:ascii="Times New Roman" w:hAnsi="Times New Roman"/>
                <w:sz w:val="20"/>
              </w:rPr>
              <w:t>51-52, 56</w:t>
            </w:r>
          </w:p>
        </w:tc>
        <w:tc>
          <w:tcPr>
            <w:tcW w:w="4439" w:type="dxa"/>
          </w:tcPr>
          <w:p w14:paraId="68C94974" w14:textId="77777777" w:rsidR="00203927" w:rsidRDefault="00000000">
            <w:pPr>
              <w:spacing w:before="20" w:after="20"/>
            </w:pPr>
            <w:r>
              <w:rPr>
                <w:rFonts w:ascii="Times New Roman" w:hAnsi="Times New Roman"/>
                <w:sz w:val="20"/>
              </w:rPr>
              <w:t xml:space="preserve">CNAE </w:t>
            </w:r>
            <w:proofErr w:type="spellStart"/>
            <w:r>
              <w:rPr>
                <w:rFonts w:ascii="Times New Roman" w:hAnsi="Times New Roman"/>
                <w:sz w:val="20"/>
              </w:rPr>
              <w:t>incompatível</w:t>
            </w:r>
            <w:proofErr w:type="spellEnd"/>
            <w:r>
              <w:rPr>
                <w:rFonts w:ascii="Times New Roman" w:hAnsi="Times New Roman"/>
                <w:sz w:val="20"/>
              </w:rPr>
              <w:t xml:space="preserve"> </w:t>
            </w:r>
            <w:proofErr w:type="spellStart"/>
            <w:r>
              <w:rPr>
                <w:rFonts w:ascii="Times New Roman" w:hAnsi="Times New Roman"/>
                <w:sz w:val="20"/>
              </w:rPr>
              <w:t>como</w:t>
            </w:r>
            <w:proofErr w:type="spellEnd"/>
            <w:r>
              <w:rPr>
                <w:rFonts w:ascii="Times New Roman" w:hAnsi="Times New Roman"/>
                <w:sz w:val="20"/>
              </w:rPr>
              <w:t xml:space="preserve"> </w:t>
            </w:r>
            <w:proofErr w:type="spellStart"/>
            <w:r>
              <w:rPr>
                <w:rFonts w:ascii="Times New Roman" w:hAnsi="Times New Roman"/>
                <w:sz w:val="20"/>
              </w:rPr>
              <w:t>triagem</w:t>
            </w:r>
            <w:proofErr w:type="spellEnd"/>
            <w:r>
              <w:rPr>
                <w:rFonts w:ascii="Times New Roman" w:hAnsi="Times New Roman"/>
                <w:sz w:val="20"/>
              </w:rPr>
              <w:t xml:space="preserve">, </w:t>
            </w:r>
            <w:proofErr w:type="spellStart"/>
            <w:r>
              <w:rPr>
                <w:rFonts w:ascii="Times New Roman" w:hAnsi="Times New Roman"/>
                <w:sz w:val="20"/>
              </w:rPr>
              <w:t>não</w:t>
            </w:r>
            <w:proofErr w:type="spellEnd"/>
            <w:r>
              <w:rPr>
                <w:rFonts w:ascii="Times New Roman" w:hAnsi="Times New Roman"/>
                <w:sz w:val="20"/>
              </w:rPr>
              <w:t xml:space="preserve"> </w:t>
            </w:r>
            <w:proofErr w:type="spellStart"/>
            <w:r>
              <w:rPr>
                <w:rFonts w:ascii="Times New Roman" w:hAnsi="Times New Roman"/>
                <w:sz w:val="20"/>
              </w:rPr>
              <w:t>exclusão</w:t>
            </w:r>
            <w:proofErr w:type="spellEnd"/>
            <w:r>
              <w:rPr>
                <w:rFonts w:ascii="Times New Roman" w:hAnsi="Times New Roman"/>
                <w:sz w:val="20"/>
              </w:rPr>
              <w:t xml:space="preserve"> </w:t>
            </w:r>
            <w:proofErr w:type="spellStart"/>
            <w:r>
              <w:rPr>
                <w:rFonts w:ascii="Times New Roman" w:hAnsi="Times New Roman"/>
                <w:sz w:val="20"/>
              </w:rPr>
              <w:t>autoexecutável</w:t>
            </w:r>
            <w:proofErr w:type="spellEnd"/>
          </w:p>
        </w:tc>
      </w:tr>
      <w:tr w:rsidR="00203927" w14:paraId="05DCE823" w14:textId="77777777" w:rsidTr="00324773">
        <w:trPr>
          <w:jc w:val="center"/>
        </w:trPr>
        <w:tc>
          <w:tcPr>
            <w:tcW w:w="1271" w:type="dxa"/>
          </w:tcPr>
          <w:p w14:paraId="4C0FB5A3" w14:textId="77777777" w:rsidR="00203927" w:rsidRDefault="00000000" w:rsidP="00324773">
            <w:pPr>
              <w:spacing w:before="20" w:after="20"/>
              <w:jc w:val="center"/>
            </w:pPr>
            <w:r>
              <w:rPr>
                <w:rFonts w:ascii="Times New Roman" w:hAnsi="Times New Roman"/>
                <w:sz w:val="20"/>
              </w:rPr>
              <w:t>ARG-26</w:t>
            </w:r>
          </w:p>
        </w:tc>
        <w:tc>
          <w:tcPr>
            <w:tcW w:w="1701" w:type="dxa"/>
          </w:tcPr>
          <w:p w14:paraId="11B809A1" w14:textId="77777777" w:rsidR="00203927" w:rsidRDefault="00000000" w:rsidP="00324773">
            <w:pPr>
              <w:spacing w:before="20" w:after="20"/>
              <w:jc w:val="center"/>
            </w:pPr>
            <w:r>
              <w:rPr>
                <w:rFonts w:ascii="Times New Roman" w:hAnsi="Times New Roman"/>
                <w:sz w:val="20"/>
              </w:rPr>
              <w:t>150</w:t>
            </w:r>
          </w:p>
        </w:tc>
        <w:tc>
          <w:tcPr>
            <w:tcW w:w="1985" w:type="dxa"/>
          </w:tcPr>
          <w:p w14:paraId="5C56300A" w14:textId="77777777" w:rsidR="00203927" w:rsidRDefault="00000000" w:rsidP="00324773">
            <w:pPr>
              <w:spacing w:before="20" w:after="20"/>
              <w:jc w:val="center"/>
            </w:pPr>
            <w:r>
              <w:rPr>
                <w:rFonts w:ascii="Times New Roman" w:hAnsi="Times New Roman"/>
                <w:sz w:val="20"/>
              </w:rPr>
              <w:t>52-53, 55, 68-69, 72-73</w:t>
            </w:r>
          </w:p>
        </w:tc>
        <w:tc>
          <w:tcPr>
            <w:tcW w:w="4439" w:type="dxa"/>
          </w:tcPr>
          <w:p w14:paraId="717DE591" w14:textId="77777777" w:rsidR="00203927" w:rsidRDefault="00000000">
            <w:pPr>
              <w:spacing w:before="20" w:after="20"/>
            </w:pPr>
            <w:proofErr w:type="spellStart"/>
            <w:r>
              <w:rPr>
                <w:rFonts w:ascii="Times New Roman" w:hAnsi="Times New Roman"/>
                <w:sz w:val="20"/>
              </w:rPr>
              <w:t>Redelimitação</w:t>
            </w:r>
            <w:proofErr w:type="spellEnd"/>
            <w:r>
              <w:rPr>
                <w:rFonts w:ascii="Times New Roman" w:hAnsi="Times New Roman"/>
                <w:sz w:val="20"/>
              </w:rPr>
              <w:t xml:space="preserve"> das </w:t>
            </w:r>
            <w:proofErr w:type="spellStart"/>
            <w:r>
              <w:rPr>
                <w:rFonts w:ascii="Times New Roman" w:hAnsi="Times New Roman"/>
                <w:sz w:val="20"/>
              </w:rPr>
              <w:t>causas</w:t>
            </w:r>
            <w:proofErr w:type="spellEnd"/>
            <w:r>
              <w:rPr>
                <w:rFonts w:ascii="Times New Roman" w:hAnsi="Times New Roman"/>
                <w:sz w:val="20"/>
              </w:rPr>
              <w:t xml:space="preserve"> e do </w:t>
            </w:r>
            <w:proofErr w:type="spellStart"/>
            <w:r>
              <w:rPr>
                <w:rFonts w:ascii="Times New Roman" w:hAnsi="Times New Roman"/>
                <w:sz w:val="20"/>
              </w:rPr>
              <w:t>encaminhamento</w:t>
            </w:r>
            <w:proofErr w:type="spellEnd"/>
            <w:r>
              <w:rPr>
                <w:rFonts w:ascii="Times New Roman" w:hAnsi="Times New Roman"/>
                <w:sz w:val="20"/>
              </w:rPr>
              <w:t xml:space="preserve"> do </w:t>
            </w:r>
            <w:proofErr w:type="spellStart"/>
            <w:r>
              <w:rPr>
                <w:rFonts w:ascii="Times New Roman" w:hAnsi="Times New Roman"/>
                <w:sz w:val="20"/>
              </w:rPr>
              <w:t>Achado</w:t>
            </w:r>
            <w:proofErr w:type="spellEnd"/>
            <w:r>
              <w:rPr>
                <w:rFonts w:ascii="Times New Roman" w:hAnsi="Times New Roman"/>
                <w:sz w:val="20"/>
              </w:rPr>
              <w:t xml:space="preserve"> III</w:t>
            </w:r>
          </w:p>
        </w:tc>
      </w:tr>
      <w:tr w:rsidR="00203927" w14:paraId="5EB1565A" w14:textId="77777777" w:rsidTr="00324773">
        <w:trPr>
          <w:jc w:val="center"/>
        </w:trPr>
        <w:tc>
          <w:tcPr>
            <w:tcW w:w="1271" w:type="dxa"/>
          </w:tcPr>
          <w:p w14:paraId="06C22EF5" w14:textId="77777777" w:rsidR="00203927" w:rsidRDefault="00000000" w:rsidP="00324773">
            <w:pPr>
              <w:spacing w:before="20" w:after="20"/>
              <w:jc w:val="center"/>
            </w:pPr>
            <w:r>
              <w:rPr>
                <w:rFonts w:ascii="Times New Roman" w:hAnsi="Times New Roman"/>
                <w:sz w:val="20"/>
              </w:rPr>
              <w:t>ARG-27</w:t>
            </w:r>
          </w:p>
        </w:tc>
        <w:tc>
          <w:tcPr>
            <w:tcW w:w="1701" w:type="dxa"/>
          </w:tcPr>
          <w:p w14:paraId="62900EDF" w14:textId="77777777" w:rsidR="00203927" w:rsidRDefault="00000000" w:rsidP="00324773">
            <w:pPr>
              <w:spacing w:before="20" w:after="20"/>
              <w:jc w:val="center"/>
            </w:pPr>
            <w:r>
              <w:rPr>
                <w:rFonts w:ascii="Times New Roman" w:hAnsi="Times New Roman"/>
                <w:sz w:val="20"/>
              </w:rPr>
              <w:t>150</w:t>
            </w:r>
          </w:p>
        </w:tc>
        <w:tc>
          <w:tcPr>
            <w:tcW w:w="1985" w:type="dxa"/>
          </w:tcPr>
          <w:p w14:paraId="4B975EBF" w14:textId="77777777" w:rsidR="00203927" w:rsidRDefault="00000000" w:rsidP="00324773">
            <w:pPr>
              <w:spacing w:before="20" w:after="20"/>
              <w:jc w:val="center"/>
            </w:pPr>
            <w:r>
              <w:rPr>
                <w:rFonts w:ascii="Times New Roman" w:hAnsi="Times New Roman"/>
                <w:sz w:val="20"/>
              </w:rPr>
              <w:t>56-57, 64</w:t>
            </w:r>
          </w:p>
        </w:tc>
        <w:tc>
          <w:tcPr>
            <w:tcW w:w="4439" w:type="dxa"/>
          </w:tcPr>
          <w:p w14:paraId="091AA825" w14:textId="77777777" w:rsidR="00203927" w:rsidRDefault="00000000">
            <w:pPr>
              <w:spacing w:before="20" w:after="20"/>
            </w:pPr>
            <w:proofErr w:type="spellStart"/>
            <w:r>
              <w:rPr>
                <w:rFonts w:ascii="Times New Roman" w:hAnsi="Times New Roman"/>
                <w:sz w:val="20"/>
              </w:rPr>
              <w:t>Achado</w:t>
            </w:r>
            <w:proofErr w:type="spellEnd"/>
            <w:r>
              <w:rPr>
                <w:rFonts w:ascii="Times New Roman" w:hAnsi="Times New Roman"/>
                <w:sz w:val="20"/>
              </w:rPr>
              <w:t xml:space="preserve"> IV </w:t>
            </w:r>
            <w:proofErr w:type="spellStart"/>
            <w:r>
              <w:rPr>
                <w:rFonts w:ascii="Times New Roman" w:hAnsi="Times New Roman"/>
                <w:sz w:val="20"/>
              </w:rPr>
              <w:t>sem</w:t>
            </w:r>
            <w:proofErr w:type="spellEnd"/>
            <w:r>
              <w:rPr>
                <w:rFonts w:ascii="Times New Roman" w:hAnsi="Times New Roman"/>
                <w:sz w:val="20"/>
              </w:rPr>
              <w:t xml:space="preserve"> </w:t>
            </w:r>
            <w:proofErr w:type="spellStart"/>
            <w:r>
              <w:rPr>
                <w:rFonts w:ascii="Times New Roman" w:hAnsi="Times New Roman"/>
                <w:sz w:val="20"/>
              </w:rPr>
              <w:t>vazio</w:t>
            </w:r>
            <w:proofErr w:type="spellEnd"/>
            <w:r>
              <w:rPr>
                <w:rFonts w:ascii="Times New Roman" w:hAnsi="Times New Roman"/>
                <w:sz w:val="20"/>
              </w:rPr>
              <w:t xml:space="preserve"> </w:t>
            </w:r>
            <w:proofErr w:type="spellStart"/>
            <w:r>
              <w:rPr>
                <w:rFonts w:ascii="Times New Roman" w:hAnsi="Times New Roman"/>
                <w:sz w:val="20"/>
              </w:rPr>
              <w:t>absoluto</w:t>
            </w:r>
            <w:proofErr w:type="spellEnd"/>
            <w:r>
              <w:rPr>
                <w:rFonts w:ascii="Times New Roman" w:hAnsi="Times New Roman"/>
                <w:sz w:val="20"/>
              </w:rPr>
              <w:t xml:space="preserve"> de </w:t>
            </w:r>
            <w:proofErr w:type="spellStart"/>
            <w:r>
              <w:rPr>
                <w:rFonts w:ascii="Times New Roman" w:hAnsi="Times New Roman"/>
                <w:sz w:val="20"/>
              </w:rPr>
              <w:t>documentação</w:t>
            </w:r>
            <w:proofErr w:type="spellEnd"/>
          </w:p>
        </w:tc>
      </w:tr>
      <w:tr w:rsidR="00203927" w14:paraId="5893074A" w14:textId="77777777" w:rsidTr="00324773">
        <w:trPr>
          <w:jc w:val="center"/>
        </w:trPr>
        <w:tc>
          <w:tcPr>
            <w:tcW w:w="1271" w:type="dxa"/>
          </w:tcPr>
          <w:p w14:paraId="544A9C67" w14:textId="77777777" w:rsidR="00203927" w:rsidRDefault="00000000" w:rsidP="00324773">
            <w:pPr>
              <w:spacing w:before="20" w:after="20"/>
              <w:jc w:val="center"/>
            </w:pPr>
            <w:r>
              <w:rPr>
                <w:rFonts w:ascii="Times New Roman" w:hAnsi="Times New Roman"/>
                <w:sz w:val="20"/>
              </w:rPr>
              <w:t>ARG-28</w:t>
            </w:r>
          </w:p>
        </w:tc>
        <w:tc>
          <w:tcPr>
            <w:tcW w:w="1701" w:type="dxa"/>
          </w:tcPr>
          <w:p w14:paraId="4D5EEFDD" w14:textId="77777777" w:rsidR="00203927" w:rsidRDefault="00000000" w:rsidP="00324773">
            <w:pPr>
              <w:spacing w:before="20" w:after="20"/>
              <w:jc w:val="center"/>
            </w:pPr>
            <w:r>
              <w:rPr>
                <w:rFonts w:ascii="Times New Roman" w:hAnsi="Times New Roman"/>
                <w:sz w:val="20"/>
              </w:rPr>
              <w:t>150</w:t>
            </w:r>
          </w:p>
        </w:tc>
        <w:tc>
          <w:tcPr>
            <w:tcW w:w="1985" w:type="dxa"/>
          </w:tcPr>
          <w:p w14:paraId="4E24BFF6" w14:textId="77777777" w:rsidR="00203927" w:rsidRDefault="00000000" w:rsidP="00324773">
            <w:pPr>
              <w:spacing w:before="20" w:after="20"/>
              <w:jc w:val="center"/>
            </w:pPr>
            <w:r>
              <w:rPr>
                <w:rFonts w:ascii="Times New Roman" w:hAnsi="Times New Roman"/>
                <w:sz w:val="20"/>
              </w:rPr>
              <w:t>57-60</w:t>
            </w:r>
          </w:p>
        </w:tc>
        <w:tc>
          <w:tcPr>
            <w:tcW w:w="4439" w:type="dxa"/>
          </w:tcPr>
          <w:p w14:paraId="72E50F90" w14:textId="77777777" w:rsidR="00203927" w:rsidRDefault="00000000">
            <w:pPr>
              <w:spacing w:before="20" w:after="20"/>
            </w:pPr>
            <w:proofErr w:type="spellStart"/>
            <w:r>
              <w:rPr>
                <w:rFonts w:ascii="Times New Roman" w:hAnsi="Times New Roman"/>
                <w:sz w:val="20"/>
              </w:rPr>
              <w:t>Problema</w:t>
            </w:r>
            <w:proofErr w:type="spellEnd"/>
            <w:r>
              <w:rPr>
                <w:rFonts w:ascii="Times New Roman" w:hAnsi="Times New Roman"/>
                <w:sz w:val="20"/>
              </w:rPr>
              <w:t xml:space="preserve"> </w:t>
            </w:r>
            <w:proofErr w:type="spellStart"/>
            <w:r>
              <w:rPr>
                <w:rFonts w:ascii="Times New Roman" w:hAnsi="Times New Roman"/>
                <w:sz w:val="20"/>
              </w:rPr>
              <w:t>qualitativo</w:t>
            </w:r>
            <w:proofErr w:type="spellEnd"/>
            <w:r>
              <w:rPr>
                <w:rFonts w:ascii="Times New Roman" w:hAnsi="Times New Roman"/>
                <w:sz w:val="20"/>
              </w:rPr>
              <w:t xml:space="preserve"> de </w:t>
            </w:r>
            <w:proofErr w:type="spellStart"/>
            <w:r>
              <w:rPr>
                <w:rFonts w:ascii="Times New Roman" w:hAnsi="Times New Roman"/>
                <w:sz w:val="20"/>
              </w:rPr>
              <w:t>metadados</w:t>
            </w:r>
            <w:proofErr w:type="spellEnd"/>
            <w:r>
              <w:rPr>
                <w:rFonts w:ascii="Times New Roman" w:hAnsi="Times New Roman"/>
                <w:sz w:val="20"/>
              </w:rPr>
              <w:t xml:space="preserve">, </w:t>
            </w:r>
            <w:proofErr w:type="spellStart"/>
            <w:r>
              <w:rPr>
                <w:rFonts w:ascii="Times New Roman" w:hAnsi="Times New Roman"/>
                <w:sz w:val="20"/>
              </w:rPr>
              <w:t>não</w:t>
            </w:r>
            <w:proofErr w:type="spellEnd"/>
            <w:r>
              <w:rPr>
                <w:rFonts w:ascii="Times New Roman" w:hAnsi="Times New Roman"/>
                <w:sz w:val="20"/>
              </w:rPr>
              <w:t xml:space="preserve"> </w:t>
            </w:r>
            <w:proofErr w:type="spellStart"/>
            <w:r>
              <w:rPr>
                <w:rFonts w:ascii="Times New Roman" w:hAnsi="Times New Roman"/>
                <w:sz w:val="20"/>
              </w:rPr>
              <w:t>inexistência</w:t>
            </w:r>
            <w:proofErr w:type="spellEnd"/>
            <w:r>
              <w:rPr>
                <w:rFonts w:ascii="Times New Roman" w:hAnsi="Times New Roman"/>
                <w:sz w:val="20"/>
              </w:rPr>
              <w:t xml:space="preserve"> </w:t>
            </w:r>
            <w:proofErr w:type="spellStart"/>
            <w:r>
              <w:rPr>
                <w:rFonts w:ascii="Times New Roman" w:hAnsi="Times New Roman"/>
                <w:sz w:val="20"/>
              </w:rPr>
              <w:t>estrutural</w:t>
            </w:r>
            <w:proofErr w:type="spellEnd"/>
            <w:r>
              <w:rPr>
                <w:rFonts w:ascii="Times New Roman" w:hAnsi="Times New Roman"/>
                <w:sz w:val="20"/>
              </w:rPr>
              <w:t xml:space="preserve"> de </w:t>
            </w:r>
            <w:proofErr w:type="spellStart"/>
            <w:r>
              <w:rPr>
                <w:rFonts w:ascii="Times New Roman" w:hAnsi="Times New Roman"/>
                <w:sz w:val="20"/>
              </w:rPr>
              <w:t>governança</w:t>
            </w:r>
            <w:proofErr w:type="spellEnd"/>
          </w:p>
        </w:tc>
      </w:tr>
      <w:tr w:rsidR="00203927" w14:paraId="1D84117E" w14:textId="77777777" w:rsidTr="00324773">
        <w:trPr>
          <w:jc w:val="center"/>
        </w:trPr>
        <w:tc>
          <w:tcPr>
            <w:tcW w:w="1271" w:type="dxa"/>
          </w:tcPr>
          <w:p w14:paraId="1B8B8504" w14:textId="77777777" w:rsidR="00203927" w:rsidRDefault="00000000" w:rsidP="00324773">
            <w:pPr>
              <w:spacing w:before="20" w:after="20"/>
              <w:jc w:val="center"/>
            </w:pPr>
            <w:r>
              <w:rPr>
                <w:rFonts w:ascii="Times New Roman" w:hAnsi="Times New Roman"/>
                <w:sz w:val="20"/>
              </w:rPr>
              <w:t>ARG-29</w:t>
            </w:r>
          </w:p>
        </w:tc>
        <w:tc>
          <w:tcPr>
            <w:tcW w:w="1701" w:type="dxa"/>
          </w:tcPr>
          <w:p w14:paraId="527AA9D7" w14:textId="77777777" w:rsidR="00203927" w:rsidRDefault="00000000" w:rsidP="00324773">
            <w:pPr>
              <w:spacing w:before="20" w:after="20"/>
              <w:jc w:val="center"/>
            </w:pPr>
            <w:r>
              <w:rPr>
                <w:rFonts w:ascii="Times New Roman" w:hAnsi="Times New Roman"/>
                <w:sz w:val="20"/>
              </w:rPr>
              <w:t>150</w:t>
            </w:r>
          </w:p>
        </w:tc>
        <w:tc>
          <w:tcPr>
            <w:tcW w:w="1985" w:type="dxa"/>
          </w:tcPr>
          <w:p w14:paraId="46D29092" w14:textId="77777777" w:rsidR="00203927" w:rsidRDefault="00000000" w:rsidP="00324773">
            <w:pPr>
              <w:spacing w:before="20" w:after="20"/>
              <w:jc w:val="center"/>
            </w:pPr>
            <w:r>
              <w:rPr>
                <w:rFonts w:ascii="Times New Roman" w:hAnsi="Times New Roman"/>
                <w:sz w:val="20"/>
              </w:rPr>
              <w:t>61, 70-71, 72-73</w:t>
            </w:r>
          </w:p>
        </w:tc>
        <w:tc>
          <w:tcPr>
            <w:tcW w:w="4439" w:type="dxa"/>
          </w:tcPr>
          <w:p w14:paraId="1701075C" w14:textId="77777777" w:rsidR="00203927" w:rsidRDefault="00000000">
            <w:pPr>
              <w:spacing w:before="20" w:after="20"/>
            </w:pPr>
            <w:proofErr w:type="spellStart"/>
            <w:r>
              <w:rPr>
                <w:rFonts w:ascii="Times New Roman" w:hAnsi="Times New Roman"/>
                <w:sz w:val="20"/>
              </w:rPr>
              <w:t>Tratamento</w:t>
            </w:r>
            <w:proofErr w:type="spellEnd"/>
            <w:r>
              <w:rPr>
                <w:rFonts w:ascii="Times New Roman" w:hAnsi="Times New Roman"/>
                <w:sz w:val="20"/>
              </w:rPr>
              <w:t xml:space="preserve"> </w:t>
            </w:r>
            <w:proofErr w:type="spellStart"/>
            <w:r>
              <w:rPr>
                <w:rFonts w:ascii="Times New Roman" w:hAnsi="Times New Roman"/>
                <w:sz w:val="20"/>
              </w:rPr>
              <w:t>progressivo</w:t>
            </w:r>
            <w:proofErr w:type="spellEnd"/>
            <w:r>
              <w:rPr>
                <w:rFonts w:ascii="Times New Roman" w:hAnsi="Times New Roman"/>
                <w:sz w:val="20"/>
              </w:rPr>
              <w:t xml:space="preserve"> e </w:t>
            </w:r>
            <w:proofErr w:type="spellStart"/>
            <w:r>
              <w:rPr>
                <w:rFonts w:ascii="Times New Roman" w:hAnsi="Times New Roman"/>
                <w:sz w:val="20"/>
              </w:rPr>
              <w:t>priorizado</w:t>
            </w:r>
            <w:proofErr w:type="spellEnd"/>
            <w:r>
              <w:rPr>
                <w:rFonts w:ascii="Times New Roman" w:hAnsi="Times New Roman"/>
                <w:sz w:val="20"/>
              </w:rPr>
              <w:t xml:space="preserve"> do </w:t>
            </w:r>
            <w:proofErr w:type="spellStart"/>
            <w:r>
              <w:rPr>
                <w:rFonts w:ascii="Times New Roman" w:hAnsi="Times New Roman"/>
                <w:sz w:val="20"/>
              </w:rPr>
              <w:t>Achado</w:t>
            </w:r>
            <w:proofErr w:type="spellEnd"/>
            <w:r>
              <w:rPr>
                <w:rFonts w:ascii="Times New Roman" w:hAnsi="Times New Roman"/>
                <w:sz w:val="20"/>
              </w:rPr>
              <w:t xml:space="preserve"> IV</w:t>
            </w:r>
          </w:p>
        </w:tc>
      </w:tr>
      <w:tr w:rsidR="00203927" w14:paraId="0C2021DA" w14:textId="77777777" w:rsidTr="00324773">
        <w:trPr>
          <w:jc w:val="center"/>
        </w:trPr>
        <w:tc>
          <w:tcPr>
            <w:tcW w:w="1271" w:type="dxa"/>
          </w:tcPr>
          <w:p w14:paraId="6E9FC3AC" w14:textId="77777777" w:rsidR="00203927" w:rsidRDefault="00000000" w:rsidP="00324773">
            <w:pPr>
              <w:spacing w:before="20" w:after="20"/>
              <w:jc w:val="center"/>
            </w:pPr>
            <w:r>
              <w:rPr>
                <w:rFonts w:ascii="Times New Roman" w:hAnsi="Times New Roman"/>
                <w:sz w:val="20"/>
              </w:rPr>
              <w:t>ARG-30</w:t>
            </w:r>
          </w:p>
        </w:tc>
        <w:tc>
          <w:tcPr>
            <w:tcW w:w="1701" w:type="dxa"/>
          </w:tcPr>
          <w:p w14:paraId="02228078" w14:textId="77777777" w:rsidR="00203927" w:rsidRDefault="00000000" w:rsidP="00324773">
            <w:pPr>
              <w:spacing w:before="20" w:after="20"/>
              <w:jc w:val="center"/>
            </w:pPr>
            <w:r>
              <w:rPr>
                <w:rFonts w:ascii="Times New Roman" w:hAnsi="Times New Roman"/>
                <w:sz w:val="20"/>
              </w:rPr>
              <w:t>150</w:t>
            </w:r>
          </w:p>
        </w:tc>
        <w:tc>
          <w:tcPr>
            <w:tcW w:w="1985" w:type="dxa"/>
          </w:tcPr>
          <w:p w14:paraId="00A72D20" w14:textId="77777777" w:rsidR="00203927" w:rsidRDefault="00000000" w:rsidP="00324773">
            <w:pPr>
              <w:spacing w:before="20" w:after="20"/>
              <w:jc w:val="center"/>
            </w:pPr>
            <w:r>
              <w:rPr>
                <w:rFonts w:ascii="Times New Roman" w:hAnsi="Times New Roman"/>
                <w:sz w:val="20"/>
              </w:rPr>
              <w:t>45, 55-56, 72-73</w:t>
            </w:r>
          </w:p>
        </w:tc>
        <w:tc>
          <w:tcPr>
            <w:tcW w:w="4439" w:type="dxa"/>
          </w:tcPr>
          <w:p w14:paraId="287ADA94" w14:textId="77777777" w:rsidR="00203927" w:rsidRDefault="00000000">
            <w:pPr>
              <w:spacing w:before="20" w:after="20"/>
            </w:pPr>
            <w:proofErr w:type="spellStart"/>
            <w:r>
              <w:rPr>
                <w:rFonts w:ascii="Times New Roman" w:hAnsi="Times New Roman"/>
                <w:sz w:val="20"/>
              </w:rPr>
              <w:t>Rejeição</w:t>
            </w:r>
            <w:proofErr w:type="spellEnd"/>
            <w:r>
              <w:rPr>
                <w:rFonts w:ascii="Times New Roman" w:hAnsi="Times New Roman"/>
                <w:sz w:val="20"/>
              </w:rPr>
              <w:t xml:space="preserve"> </w:t>
            </w:r>
            <w:proofErr w:type="spellStart"/>
            <w:r>
              <w:rPr>
                <w:rFonts w:ascii="Times New Roman" w:hAnsi="Times New Roman"/>
                <w:sz w:val="20"/>
              </w:rPr>
              <w:t>ao</w:t>
            </w:r>
            <w:proofErr w:type="spellEnd"/>
            <w:r>
              <w:rPr>
                <w:rFonts w:ascii="Times New Roman" w:hAnsi="Times New Roman"/>
                <w:sz w:val="20"/>
              </w:rPr>
              <w:t xml:space="preserve"> </w:t>
            </w:r>
            <w:proofErr w:type="spellStart"/>
            <w:r>
              <w:rPr>
                <w:rFonts w:ascii="Times New Roman" w:hAnsi="Times New Roman"/>
                <w:sz w:val="20"/>
              </w:rPr>
              <w:t>saneamento</w:t>
            </w:r>
            <w:proofErr w:type="spellEnd"/>
            <w:r>
              <w:rPr>
                <w:rFonts w:ascii="Times New Roman" w:hAnsi="Times New Roman"/>
                <w:sz w:val="20"/>
              </w:rPr>
              <w:t xml:space="preserve"> </w:t>
            </w:r>
            <w:proofErr w:type="spellStart"/>
            <w:r>
              <w:rPr>
                <w:rFonts w:ascii="Times New Roman" w:hAnsi="Times New Roman"/>
                <w:sz w:val="20"/>
              </w:rPr>
              <w:t>massivo</w:t>
            </w:r>
            <w:proofErr w:type="spellEnd"/>
            <w:r>
              <w:rPr>
                <w:rFonts w:ascii="Times New Roman" w:hAnsi="Times New Roman"/>
                <w:sz w:val="20"/>
              </w:rPr>
              <w:t xml:space="preserve"> e </w:t>
            </w:r>
            <w:proofErr w:type="spellStart"/>
            <w:r>
              <w:rPr>
                <w:rFonts w:ascii="Times New Roman" w:hAnsi="Times New Roman"/>
                <w:sz w:val="20"/>
              </w:rPr>
              <w:t>defesa</w:t>
            </w:r>
            <w:proofErr w:type="spellEnd"/>
            <w:r>
              <w:rPr>
                <w:rFonts w:ascii="Times New Roman" w:hAnsi="Times New Roman"/>
                <w:sz w:val="20"/>
              </w:rPr>
              <w:t xml:space="preserve"> de </w:t>
            </w:r>
            <w:proofErr w:type="spellStart"/>
            <w:r>
              <w:rPr>
                <w:rFonts w:ascii="Times New Roman" w:hAnsi="Times New Roman"/>
                <w:sz w:val="20"/>
              </w:rPr>
              <w:t>resposta</w:t>
            </w:r>
            <w:proofErr w:type="spellEnd"/>
            <w:r>
              <w:rPr>
                <w:rFonts w:ascii="Times New Roman" w:hAnsi="Times New Roman"/>
                <w:sz w:val="20"/>
              </w:rPr>
              <w:t xml:space="preserve"> gradual e </w:t>
            </w:r>
            <w:proofErr w:type="spellStart"/>
            <w:r>
              <w:rPr>
                <w:rFonts w:ascii="Times New Roman" w:hAnsi="Times New Roman"/>
                <w:sz w:val="20"/>
              </w:rPr>
              <w:t>orientada</w:t>
            </w:r>
            <w:proofErr w:type="spellEnd"/>
            <w:r>
              <w:rPr>
                <w:rFonts w:ascii="Times New Roman" w:hAnsi="Times New Roman"/>
                <w:sz w:val="20"/>
              </w:rPr>
              <w:t xml:space="preserve"> </w:t>
            </w:r>
            <w:proofErr w:type="spellStart"/>
            <w:r>
              <w:rPr>
                <w:rFonts w:ascii="Times New Roman" w:hAnsi="Times New Roman"/>
                <w:sz w:val="20"/>
              </w:rPr>
              <w:t>por</w:t>
            </w:r>
            <w:proofErr w:type="spellEnd"/>
            <w:r>
              <w:rPr>
                <w:rFonts w:ascii="Times New Roman" w:hAnsi="Times New Roman"/>
                <w:sz w:val="20"/>
              </w:rPr>
              <w:t xml:space="preserve"> </w:t>
            </w:r>
            <w:proofErr w:type="spellStart"/>
            <w:r>
              <w:rPr>
                <w:rFonts w:ascii="Times New Roman" w:hAnsi="Times New Roman"/>
                <w:sz w:val="20"/>
              </w:rPr>
              <w:t>risco</w:t>
            </w:r>
            <w:proofErr w:type="spellEnd"/>
          </w:p>
        </w:tc>
      </w:tr>
    </w:tbl>
    <w:p w14:paraId="47BF5082" w14:textId="77777777" w:rsidR="00203927" w:rsidRDefault="00000000">
      <w:pPr>
        <w:pStyle w:val="Ttulo2"/>
      </w:pPr>
      <w:r>
        <w:t xml:space="preserve">ARG-01 — </w:t>
      </w:r>
      <w:proofErr w:type="spellStart"/>
      <w:r>
        <w:t>Extrapolação</w:t>
      </w:r>
      <w:proofErr w:type="spellEnd"/>
      <w:r>
        <w:t xml:space="preserve"> da </w:t>
      </w:r>
      <w:proofErr w:type="spellStart"/>
      <w:r>
        <w:t>amostra</w:t>
      </w:r>
      <w:proofErr w:type="spellEnd"/>
      <w:r>
        <w:t xml:space="preserve">, </w:t>
      </w:r>
      <w:proofErr w:type="spellStart"/>
      <w:r>
        <w:t>heterogeneidade</w:t>
      </w:r>
      <w:proofErr w:type="spellEnd"/>
      <w:r>
        <w:t xml:space="preserve"> temporal e </w:t>
      </w:r>
      <w:proofErr w:type="spellStart"/>
      <w:r>
        <w:t>amostra</w:t>
      </w:r>
      <w:proofErr w:type="spellEnd"/>
      <w:r>
        <w:t xml:space="preserve"> </w:t>
      </w:r>
      <w:proofErr w:type="spellStart"/>
      <w:r>
        <w:t>própria</w:t>
      </w:r>
      <w:proofErr w:type="spellEnd"/>
      <w:r>
        <w:t xml:space="preserve"> de </w:t>
      </w:r>
      <w:proofErr w:type="spellStart"/>
      <w:r>
        <w:t>rechecagem</w:t>
      </w:r>
      <w:proofErr w:type="spellEnd"/>
    </w:p>
    <w:p w14:paraId="11805A6E" w14:textId="77777777" w:rsidR="00203927" w:rsidRDefault="00000000" w:rsidP="00324773">
      <w:pPr>
        <w:pStyle w:val="Pargrafonumerado"/>
        <w:numPr>
          <w:ilvl w:val="0"/>
          <w:numId w:val="6"/>
        </w:numPr>
        <w:spacing w:after="120"/>
        <w:ind w:left="0" w:firstLine="0"/>
      </w:pPr>
      <w:r>
        <w:t xml:space="preserve">O gestor sustenta que o relatório extrapola para a totalidade do acervo conclusões extraídas de amostras formadas em momentos distintos da transição entre DAP e CAF, o que reduziria a homogeneidade necessária para certas inferências globais (peça 150, p. 18-19). A formulação ministerial parte da premissa de que a base auditada não é um estoque uniforme: reúne registros produzidos sob rotinas, marcos normativos e estágios tecnológicos diferentes — cadastros oriundos do período da DAP, da implantação do CAF 3.0 e das sucessivas mudanças de interface </w:t>
      </w:r>
      <w:r>
        <w:lastRenderedPageBreak/>
        <w:t>e de regras de negócio ocorridas na transição. A crítica incide menos sobre a existência de amostragem e mais sobre a passagem entre amostra, estratificação e generalização: taxas obtidas sobre subconjuntos específicos tenderiam a exigir mediação adicional antes de serem projetadas para toda a base ativa (peça 150, p. 18). Em reforço, o gestor apresenta amostra própria de 385 inscrições, distribuídas pelas unidades da federação, como base interna de rechecagem (peça 153, p. 14). O ponto tensiona diretamente a forma como o relatório quantifica a magnitude do problema — especialmente as projeções de 3,08 milhões de documentos inadequados e de 1,44 milhão com divergência de área — e, por consequência, a amplitude da resposta institucional sugerida para seu tratamento.</w:t>
      </w:r>
    </w:p>
    <w:p w14:paraId="0419E137" w14:textId="77777777" w:rsidR="00203927" w:rsidRDefault="00000000" w:rsidP="00324773">
      <w:pPr>
        <w:pStyle w:val="Pargrafonumerado"/>
        <w:numPr>
          <w:ilvl w:val="0"/>
          <w:numId w:val="6"/>
        </w:numPr>
        <w:spacing w:after="120"/>
        <w:ind w:left="0" w:firstLine="0"/>
      </w:pPr>
      <w:r>
        <w:rPr>
          <w:b/>
        </w:rPr>
        <w:t>Análise da equipe.</w:t>
      </w:r>
      <w:r>
        <w:t xml:space="preserve"> O argumento é parcialmente procedente quanto à necessidade de explicitar melhor a distinção entre passivo acumulado e situação corrente, distinção adotada no relatório. A base efetivamente reúne registros produzidos sob contextos normativos e tecnológicos distintos, e o relatório registra os avanços implementados pelo gestor nas versões mais recentes do cadastro. Isso, porém, não elimina a necessidade de resposta institucional, porque o passivo histórico permanece na base ativa e continua apto a influenciar decisões correntes.</w:t>
      </w:r>
    </w:p>
    <w:p w14:paraId="6FE1B7BF" w14:textId="77777777" w:rsidR="00203927" w:rsidRDefault="00000000" w:rsidP="00324773">
      <w:pPr>
        <w:pStyle w:val="Pargrafonumerado"/>
        <w:numPr>
          <w:ilvl w:val="0"/>
          <w:numId w:val="6"/>
        </w:numPr>
        <w:spacing w:after="120"/>
        <w:ind w:left="0" w:firstLine="0"/>
      </w:pPr>
      <w:r>
        <w:t>As estimativas da auditoria continuam relevantes para dimensionar a ordem de grandeza do problema e justificar a necessidade de avaliação estruturada das situações identificadas e de acompanhamento por criticidade. A heterogeneidade temporal recomenda cautela na leitura e priorização do saneamento, mas não elimina a conveniência de organizar a resposta administrativa com base em risco e materialidade.</w:t>
      </w:r>
    </w:p>
    <w:p w14:paraId="41530024" w14:textId="77777777" w:rsidR="00203927" w:rsidRDefault="00000000">
      <w:pPr>
        <w:pStyle w:val="Ttulo2"/>
      </w:pPr>
      <w:r>
        <w:t xml:space="preserve">ARG-02 — </w:t>
      </w:r>
      <w:proofErr w:type="spellStart"/>
      <w:r>
        <w:t>Finalidade</w:t>
      </w:r>
      <w:proofErr w:type="spellEnd"/>
      <w:r>
        <w:t xml:space="preserve"> </w:t>
      </w:r>
      <w:proofErr w:type="spellStart"/>
      <w:r>
        <w:t>jurídica</w:t>
      </w:r>
      <w:proofErr w:type="spellEnd"/>
      <w:r>
        <w:t xml:space="preserve"> do CAF: </w:t>
      </w:r>
      <w:proofErr w:type="spellStart"/>
      <w:r>
        <w:t>cadastro</w:t>
      </w:r>
      <w:proofErr w:type="spellEnd"/>
      <w:r>
        <w:t xml:space="preserve"> </w:t>
      </w:r>
      <w:proofErr w:type="spellStart"/>
      <w:r>
        <w:t>autodeclaratório</w:t>
      </w:r>
      <w:proofErr w:type="spellEnd"/>
      <w:r>
        <w:t xml:space="preserve">, porta de entrada e </w:t>
      </w:r>
      <w:proofErr w:type="spellStart"/>
      <w:r>
        <w:t>instrumento</w:t>
      </w:r>
      <w:proofErr w:type="spellEnd"/>
      <w:r>
        <w:t xml:space="preserve"> de </w:t>
      </w:r>
      <w:proofErr w:type="spellStart"/>
      <w:r>
        <w:t>identificação</w:t>
      </w:r>
      <w:proofErr w:type="spellEnd"/>
      <w:r>
        <w:t xml:space="preserve"> </w:t>
      </w:r>
      <w:proofErr w:type="spellStart"/>
      <w:r>
        <w:t>socioeconômica</w:t>
      </w:r>
      <w:proofErr w:type="spellEnd"/>
    </w:p>
    <w:p w14:paraId="2839322E" w14:textId="77777777" w:rsidR="00203927" w:rsidRDefault="00000000" w:rsidP="00324773">
      <w:pPr>
        <w:pStyle w:val="Pargrafonumerado"/>
        <w:numPr>
          <w:ilvl w:val="0"/>
          <w:numId w:val="6"/>
        </w:numPr>
        <w:spacing w:after="120"/>
        <w:ind w:left="0" w:firstLine="0"/>
      </w:pPr>
      <w:r>
        <w:t>O gestor sustenta que o CAF deve ser lido como cadastro autodeclaratório, voltado à identificação e qualificação do público da agricultura familiar, e não como instância final, autossuficiente e conclusiva de concessão de benefícios (peça 150, p. 9-13; peça 156, p. 1-2; peça 162, p. 2-3). A manifestação associa essa leitura ao marco legal do cadastro, especialmente à Lei 11.326/2006 e ao Decreto 9.064/2017. Ao qualificar o CAF como "porta de entrada" para políticas públicas, o gestor procura separar três planos: cadastro, elegibilidade final e concessão material de benefícios. O raciocínio é que Pronaf, PAA, PNAE e outras políticas usuárias do cadastro possuem filtros próprios de elegibilidade, contratação e execução, de modo que uma inconsistência detectada no CAF não se converte automaticamente, sem mediações adicionais, em concessão indevida, fraude ou desvio de finalidade (peça 150, p. 9-11). A objeção atinge a passagem lógica entre fragilidade no cadastro e efeito material automático nas políticas.</w:t>
      </w:r>
    </w:p>
    <w:p w14:paraId="3546E508" w14:textId="77777777" w:rsidR="00203927" w:rsidRDefault="00000000" w:rsidP="00324773">
      <w:pPr>
        <w:pStyle w:val="Pargrafonumerado"/>
        <w:numPr>
          <w:ilvl w:val="0"/>
          <w:numId w:val="6"/>
        </w:numPr>
        <w:spacing w:after="120"/>
        <w:ind w:left="0" w:firstLine="0"/>
      </w:pPr>
      <w:r>
        <w:rPr>
          <w:b/>
        </w:rPr>
        <w:t>Análise da equipe.</w:t>
      </w:r>
      <w:r>
        <w:t xml:space="preserve"> A observação é pertinente apenas para afastar qualquer formulação que sugira equiparação automática entre inconsistência no cadastro e inelegibilidade definitiva. O relatório descreve o problema nestes termos: o tom foi suavizado para afastar expressões que poderiam sugerir enquadramento de irregularidade, e a redação deixa claro que o problema identificado no Achado I — Insuficiência dos mecanismos de validação e da documentação comprobatória reduz a capacidade do CAF de atestar a elegibilidade dos cadastrados recai sobre a capacidade do cadastro de comprovar e sustentar a elegibilidade, e não sobre decisão final individual de cada política pública.</w:t>
      </w:r>
    </w:p>
    <w:p w14:paraId="7BCD20F8" w14:textId="77777777" w:rsidR="00203927" w:rsidRDefault="00000000" w:rsidP="00324773">
      <w:pPr>
        <w:pStyle w:val="Pargrafonumerado"/>
        <w:numPr>
          <w:ilvl w:val="0"/>
          <w:numId w:val="6"/>
        </w:numPr>
        <w:spacing w:after="120"/>
        <w:ind w:left="0" w:firstLine="0"/>
      </w:pPr>
      <w:r>
        <w:lastRenderedPageBreak/>
        <w:t>Isso não dispensa, contudo, encaminhamentos voltados ao aprimoramento dos processos de cadastramento, da integridade dos dados críticos e da articulação com bases oficiais relevantes. Se o CAF é instrumento oficial de identificação e qualificação do público da agricultura familiar, os processos de cadastramento precisam produzir dados e documentos com qualidade suficiente para suportar políticas públicas e para permitir, quando necessário, validação, interoperabilidade e controle. A esse respeito, o Manual de Crédito Rural do Banco Central estabelece que o CAF válido é documento suficiente para comprovar o vínculo do beneficiário com a terra e com a atividade produtiva para fins de contratação de financiamento do Pronaf (peça 137, p. 166), dispensando inclusive registro em cartório da documentação pertinente à relação contratual (peça 137, p. 156). Essa centralidade do CAF no acesso ao crédito rural reforça a importância de que os dados cadastrais sejam produzidos com qualidade adequada.</w:t>
      </w:r>
    </w:p>
    <w:p w14:paraId="0776CBB9" w14:textId="77777777" w:rsidR="00203927" w:rsidRDefault="00000000">
      <w:pPr>
        <w:pStyle w:val="Ttulo2"/>
      </w:pPr>
      <w:r>
        <w:t xml:space="preserve">ARG-03 — </w:t>
      </w:r>
      <w:proofErr w:type="spellStart"/>
      <w:r>
        <w:t>Reconstrução</w:t>
      </w:r>
      <w:proofErr w:type="spellEnd"/>
      <w:r>
        <w:t xml:space="preserve"> </w:t>
      </w:r>
      <w:proofErr w:type="spellStart"/>
      <w:r>
        <w:t>institucional</w:t>
      </w:r>
      <w:proofErr w:type="spellEnd"/>
      <w:r>
        <w:t xml:space="preserve"> do MDA, </w:t>
      </w:r>
      <w:proofErr w:type="spellStart"/>
      <w:r>
        <w:t>Portaria</w:t>
      </w:r>
      <w:proofErr w:type="spellEnd"/>
      <w:r>
        <w:t xml:space="preserve"> MDA 20/2023 e </w:t>
      </w:r>
      <w:proofErr w:type="spellStart"/>
      <w:r>
        <w:t>inovações</w:t>
      </w:r>
      <w:proofErr w:type="spellEnd"/>
      <w:r>
        <w:t xml:space="preserve"> do CAF 3.0</w:t>
      </w:r>
    </w:p>
    <w:p w14:paraId="737234D2" w14:textId="77777777" w:rsidR="00203927" w:rsidRDefault="00000000" w:rsidP="00324773">
      <w:pPr>
        <w:pStyle w:val="Pargrafonumerado"/>
        <w:numPr>
          <w:ilvl w:val="0"/>
          <w:numId w:val="6"/>
        </w:numPr>
        <w:spacing w:after="120"/>
        <w:ind w:left="0" w:firstLine="0"/>
      </w:pPr>
      <w:r>
        <w:t>O gestor sustenta que os achados devem ser lidos à luz do processo recente de reconstrução institucional do MDA, ocorrida no novo ciclo ministerial, bem como da reorganização normativa e tecnológica do CAF (peça 150, p. 4-7). Confere relevo à Portaria MDA nº 20/2023, tratada como marco de reorganização normativa: segundo a manifestação, o ato recolocou o CAF em bases compatíveis com o novo ciclo, ao simplificar o acesso, redefinir regras documentais, disciplinar a relação com programas usuários e reforçar mecanismos de verificação e consistência (peça 150, p. 6). Como complemento, apresenta quadro comparativo entre CAF 2.0 e CAF 3.0, com ênfase em inovações como integração com sistemas externos, anexação documental por abas e redução de documentos exigidos (peça 152, p. 11-13). O núcleo do argumento é que o relatório precisaria enfatizar mais claramente a distinção entre legado herdado e estado atual da solução, valorizando os avanços concretos implementados.</w:t>
      </w:r>
    </w:p>
    <w:p w14:paraId="7F615A77" w14:textId="77777777" w:rsidR="00203927" w:rsidRDefault="00000000" w:rsidP="00324773">
      <w:pPr>
        <w:pStyle w:val="Pargrafonumerado"/>
        <w:numPr>
          <w:ilvl w:val="0"/>
          <w:numId w:val="6"/>
        </w:numPr>
        <w:spacing w:after="120"/>
        <w:ind w:left="0" w:firstLine="0"/>
      </w:pPr>
      <w:r>
        <w:rPr>
          <w:b/>
        </w:rPr>
        <w:t>Análise da equipe.</w:t>
      </w:r>
      <w:r>
        <w:t xml:space="preserve"> O argumento é parcialmente procedente como elemento de contexto institucional e foi acolhido no relatório. O relatório distingue de forma mais explícita o passivo acumulado da situação corrente e a registrar os avanços implementados pelo gestor, inclusive os associados ao CAF 3.0, às novas integrações e às mudanças de interface. Esse ajuste de linguagem e de contexto, todavia, não desloca o diagnóstico central nem dispensa o aprimoramento do processo de gestão de mudanças e garantia da qualidade do sistema.</w:t>
      </w:r>
    </w:p>
    <w:p w14:paraId="54D882F0" w14:textId="77777777" w:rsidR="00203927" w:rsidRDefault="00000000" w:rsidP="00324773">
      <w:pPr>
        <w:pStyle w:val="Pargrafonumerado"/>
        <w:numPr>
          <w:ilvl w:val="0"/>
          <w:numId w:val="6"/>
        </w:numPr>
        <w:spacing w:after="120"/>
        <w:ind w:left="0" w:firstLine="0"/>
      </w:pPr>
      <w:r>
        <w:t>Em outras palavras, o reconhecimento de avanços não apaga o estoque problemático herdado nem afasta a necessidade de mecanismos que previnam regressões futuras. O argumento do gestor, portanto, justifica precisão de tom e contexto, mas não o abandono de resposta institucional compatível com os problemas documentados.</w:t>
      </w:r>
    </w:p>
    <w:p w14:paraId="112406D5" w14:textId="77777777" w:rsidR="00203927" w:rsidRDefault="00000000">
      <w:pPr>
        <w:pStyle w:val="Ttulo2"/>
      </w:pPr>
      <w:r>
        <w:t xml:space="preserve">ARG-04 — </w:t>
      </w:r>
      <w:proofErr w:type="spellStart"/>
      <w:r>
        <w:t>Heterogeneidade</w:t>
      </w:r>
      <w:proofErr w:type="spellEnd"/>
      <w:r>
        <w:t xml:space="preserve"> dos </w:t>
      </w:r>
      <w:proofErr w:type="spellStart"/>
      <w:r>
        <w:t>públicos</w:t>
      </w:r>
      <w:proofErr w:type="spellEnd"/>
      <w:r>
        <w:t xml:space="preserve">, rede </w:t>
      </w:r>
      <w:proofErr w:type="spellStart"/>
      <w:r>
        <w:t>emissora</w:t>
      </w:r>
      <w:proofErr w:type="spellEnd"/>
      <w:r>
        <w:t xml:space="preserve"> e </w:t>
      </w:r>
      <w:proofErr w:type="spellStart"/>
      <w:r>
        <w:t>mudança</w:t>
      </w:r>
      <w:proofErr w:type="spellEnd"/>
      <w:r>
        <w:t xml:space="preserve"> cultural da </w:t>
      </w:r>
      <w:proofErr w:type="spellStart"/>
      <w:r>
        <w:t>implantação</w:t>
      </w:r>
      <w:proofErr w:type="spellEnd"/>
    </w:p>
    <w:p w14:paraId="2E26E475" w14:textId="77777777" w:rsidR="00203927" w:rsidRDefault="00000000" w:rsidP="00324773">
      <w:pPr>
        <w:pStyle w:val="Pargrafonumerado"/>
        <w:numPr>
          <w:ilvl w:val="0"/>
          <w:numId w:val="6"/>
        </w:numPr>
        <w:spacing w:after="120"/>
        <w:ind w:left="0" w:firstLine="0"/>
      </w:pPr>
      <w:r>
        <w:t xml:space="preserve">O gestor argumenta que a leitura dos achados não pode homogeneizar públicos e situações jurídicas diversas, porque o CAF abrange agricultores familiares em sentido estrito, mas também extrativistas, pescadores artesanais, aquicultores, silvicultores, povos indígenas, comunidades quilombolas, povos e comunidades tradicionais, assentados da reforma agrária e outras formas de relação com a terra (peça 150, p. 12-16). Essa pluralidade é mobilizada para questionar leituras excessivamente lineares de documentação, área, territorialidade e validação </w:t>
      </w:r>
      <w:r>
        <w:lastRenderedPageBreak/>
        <w:t xml:space="preserve">cadastral. A isso se soma a configuração operacional da Rede CAF: a manifestação ressalta que a implantação do cadastro envolveu rede emissora ampla, múltiplos atores institucionais — </w:t>
      </w:r>
      <w:proofErr w:type="spellStart"/>
      <w:r>
        <w:t>Ematers</w:t>
      </w:r>
      <w:proofErr w:type="spellEnd"/>
      <w:r>
        <w:t>, sindicatos, associações e prefeituras — e os próprios beneficiários, em processo descrito como mudança cultural que deveria ocorrer de modo gradual (peça 153, p. 4; peça 157, p. 3). O gestor sustenta que a rede operou durante longo período com a DAP, instrumento anterior ao CAF, e que a transição para o CAF 3.0 representa processo que demanda tempo e gradualidade (peça 157, p. 3). O argumento tensiona, segundo o gestor, a viabilidade de exigir controles uniformes de validação documental e cadastral quando a realidade operacional da rede é fragmentada e desigual.</w:t>
      </w:r>
    </w:p>
    <w:p w14:paraId="2517367F" w14:textId="77777777" w:rsidR="00203927" w:rsidRDefault="00000000" w:rsidP="00324773">
      <w:pPr>
        <w:pStyle w:val="Pargrafonumerado"/>
        <w:numPr>
          <w:ilvl w:val="0"/>
          <w:numId w:val="6"/>
        </w:numPr>
        <w:spacing w:after="120"/>
        <w:ind w:left="0" w:firstLine="0"/>
      </w:pPr>
      <w:r>
        <w:rPr>
          <w:b/>
        </w:rPr>
        <w:t>Análise da equipe.</w:t>
      </w:r>
      <w:r>
        <w:t xml:space="preserve"> Há valor na observação de que a heterogeneidade do público e da rede torna o ambiente mais complexo e recomenda cautela contra generalizações simplificadoras. Essa moldura reforça a conveniência de encaminhamentos menos prescritivos, de prazo mais realista e de execução organizada por risco e criticidade, conforme adotado no relatório.</w:t>
      </w:r>
    </w:p>
    <w:p w14:paraId="06925F63" w14:textId="77777777" w:rsidR="00203927" w:rsidRDefault="00000000" w:rsidP="00324773">
      <w:pPr>
        <w:pStyle w:val="Pargrafonumerado"/>
        <w:numPr>
          <w:ilvl w:val="0"/>
          <w:numId w:val="6"/>
        </w:numPr>
        <w:spacing w:after="120"/>
        <w:ind w:left="0" w:firstLine="0"/>
      </w:pPr>
      <w:r>
        <w:t>Por outro lado, a pluralidade de públicos e a complexidade da rede não dispensam a exigência de que os processos de cadastramento produzam dados com qualidade suficiente, nem o acompanhamento contínuo por indicadores. Em bases operadas por rede extensa e descentralizada, a diversidade operacional funciona menos como contrarrazão aos achados e mais como elemento que explica por que padronização, prevenção de dados inválidos e acompanhamento por indicadores permanecem necessários.</w:t>
      </w:r>
    </w:p>
    <w:p w14:paraId="386203C0" w14:textId="77777777" w:rsidR="00203927" w:rsidRDefault="00000000">
      <w:pPr>
        <w:pStyle w:val="Ttulo2"/>
      </w:pPr>
      <w:r>
        <w:t xml:space="preserve">ARG-05 — </w:t>
      </w:r>
      <w:proofErr w:type="spellStart"/>
      <w:r>
        <w:t>Restrições</w:t>
      </w:r>
      <w:proofErr w:type="spellEnd"/>
      <w:r>
        <w:t xml:space="preserve"> </w:t>
      </w:r>
      <w:proofErr w:type="spellStart"/>
      <w:r>
        <w:t>estruturais</w:t>
      </w:r>
      <w:proofErr w:type="spellEnd"/>
      <w:r>
        <w:t xml:space="preserve"> de TIC, </w:t>
      </w:r>
      <w:proofErr w:type="spellStart"/>
      <w:r>
        <w:t>intermitência</w:t>
      </w:r>
      <w:proofErr w:type="spellEnd"/>
      <w:r>
        <w:t xml:space="preserve"> do CAFWeb e </w:t>
      </w:r>
      <w:proofErr w:type="spellStart"/>
      <w:r>
        <w:t>dependências</w:t>
      </w:r>
      <w:proofErr w:type="spellEnd"/>
      <w:r>
        <w:t xml:space="preserve"> </w:t>
      </w:r>
      <w:proofErr w:type="spellStart"/>
      <w:r>
        <w:t>interinstitucionais</w:t>
      </w:r>
      <w:proofErr w:type="spellEnd"/>
    </w:p>
    <w:p w14:paraId="2336ABBA" w14:textId="77777777" w:rsidR="00203927" w:rsidRDefault="00000000" w:rsidP="00324773">
      <w:pPr>
        <w:pStyle w:val="Pargrafonumerado"/>
        <w:numPr>
          <w:ilvl w:val="0"/>
          <w:numId w:val="6"/>
        </w:numPr>
        <w:spacing w:after="120"/>
        <w:ind w:left="0" w:firstLine="0"/>
      </w:pPr>
      <w:r>
        <w:t>O gestor reúne documentação de TIC para sustentar que o ambiente operacional do CAF foi marcado por restrições estruturais, dependência de contratos compartilhados com o MAPA, incidentes de infraestrutura e intermitência do CAFWeb, plataforma predecessora da solução atual (peça 154, p. 1; peça 155, p. 2-4; peça 160, p. 1; peça 165, p. 2). A Nota Técnica nº 12/2025/CGTI-MDA é mobilizada para afirmar que os serviços de TIC de que o MDA necessita extrapolam os limites operacionais dos contratos compartilhados com o MAPA (peça 154, p. 1). O ETP 15/2025 reforça a mesma narrativa de insuficiência estrutural de suporte tecnológico (peça 155, p. 2-4). Já o Ofício MDA nº 154/2024/SPOA e a documentação sobre o CAFWeb procuram demonstrar que incidentes de infraestrutura e indisponibilidades constituíram, segundo o gestor, parte do contexto operacional do cadastro, e não circunstâncias isoladas (peça 160, p. 1; peça 165, p. 2). O eixo argumentativo é que parte das dificuldades de operação e evolução do cadastro tem relação com ambiente tecnológico compartilhado e com capacidade institucional limitada de TIC.</w:t>
      </w:r>
    </w:p>
    <w:p w14:paraId="0366C349" w14:textId="77777777" w:rsidR="00203927" w:rsidRDefault="00000000" w:rsidP="00324773">
      <w:pPr>
        <w:pStyle w:val="Pargrafonumerado"/>
        <w:numPr>
          <w:ilvl w:val="0"/>
          <w:numId w:val="6"/>
        </w:numPr>
        <w:spacing w:after="120"/>
        <w:ind w:left="0" w:firstLine="0"/>
      </w:pPr>
      <w:r>
        <w:rPr>
          <w:b/>
        </w:rPr>
        <w:t>Análise da equipe.</w:t>
      </w:r>
      <w:r>
        <w:t xml:space="preserve"> Os documentos apresentados são relevantes para contextualizar a capacidade operacional do gestor e ajudam a justificar encaminhamentos menos prescritivos e prazo mais compatível com a complexidade operacional do caso. Nesse sentido, o argumento contribui para delimitar o alcance dos encaminhamentos.</w:t>
      </w:r>
    </w:p>
    <w:p w14:paraId="185E6A4A" w14:textId="77777777" w:rsidR="00203927" w:rsidRDefault="00000000" w:rsidP="00324773">
      <w:pPr>
        <w:pStyle w:val="Pargrafonumerado"/>
        <w:numPr>
          <w:ilvl w:val="0"/>
          <w:numId w:val="6"/>
        </w:numPr>
        <w:spacing w:after="120"/>
        <w:ind w:left="0" w:firstLine="0"/>
      </w:pPr>
      <w:r>
        <w:t>Todavia, as restrições de TIC não dispensam, por si sós, resposta institucional estruturada. Se o próprio gestor reconhece limitações de infraestrutura e necessidade de contratação e reforço técnico, isso confirma a conveniência de encaminhamentos voltados à interoperabilidade, à gestão de mudanças e ao acompanhamento da qualidade do cadastro, ainda que com liberdade de meios para implementação.</w:t>
      </w:r>
    </w:p>
    <w:p w14:paraId="79205725" w14:textId="77777777" w:rsidR="00203927" w:rsidRDefault="00000000">
      <w:pPr>
        <w:pStyle w:val="Ttulo2"/>
      </w:pPr>
      <w:r>
        <w:lastRenderedPageBreak/>
        <w:t xml:space="preserve">ARG-06 — </w:t>
      </w:r>
      <w:proofErr w:type="spellStart"/>
      <w:r>
        <w:t>Providências</w:t>
      </w:r>
      <w:proofErr w:type="spellEnd"/>
      <w:r>
        <w:t xml:space="preserve"> </w:t>
      </w:r>
      <w:proofErr w:type="spellStart"/>
      <w:r>
        <w:t>institucionais</w:t>
      </w:r>
      <w:proofErr w:type="spellEnd"/>
      <w:r>
        <w:t xml:space="preserve"> </w:t>
      </w:r>
      <w:proofErr w:type="spellStart"/>
      <w:r>
        <w:t>em</w:t>
      </w:r>
      <w:proofErr w:type="spellEnd"/>
      <w:r>
        <w:t xml:space="preserve"> </w:t>
      </w:r>
      <w:proofErr w:type="spellStart"/>
      <w:r>
        <w:t>curso</w:t>
      </w:r>
      <w:proofErr w:type="spellEnd"/>
      <w:r>
        <w:t xml:space="preserve">: </w:t>
      </w:r>
      <w:proofErr w:type="spellStart"/>
      <w:r>
        <w:t>capacitação</w:t>
      </w:r>
      <w:proofErr w:type="spellEnd"/>
      <w:r>
        <w:t xml:space="preserve">, TED/UFES e </w:t>
      </w:r>
      <w:proofErr w:type="spellStart"/>
      <w:r>
        <w:t>reforço</w:t>
      </w:r>
      <w:proofErr w:type="spellEnd"/>
      <w:r>
        <w:t xml:space="preserve"> </w:t>
      </w:r>
      <w:proofErr w:type="spellStart"/>
      <w:r>
        <w:t>contratual</w:t>
      </w:r>
      <w:proofErr w:type="spellEnd"/>
      <w:r>
        <w:t xml:space="preserve"> </w:t>
      </w:r>
      <w:proofErr w:type="spellStart"/>
      <w:r>
        <w:t>com a</w:t>
      </w:r>
      <w:proofErr w:type="spellEnd"/>
      <w:r>
        <w:t xml:space="preserve"> </w:t>
      </w:r>
      <w:proofErr w:type="spellStart"/>
      <w:r>
        <w:t>Dataprev</w:t>
      </w:r>
      <w:proofErr w:type="spellEnd"/>
    </w:p>
    <w:p w14:paraId="68BC2478" w14:textId="77777777" w:rsidR="00203927" w:rsidRDefault="00000000" w:rsidP="00324773">
      <w:pPr>
        <w:pStyle w:val="Pargrafonumerado"/>
        <w:numPr>
          <w:ilvl w:val="0"/>
          <w:numId w:val="6"/>
        </w:numPr>
        <w:spacing w:after="120"/>
        <w:ind w:left="0" w:firstLine="0"/>
      </w:pPr>
      <w:r>
        <w:t>O gestor apresenta, como evidências de resposta institucional já em curso, o Plano de Trabalho do TED celebrado com a UFES e o Contrato MDA nº 6/2026 celebrado com a Dataprev (peça 158, p. 1; peça 159, p. 1). O TED com a UFES é enquadrado como instrumento de capacitação e padronização da Rede CAF, especialmente relevante em ambiente descentralizado e heterogêneo, com foco na formação dos cadastradores e na qualificação dos procedimentos de cadastramento. Já o contrato com a Dataprev é mobilizado como base para reforço de sustentação tecnológica, infraestrutura e evolução do sistema. A intenção é demonstrar que a administração não estaria paralisada diante dos problemas identificados, mas estruturando providências concretas voltadas à formação da rede, à qualificação da governança e ao fortalecimento do suporte tecnológico.</w:t>
      </w:r>
    </w:p>
    <w:p w14:paraId="14CFFD5E" w14:textId="77777777" w:rsidR="00203927" w:rsidRDefault="00000000" w:rsidP="00324773">
      <w:pPr>
        <w:pStyle w:val="Pargrafonumerado"/>
        <w:numPr>
          <w:ilvl w:val="0"/>
          <w:numId w:val="6"/>
        </w:numPr>
        <w:spacing w:after="120"/>
        <w:ind w:left="0" w:firstLine="0"/>
      </w:pPr>
      <w:r>
        <w:rPr>
          <w:b/>
        </w:rPr>
        <w:t>Análise da equipe.</w:t>
      </w:r>
      <w:r>
        <w:t xml:space="preserve"> O argumento é pertinente como contexto institucional, mas não constitui razão suficiente para afastar encaminhamentos. O fato de existirem iniciativas de capacitação, apoio tecnológico e estruturação contratual pode e deve ser reconhecido no relatório porque evita leitura indevidamente áspera do contexto administrativo. Esse reconhecimento, contudo, opera no plano da contextualização e da execução futura das medidas administrativas.</w:t>
      </w:r>
    </w:p>
    <w:p w14:paraId="0A37B699" w14:textId="77777777" w:rsidR="00203927" w:rsidRDefault="00000000" w:rsidP="00324773">
      <w:pPr>
        <w:pStyle w:val="Pargrafonumerado"/>
        <w:numPr>
          <w:ilvl w:val="0"/>
          <w:numId w:val="6"/>
        </w:numPr>
        <w:spacing w:after="120"/>
        <w:ind w:left="0" w:firstLine="0"/>
      </w:pPr>
      <w:r>
        <w:t>As providências em curso não substituem, por si, a necessidade de resposta institucional, mas podem ser incorporadas pelo gestor como parte dela. Em especial, elas dialogam com o aprimoramento do cadastramento, com a interoperabilidade, com a gestão de mudanças e com o acompanhamento permanente da qualidade, sem eliminar a necessidade de que essas frentes sejam formalmente avaliadas, priorizadas e acompanhadas.</w:t>
      </w:r>
    </w:p>
    <w:p w14:paraId="1664CEF2" w14:textId="77777777" w:rsidR="00203927" w:rsidRDefault="00000000">
      <w:pPr>
        <w:pStyle w:val="Ttulo2"/>
      </w:pPr>
      <w:r>
        <w:t xml:space="preserve">ARG-07 — Modelo </w:t>
      </w:r>
      <w:proofErr w:type="spellStart"/>
      <w:r>
        <w:t>híbrido</w:t>
      </w:r>
      <w:proofErr w:type="spellEnd"/>
      <w:r>
        <w:t xml:space="preserve"> de </w:t>
      </w:r>
      <w:proofErr w:type="spellStart"/>
      <w:r>
        <w:t>validação</w:t>
      </w:r>
      <w:proofErr w:type="spellEnd"/>
      <w:r>
        <w:t xml:space="preserve"> do </w:t>
      </w:r>
      <w:proofErr w:type="spellStart"/>
      <w:r>
        <w:t>Achado</w:t>
      </w:r>
      <w:proofErr w:type="spellEnd"/>
      <w:r>
        <w:t xml:space="preserve"> I</w:t>
      </w:r>
    </w:p>
    <w:p w14:paraId="3463D8B4" w14:textId="77777777" w:rsidR="00203927" w:rsidRDefault="00000000" w:rsidP="00324773">
      <w:pPr>
        <w:pStyle w:val="Pargrafonumerado"/>
        <w:numPr>
          <w:ilvl w:val="0"/>
          <w:numId w:val="6"/>
        </w:numPr>
        <w:spacing w:after="120"/>
        <w:ind w:left="0" w:firstLine="0"/>
      </w:pPr>
      <w:r>
        <w:t>O gestor sustenta que o Achado I simplifica excessivamente o funcionamento real do CAF ao pressupor dependência quase exclusiva da análise de documentos isolados. A manifestação afirma que o modelo é híbrido, articulando análise humana pela rede emissora, regras sistêmicas do CAF 3.0, monitoramento e possibilidade de apuração posterior (peça 150, p. 24-26). A distinção conceitual central é que ausência de automação completa não equivaleria a ausência de controle: embora o sistema não execute validação semântica integral de tudo o que é anexado, a atuação dos cadastradores, a triagem documental na rede emissora e os mecanismos de revisão posterior integrariam o arranjo de controle. O gestor registra, ainda, avanços associados ao Acórdão TCU 1197/2018 e ao Acórdão de Relação 885/2024-Plenário como demonstração de que há providências de aprimoramento em curso (peça 150, p. 25). O ponto tensiona a formulação do relatório de que a validação da elegibilidade depende sobretudo da análise dos documentos apresentados e de que inexistem mecanismos automatizados suficientes.</w:t>
      </w:r>
    </w:p>
    <w:p w14:paraId="757D5378" w14:textId="77777777" w:rsidR="00203927" w:rsidRDefault="00000000" w:rsidP="00324773">
      <w:pPr>
        <w:pStyle w:val="Pargrafonumerado"/>
        <w:numPr>
          <w:ilvl w:val="0"/>
          <w:numId w:val="6"/>
        </w:numPr>
        <w:spacing w:after="120"/>
        <w:ind w:left="0" w:firstLine="0"/>
      </w:pPr>
      <w:r>
        <w:rPr>
          <w:b/>
        </w:rPr>
        <w:t>Análise da equipe.</w:t>
      </w:r>
      <w:r>
        <w:t xml:space="preserve"> O argumento é parcialmente procedente quanto à necessidade de reconhecer que o modelo de verificação do CAF não se esgota na análise documental isolada. De fato, o processo de inscrição envolve atuação da rede emissora, regras sistêmicas e possibilidade de monitoramento posterior, e o relatório registra essa nuance e os avanços implementados pelo gestor.</w:t>
      </w:r>
    </w:p>
    <w:p w14:paraId="63F819E1" w14:textId="77777777" w:rsidR="00203927" w:rsidRDefault="00000000" w:rsidP="00324773">
      <w:pPr>
        <w:pStyle w:val="Pargrafonumerado"/>
        <w:numPr>
          <w:ilvl w:val="0"/>
          <w:numId w:val="6"/>
        </w:numPr>
        <w:spacing w:after="120"/>
        <w:ind w:left="0" w:firstLine="0"/>
      </w:pPr>
      <w:r>
        <w:t xml:space="preserve">Todavia, a existência de camadas complementares de verificação não compromete o diagnóstico central do Achado I — Insuficiência dos mecanismos de validação e da documentação </w:t>
      </w:r>
      <w:r>
        <w:lastRenderedPageBreak/>
        <w:t>comprobatória reduz a capacidade do CAF de atestar a elegibilidade dos cadastrados. O DAMA-DMBOK v2, adotado como referencial técnico da auditoria na Matriz de Planejamento aprovada e nas questões de auditoria (QST-1 e QST-2), estabelece que a melhor forma de assegurar qualidade é impedir a entrada de dados inadequados na origem, sendo as ações preventivas mais eficazes que a inspeção posterior dos dados já registrados (peça 86, p. 38). Registre-se que o próprio TCU, no Acórdão 457/2026-Plenário (Rel. Min. Augusto Nardes, unanimidade), utilizou expressamente o DAMA-DMBOK2 como critério de auditoria para avaliar a maturidade de governança de dados em órgãos federais, recomendando que desenvolvam ou revisem seus programas de dados conforme as boas práticas desse referencial. Na mesma linha, a jurisprudência do Tribunal consolida que a Administração deve implantar procedimentos de verificação da qualidade dos dados na entrada dos sistemas informatizados (Acórdão 906/2009-Plenário, Rel. Min. Augusto Nardes).</w:t>
      </w:r>
    </w:p>
    <w:p w14:paraId="4005AD2C" w14:textId="77777777" w:rsidR="00203927" w:rsidRDefault="00000000" w:rsidP="00324773">
      <w:pPr>
        <w:pStyle w:val="Pargrafonumerado"/>
        <w:numPr>
          <w:ilvl w:val="0"/>
          <w:numId w:val="6"/>
        </w:numPr>
        <w:spacing w:after="120"/>
        <w:ind w:left="0" w:firstLine="0"/>
      </w:pPr>
      <w:r>
        <w:t>Essa lógica é especialmente relevante para o CAF porque, se o cadastro é instrumento oficial de identificação e qualificação do público da agricultura familiar, a qualidade dos dados e documentos precisa ser assegurada preferencialmente no momento da entrada, e não apenas em verificações posteriores cuja cobertura e tempestividade dependem de recursos que o próprio gestor reconhece serem limitados. A delegação predominante da validação a camadas subsequentes tende a converter problemas de qualidade preventiva em passivo acumulado de difícil tratamento retroativo — exatamente o cenário documentado no achado.</w:t>
      </w:r>
    </w:p>
    <w:p w14:paraId="34D1420F" w14:textId="77777777" w:rsidR="00203927" w:rsidRDefault="00000000" w:rsidP="00324773">
      <w:pPr>
        <w:pStyle w:val="Pargrafonumerado"/>
        <w:numPr>
          <w:ilvl w:val="0"/>
          <w:numId w:val="6"/>
        </w:numPr>
        <w:spacing w:after="120"/>
        <w:ind w:left="0" w:firstLine="0"/>
      </w:pPr>
      <w:r>
        <w:t>Registre-se que, na reunião de trabalho realizada em 07/10/2025, ficou consignado em ata, por consenso entre equipe e gestor, que o sistema carece de mecanismos automatizados de validação (peça 73, p. 3). Na reunião de encerramento, a conclusão formal registrou que muitos dos problemas identificados se originam do legado do CAF 2.0, sistema anterior que não possuía validações robustas (peça 74, p. 4). O próprio gestor, ao descrever o quadro de causas (peça 150, p. 26), reconhece que o problema não é inexistência de verificação, mas necessidade de ampliar os instrumentos de apoio e padronização. Essa formulação converge, e não conflita, com a sustentação do achado: o diagnóstico do relatório não afirma ausência absoluta de controles, mas insuficiência dos mecanismos existentes para assegurar integridade documental em escala compatível com o volume do cadastro.</w:t>
      </w:r>
    </w:p>
    <w:p w14:paraId="5AE00174" w14:textId="77777777" w:rsidR="00203927" w:rsidRDefault="00000000" w:rsidP="00324773">
      <w:pPr>
        <w:pStyle w:val="Pargrafonumerado"/>
        <w:numPr>
          <w:ilvl w:val="0"/>
          <w:numId w:val="6"/>
        </w:numPr>
        <w:spacing w:after="120"/>
        <w:ind w:left="0" w:firstLine="0"/>
      </w:pPr>
      <w:r>
        <w:t>Quanto ao registro de avanços associados ao Acórdão TCU 1197/2018 e ao Acórdão de Relação 885/2024-Plenário (peça 150, p. 25), o relatório reconhece as providências em curso. Cabe registrar, porém, que o Acórdão 1197/2018-Plenário determinou expressamente, no item 9.2.6, que o CAF incorporasse as salvaguardas ordenadas pelo TCU ao substituir a DAP, e que o item 9.2.2 determinou o estabelecimento de procedimentos de validação e cruzamento de dados. Após dois ciclos de monitoramento (Acórdão 1866/2021-Plenário e Acórdão 885/2024-Plenário), essas determinações permanecem classificadas como "em cumprimento", e o Tribunal autorizou terceiro ciclo de monitoramento. Esse histórico contextualiza a execução futura das medidas administrativas, sem substituir a necessidade de resposta institucional compatível com as fragilidades documentadas.</w:t>
      </w:r>
    </w:p>
    <w:p w14:paraId="5EA4AE55" w14:textId="77777777" w:rsidR="00203927" w:rsidRDefault="00000000">
      <w:pPr>
        <w:pStyle w:val="Ttulo2"/>
      </w:pPr>
      <w:r>
        <w:t xml:space="preserve">ARG-08 — Norma </w:t>
      </w:r>
      <w:proofErr w:type="spellStart"/>
      <w:r>
        <w:t>vigente</w:t>
      </w:r>
      <w:proofErr w:type="spellEnd"/>
      <w:r>
        <w:t xml:space="preserve"> à </w:t>
      </w:r>
      <w:proofErr w:type="spellStart"/>
      <w:r>
        <w:t>época</w:t>
      </w:r>
      <w:proofErr w:type="spellEnd"/>
      <w:r>
        <w:t xml:space="preserve">, conjunto </w:t>
      </w:r>
      <w:proofErr w:type="spellStart"/>
      <w:r>
        <w:t>probatório</w:t>
      </w:r>
      <w:proofErr w:type="spellEnd"/>
      <w:r>
        <w:t xml:space="preserve"> integral e </w:t>
      </w:r>
      <w:proofErr w:type="spellStart"/>
      <w:r>
        <w:t>enquadramento</w:t>
      </w:r>
      <w:proofErr w:type="spellEnd"/>
      <w:r>
        <w:t xml:space="preserve"> </w:t>
      </w:r>
      <w:proofErr w:type="spellStart"/>
      <w:r>
        <w:t>normativo</w:t>
      </w:r>
      <w:proofErr w:type="spellEnd"/>
      <w:r>
        <w:t xml:space="preserve"> </w:t>
      </w:r>
      <w:proofErr w:type="spellStart"/>
      <w:r>
        <w:t>por</w:t>
      </w:r>
      <w:proofErr w:type="spellEnd"/>
      <w:r>
        <w:t xml:space="preserve"> </w:t>
      </w:r>
      <w:proofErr w:type="spellStart"/>
      <w:r>
        <w:t>período</w:t>
      </w:r>
      <w:proofErr w:type="spellEnd"/>
    </w:p>
    <w:p w14:paraId="6EC0E1FF" w14:textId="77777777" w:rsidR="00203927" w:rsidRDefault="00000000" w:rsidP="00324773">
      <w:pPr>
        <w:pStyle w:val="Pargrafonumerado"/>
        <w:numPr>
          <w:ilvl w:val="0"/>
          <w:numId w:val="6"/>
        </w:numPr>
        <w:spacing w:after="120"/>
        <w:ind w:left="0" w:firstLine="0"/>
      </w:pPr>
      <w:r>
        <w:t xml:space="preserve">O gestor sustenta que a adequação documental não pode ser aferida pela leitura isolada de um único arquivo nem por cotejo indiferenciado com uma só moldura normativa. Alega que o </w:t>
      </w:r>
      <w:r>
        <w:lastRenderedPageBreak/>
        <w:t>exame de conformidade exigiria consideração do conjunto probatório integral existente no cadastro e do regime normativo vigente quando a inscrição foi emitida (peça 163, p. 1-2; peça 150, p. 31; peça 150, p. 63-64). Em apoio a essa linha, faz referência expressa à Portaria MAPA nº 293/2022 e à Portaria MDA nº 20/2023, argumentando que cadastros emitidos sob regramentos distintos não podem ser analisados como se todos tivessem nascido sob a disciplina atual (peça 163, p. 1-2). Sustenta, ainda, que parte das situações apontadas decorre de leitura parcial dos documentos e não necessariamente de ausência de documentação hábil. O argumento pretende deslocar a discussão da mera tipologia documental para a combinação entre período normativo, acervo integral do cadastro e função do documento no contexto de cada inscrição.</w:t>
      </w:r>
    </w:p>
    <w:p w14:paraId="78AADBC9" w14:textId="77777777" w:rsidR="00203927" w:rsidRDefault="00000000" w:rsidP="00324773">
      <w:pPr>
        <w:pStyle w:val="Pargrafonumerado"/>
        <w:numPr>
          <w:ilvl w:val="0"/>
          <w:numId w:val="6"/>
        </w:numPr>
        <w:spacing w:after="120"/>
        <w:ind w:left="0" w:firstLine="0"/>
      </w:pPr>
      <w:r>
        <w:rPr>
          <w:b/>
        </w:rPr>
        <w:t>Análise da equipe.</w:t>
      </w:r>
      <w:r>
        <w:t xml:space="preserve"> O argumento é parcialmente procedente e foi aproveitado naquilo que contribui para precisar a redação do relatório. É razoável reconhecer que casos individuais podem exigir leitura contextualizada do acervo documental e do regime normativo vigente quando o cadastro foi emitido. Essa percepção dialoga com o ajuste do relatório para distinguir melhor passivo acumulado e situação corrente.</w:t>
      </w:r>
    </w:p>
    <w:p w14:paraId="4DBE9A4A" w14:textId="77777777" w:rsidR="00203927" w:rsidRDefault="00000000" w:rsidP="00324773">
      <w:pPr>
        <w:pStyle w:val="Pargrafonumerado"/>
        <w:numPr>
          <w:ilvl w:val="0"/>
          <w:numId w:val="6"/>
        </w:numPr>
        <w:spacing w:after="120"/>
        <w:ind w:left="0" w:firstLine="0"/>
      </w:pPr>
      <w:r>
        <w:t>Isso não compromete, entretanto, a substância do Achado I — Insuficiência dos mecanismos de validação e da documentação comprobatória reduz a capacidade do CAF de atestar a elegibilidade dos cadastrados. O diagnóstico do achado permanece baseado em amostragem e em padrões documentados de inadequação do mecanismo de validação. O efeito prático do argumento do gestor é precisar o alcance de enfrentamento administrativo, não eliminar a pertinência de encaminhamentos voltados ao aprimoramento do cadastramento e da integridade dos dados críticos.</w:t>
      </w:r>
    </w:p>
    <w:p w14:paraId="2431F4DB" w14:textId="77777777" w:rsidR="00203927" w:rsidRDefault="00000000">
      <w:pPr>
        <w:pStyle w:val="Ttulo2"/>
      </w:pPr>
      <w:r>
        <w:t xml:space="preserve">ARG-09 — Escala da base, </w:t>
      </w:r>
      <w:proofErr w:type="spellStart"/>
      <w:r>
        <w:t>validação</w:t>
      </w:r>
      <w:proofErr w:type="spellEnd"/>
      <w:r>
        <w:t xml:space="preserve"> manual e </w:t>
      </w:r>
      <w:proofErr w:type="spellStart"/>
      <w:r>
        <w:t>enfrentamento</w:t>
      </w:r>
      <w:proofErr w:type="spellEnd"/>
      <w:r>
        <w:t xml:space="preserve"> gradual do </w:t>
      </w:r>
      <w:proofErr w:type="spellStart"/>
      <w:r>
        <w:t>passivo</w:t>
      </w:r>
      <w:proofErr w:type="spellEnd"/>
      <w:r>
        <w:t xml:space="preserve"> documental</w:t>
      </w:r>
    </w:p>
    <w:p w14:paraId="2B8B4595" w14:textId="77777777" w:rsidR="00203927" w:rsidRDefault="00000000" w:rsidP="00324773">
      <w:pPr>
        <w:pStyle w:val="Pargrafonumerado"/>
        <w:numPr>
          <w:ilvl w:val="0"/>
          <w:numId w:val="6"/>
        </w:numPr>
        <w:spacing w:after="120"/>
        <w:ind w:left="0" w:firstLine="0"/>
      </w:pPr>
      <w:r>
        <w:t xml:space="preserve">O gestor sustenta que a escala do CAF, embora elevada, não torna a validação manual logicamente impossível, porque o acervo não é tratado de forma instantânea e homogênea, mas ao longo do tempo, em fluxo distribuído pela rede emissora: os documentos ingressam no sistema por meio de atendimentos individualizados, distribuídos no tempo e no território, com conferência documental no momento da inscrição (peça 150, p. 21-22, 26-29). A manifestação afirma que não se trata de modelo sem controle e rejeita a ideia de inviabilidade intrínseca da análise humana. Em paralelo, sustenta que o cenário institucional não é de inércia, mas de enfrentamento progressivo do passivo documental, apresentando elementos concretos: o Plano de Formação operacionalizado via TED DCAF/UFES para o período 2025-2027 (peça 150, p. 27, </w:t>
      </w:r>
      <w:proofErr w:type="gramStart"/>
      <w:r>
        <w:t>Anexo</w:t>
      </w:r>
      <w:proofErr w:type="gramEnd"/>
      <w:r>
        <w:t xml:space="preserve"> 8) e o vencimento previsto de cerca de 742 mil registros em 2026, que ensejará renovação cadastral com reapresentação documental (peça 150, p. 29). Apresenta, ainda, dados de monitoramento próprio realizado no segundo semestre de 2024 com amostra probabilística estratificada por unidade da federação, registrando índice de conformidade integral de 32% — parcela da amostra em que todos os quesitos verificados foram simultaneamente atendidos — e níveis individuais por quesito com média em torno de 75% (peça 150, p. 22) (peça 157, p. 1; peça 158, p. 1). O argumento ataca a narrativa de agravamento passivo sem resposta institucional e pretende recolocar a controvérsia como problema de priorização, suporte tecnológico e gestão de risco sobre o passivo.</w:t>
      </w:r>
    </w:p>
    <w:p w14:paraId="18F93EAC" w14:textId="77777777" w:rsidR="00203927" w:rsidRDefault="00000000" w:rsidP="00324773">
      <w:pPr>
        <w:pStyle w:val="Pargrafonumerado"/>
        <w:numPr>
          <w:ilvl w:val="0"/>
          <w:numId w:val="6"/>
        </w:numPr>
        <w:spacing w:after="120"/>
        <w:ind w:left="0" w:firstLine="0"/>
      </w:pPr>
      <w:r>
        <w:rPr>
          <w:b/>
        </w:rPr>
        <w:t>Análise da equipe.</w:t>
      </w:r>
      <w:r>
        <w:t xml:space="preserve"> A descrição do modelo operacional é factualmente correta: os documentos do CAF não são submetidos a revisão integral simultânea: ingressam no sistema por meio de atendimentos individualizados, distribuídos no tempo e no território, com conferência </w:t>
      </w:r>
      <w:r>
        <w:lastRenderedPageBreak/>
        <w:t xml:space="preserve">documental no momento da inscrição (peça 150, p. 27). Além disso, o gestor apresenta elementos concretos de enfrentamento do passivo, como o Plano de Formação operacionalizado via TED DCAF/UFES para o período 2025-2027 (peça 150, p. 27, </w:t>
      </w:r>
      <w:proofErr w:type="gramStart"/>
      <w:r>
        <w:t>Anexo</w:t>
      </w:r>
      <w:proofErr w:type="gramEnd"/>
      <w:r>
        <w:t xml:space="preserve"> 8) e o vencimento previsto de cerca de 742 mil registros em 2026, que ensejará renovação cadastral com reapresentação documental (peça 150, p. 29).</w:t>
      </w:r>
    </w:p>
    <w:p w14:paraId="2CE60249" w14:textId="77777777" w:rsidR="00203927" w:rsidRDefault="00000000" w:rsidP="00324773">
      <w:pPr>
        <w:pStyle w:val="Pargrafonumerado"/>
        <w:numPr>
          <w:ilvl w:val="0"/>
          <w:numId w:val="6"/>
        </w:numPr>
        <w:spacing w:after="120"/>
        <w:ind w:left="0" w:firstLine="0"/>
      </w:pPr>
      <w:r>
        <w:t>Esses elementos contextualizam o cenário institucional e afastam leitura de inércia administrativa. O relatório distingue passivo acumulado de situação corrente e ao registrar as providências em curso.</w:t>
      </w:r>
    </w:p>
    <w:p w14:paraId="0EF26E09" w14:textId="77777777" w:rsidR="00203927" w:rsidRDefault="00000000" w:rsidP="00324773">
      <w:pPr>
        <w:pStyle w:val="Pargrafonumerado"/>
        <w:numPr>
          <w:ilvl w:val="0"/>
          <w:numId w:val="6"/>
        </w:numPr>
        <w:spacing w:after="120"/>
        <w:ind w:left="0" w:firstLine="0"/>
      </w:pPr>
      <w:r>
        <w:t>Todavia, a escala distribuída do processo não resolve, por si, a insuficiência documentada. O próprio monitoramento apresentado pelo gestor — realizado no segundo semestre de 2024 com amostra probabilística estratificada por unidade da federação — registrou índice de conformidade integral de apenas 32%, isto é, a parcela da amostra em que todos os quesitos verificados foram simultaneamente atendidos (peça 150, p. 22). Embora os níveis individuais por quesito tenham alcançado média em torno de 75% (peça 150, p. 22), a convergência simultânea de todos os requisitos — que é o indicador mais próximo da conformidade efetiva de cada registro — permanece baixa. Esse dado, produzido pelo próprio gestor e não auditado pela equipe, corrobora a ordem de grandeza do problema documentado no Achado I e reforça, em vez de afastar, a necessidade de resposta institucional.</w:t>
      </w:r>
    </w:p>
    <w:p w14:paraId="0573F5A3" w14:textId="77777777" w:rsidR="00203927" w:rsidRDefault="00000000" w:rsidP="00324773">
      <w:pPr>
        <w:pStyle w:val="Pargrafonumerado"/>
        <w:numPr>
          <w:ilvl w:val="0"/>
          <w:numId w:val="6"/>
        </w:numPr>
        <w:spacing w:after="120"/>
        <w:ind w:left="0" w:firstLine="0"/>
      </w:pPr>
      <w:r>
        <w:t>A lógica do DAMA-DMBOK v2 permanece aplicável: a melhor forma de assegurar qualidade é impedir a entrada de dados inadequados na origem, com controles preventivos (peça 86, p. 38). O mesmo referencial registra que obter dados corretos na origem custa menos do que corrigir depois, e que incorporar qualidade desde o início dos processos de gestão de dados é sinal de maturidade organizacional (peça 86, p. 16). Quando a prevenção na entrada é insuficiente — como os próprios dados de monitoramento sugerem —, o passivo acumulado exige tratamento estruturado, ainda que progressivo e orientado por criticidade. O argumento do gestor, portanto, delimita a forma de enfrentamento e o prazo da resposta, mas não dispensa o aprimoramento dos mecanismos de validação nem o acompanhamento por indicadores.</w:t>
      </w:r>
    </w:p>
    <w:p w14:paraId="4CA321B1" w14:textId="77777777" w:rsidR="00203927" w:rsidRDefault="00000000">
      <w:pPr>
        <w:pStyle w:val="Ttulo2"/>
      </w:pPr>
      <w:r>
        <w:t xml:space="preserve">ARG-10 — </w:t>
      </w:r>
      <w:proofErr w:type="spellStart"/>
      <w:r>
        <w:t>Resolução</w:t>
      </w:r>
      <w:proofErr w:type="spellEnd"/>
      <w:r>
        <w:t xml:space="preserve"> </w:t>
      </w:r>
      <w:proofErr w:type="spellStart"/>
      <w:r>
        <w:t>Conarq</w:t>
      </w:r>
      <w:proofErr w:type="spellEnd"/>
      <w:r>
        <w:t xml:space="preserve"> e 300 DPI </w:t>
      </w:r>
      <w:proofErr w:type="spellStart"/>
      <w:r>
        <w:t>como</w:t>
      </w:r>
      <w:proofErr w:type="spellEnd"/>
      <w:r>
        <w:t xml:space="preserve"> </w:t>
      </w:r>
      <w:proofErr w:type="spellStart"/>
      <w:r>
        <w:t>referência</w:t>
      </w:r>
      <w:proofErr w:type="spellEnd"/>
      <w:r>
        <w:t xml:space="preserve"> </w:t>
      </w:r>
      <w:proofErr w:type="spellStart"/>
      <w:r>
        <w:t>orientativa</w:t>
      </w:r>
      <w:proofErr w:type="spellEnd"/>
    </w:p>
    <w:p w14:paraId="295054F9" w14:textId="77777777" w:rsidR="00203927" w:rsidRDefault="00000000" w:rsidP="00324773">
      <w:pPr>
        <w:pStyle w:val="Pargrafonumerado"/>
        <w:numPr>
          <w:ilvl w:val="0"/>
          <w:numId w:val="6"/>
        </w:numPr>
        <w:spacing w:after="120"/>
        <w:ind w:left="0" w:firstLine="0"/>
      </w:pPr>
      <w:r>
        <w:t xml:space="preserve">O gestor argumenta que a Resolução </w:t>
      </w:r>
      <w:proofErr w:type="spellStart"/>
      <w:r>
        <w:t>Conarq</w:t>
      </w:r>
      <w:proofErr w:type="spellEnd"/>
      <w:r>
        <w:t xml:space="preserve"> nº 31/2010 e o parâmetro de 300 DPI não podem ser convertidos, de forma uniforme, cogente e retroativa, em critério de requalificação massiva do acervo documental (peça 150, p. 23; peça 150, p. 64). A manifestação enfatiza a natureza orientativa do referencial e a necessidade de leitura proporcional, em razão da heterogeneidade de infraestrutura, conectividade e equipamento da Rede CAF. A objeção não nega a utilidade técnica do parâmetro para políticas de digitalização, OCR e preservação, mas resiste ao seu uso como divisor absoluto entre documentos aptos e inaptos: a rede cadastral é composta por entidades públicas e privadas com diferentes níveis de capacidade, o que tornaria inadequado usar o padrão </w:t>
      </w:r>
      <w:proofErr w:type="spellStart"/>
      <w:r>
        <w:t>Conarq</w:t>
      </w:r>
      <w:proofErr w:type="spellEnd"/>
      <w:r>
        <w:t xml:space="preserve"> como regra uniforme de invalidação ou de saneamento retrospectivo amplo. O ponto tensiona o tratamento dos 68,7% de documentos abaixo desse patamar técnico como evidência de risco à auditabilidade e à automação futura.</w:t>
      </w:r>
    </w:p>
    <w:p w14:paraId="09D8ADDA" w14:textId="77777777" w:rsidR="00203927" w:rsidRDefault="00000000" w:rsidP="00324773">
      <w:pPr>
        <w:pStyle w:val="Pargrafonumerado"/>
        <w:numPr>
          <w:ilvl w:val="0"/>
          <w:numId w:val="6"/>
        </w:numPr>
        <w:spacing w:after="120"/>
        <w:ind w:left="0" w:firstLine="0"/>
      </w:pPr>
      <w:r>
        <w:rPr>
          <w:b/>
        </w:rPr>
        <w:t>Análise da equipe.</w:t>
      </w:r>
      <w:r>
        <w:t xml:space="preserve"> O argumento é tecnicamente pertinente e foi acolhido no relatório exatamente no ponto em que contribui para delimitar o encaminhamento sobre qualidade técnica dos documentos digitalizados. O relatório trata o referencial do </w:t>
      </w:r>
      <w:proofErr w:type="spellStart"/>
      <w:r>
        <w:t>Conarq</w:t>
      </w:r>
      <w:proofErr w:type="spellEnd"/>
      <w:r>
        <w:t xml:space="preserve"> como parâmetro orientativo </w:t>
      </w:r>
      <w:r>
        <w:lastRenderedPageBreak/>
        <w:t>de boa prática, evitando linguagem que pudesse sugerir invalidação automática de todo documento abaixo do patamar técnico.</w:t>
      </w:r>
    </w:p>
    <w:p w14:paraId="58922C0E" w14:textId="77777777" w:rsidR="00203927" w:rsidRDefault="00000000" w:rsidP="00324773">
      <w:pPr>
        <w:pStyle w:val="Pargrafonumerado"/>
        <w:numPr>
          <w:ilvl w:val="0"/>
          <w:numId w:val="6"/>
        </w:numPr>
        <w:spacing w:after="120"/>
        <w:ind w:left="0" w:firstLine="0"/>
      </w:pPr>
      <w:r>
        <w:t>Esse acolhimento, porém, não elimina a pertinência do encaminhamento. Permanece necessária a previsão de requisitos mínimos de qualidade técnica para documentos digitalizados, de modo a assegurar legibilidade, autenticidade e aptidão para validação e auditoria, sem impor modelo único de implementação nem ignorar a heterogeneidade da rede.</w:t>
      </w:r>
    </w:p>
    <w:p w14:paraId="7AB10733" w14:textId="77777777" w:rsidR="00203927" w:rsidRDefault="00000000">
      <w:pPr>
        <w:pStyle w:val="Ttulo2"/>
      </w:pPr>
      <w:r>
        <w:t xml:space="preserve">ARG-11 — Risco de </w:t>
      </w:r>
      <w:proofErr w:type="spellStart"/>
      <w:r>
        <w:t>desvio</w:t>
      </w:r>
      <w:proofErr w:type="spellEnd"/>
      <w:r>
        <w:t xml:space="preserve"> de </w:t>
      </w:r>
      <w:proofErr w:type="spellStart"/>
      <w:r>
        <w:t>finalidade</w:t>
      </w:r>
      <w:proofErr w:type="spellEnd"/>
      <w:r>
        <w:t xml:space="preserve"> </w:t>
      </w:r>
      <w:proofErr w:type="spellStart"/>
      <w:r>
        <w:t>não</w:t>
      </w:r>
      <w:proofErr w:type="spellEnd"/>
      <w:r>
        <w:t xml:space="preserve"> </w:t>
      </w:r>
      <w:proofErr w:type="spellStart"/>
      <w:r>
        <w:t>decorre</w:t>
      </w:r>
      <w:proofErr w:type="spellEnd"/>
      <w:r>
        <w:t xml:space="preserve"> </w:t>
      </w:r>
      <w:proofErr w:type="spellStart"/>
      <w:r>
        <w:t>linearmente</w:t>
      </w:r>
      <w:proofErr w:type="spellEnd"/>
      <w:r>
        <w:t xml:space="preserve"> do CAF</w:t>
      </w:r>
    </w:p>
    <w:p w14:paraId="746E21DD" w14:textId="77777777" w:rsidR="00203927" w:rsidRDefault="00000000" w:rsidP="00324773">
      <w:pPr>
        <w:pStyle w:val="Pargrafonumerado"/>
        <w:numPr>
          <w:ilvl w:val="0"/>
          <w:numId w:val="6"/>
        </w:numPr>
        <w:spacing w:after="120"/>
        <w:ind w:left="0" w:firstLine="0"/>
      </w:pPr>
      <w:r>
        <w:t>O gestor sustenta que inconsistências no CAF não se traduzem automaticamente em desvio de finalidade, direcionamento indevido de recursos ou concessão irregular de benefícios, porque as políticas públicas usuárias do cadastro possuem mecanismos próprios de filtragem, contratação, execução e controle (peça 150, p. 27-29; peça 150, p. 46). A manifestação afirma que o risco de desvio de finalidade não decorre de relação linear entre inscrição no CAF e fruição material das políticas. O argumento se ancora na distinção entre cadastro e decisão final de política pública: Pronaf, PAA, PNAE e outras políticas possuem filtros posteriores, de modo que uma inconsistência detectada no CAF não se converteria automaticamente, sem mediações adicionais, em acesso indevido a benefícios. O ponto tensiona a passagem lógica entre fragilidade documental no cadastro e efeito material automático nas políticas.</w:t>
      </w:r>
    </w:p>
    <w:p w14:paraId="40162288" w14:textId="77777777" w:rsidR="00203927" w:rsidRDefault="00000000" w:rsidP="00324773">
      <w:pPr>
        <w:pStyle w:val="Pargrafonumerado"/>
        <w:numPr>
          <w:ilvl w:val="0"/>
          <w:numId w:val="6"/>
        </w:numPr>
        <w:spacing w:after="120"/>
        <w:ind w:left="0" w:firstLine="0"/>
      </w:pPr>
      <w:r>
        <w:rPr>
          <w:b/>
        </w:rPr>
        <w:t>Análise da equipe.</w:t>
      </w:r>
      <w:r>
        <w:t xml:space="preserve"> O argumento é pertinente naquilo que recomenda maior cuidado com a linguagem e com a cadeia causal apresentada no relatório. O relatório evita formulações que aproximem indevidamente esta auditoria de uma fiscalização de regularidade ou de fraude.</w:t>
      </w:r>
    </w:p>
    <w:p w14:paraId="2C379000" w14:textId="77777777" w:rsidR="00203927" w:rsidRDefault="00000000" w:rsidP="00324773">
      <w:pPr>
        <w:pStyle w:val="Pargrafonumerado"/>
        <w:numPr>
          <w:ilvl w:val="0"/>
          <w:numId w:val="6"/>
        </w:numPr>
        <w:spacing w:after="120"/>
        <w:ind w:left="0" w:firstLine="0"/>
      </w:pPr>
      <w:r>
        <w:t>Ainda assim, o argumento não dispensa encaminhamentos voltados à qualidade do cadastramento, à integridade dos dados críticos e à articulação com bases oficiais relevantes. O fato de existirem filtros adicionais nas políticas públicas não reduz a necessidade de que o cadastro produza dados, documentos e controles com qualidade suficiente para suportar sua função de identificação e qualificação, nem elimina o valor das inconsistências como indícios relevantes para a administração.</w:t>
      </w:r>
    </w:p>
    <w:p w14:paraId="6A9C2C9C" w14:textId="77777777" w:rsidR="00203927" w:rsidRDefault="00000000">
      <w:pPr>
        <w:pStyle w:val="Ttulo2"/>
      </w:pPr>
      <w:r>
        <w:t xml:space="preserve">ARG-12 — </w:t>
      </w:r>
      <w:proofErr w:type="spellStart"/>
      <w:r>
        <w:t>Escalonamento</w:t>
      </w:r>
      <w:proofErr w:type="spellEnd"/>
      <w:r>
        <w:t xml:space="preserve"> </w:t>
      </w:r>
      <w:proofErr w:type="spellStart"/>
      <w:r>
        <w:t>por</w:t>
      </w:r>
      <w:proofErr w:type="spellEnd"/>
      <w:r>
        <w:t xml:space="preserve"> </w:t>
      </w:r>
      <w:proofErr w:type="spellStart"/>
      <w:r>
        <w:t>materialidade</w:t>
      </w:r>
      <w:proofErr w:type="spellEnd"/>
      <w:r>
        <w:t xml:space="preserve"> e </w:t>
      </w:r>
      <w:proofErr w:type="spellStart"/>
      <w:r>
        <w:t>revisão</w:t>
      </w:r>
      <w:proofErr w:type="spellEnd"/>
      <w:r>
        <w:t xml:space="preserve"> dos </w:t>
      </w:r>
      <w:proofErr w:type="spellStart"/>
      <w:r>
        <w:t>encaminhamentos</w:t>
      </w:r>
      <w:proofErr w:type="spellEnd"/>
      <w:r>
        <w:t xml:space="preserve"> do </w:t>
      </w:r>
      <w:proofErr w:type="spellStart"/>
      <w:r>
        <w:t>Achado</w:t>
      </w:r>
      <w:proofErr w:type="spellEnd"/>
      <w:r>
        <w:t xml:space="preserve"> I</w:t>
      </w:r>
    </w:p>
    <w:p w14:paraId="046849FF" w14:textId="77777777" w:rsidR="00203927" w:rsidRDefault="00000000" w:rsidP="00324773">
      <w:pPr>
        <w:pStyle w:val="Pargrafonumerado"/>
        <w:numPr>
          <w:ilvl w:val="0"/>
          <w:numId w:val="6"/>
        </w:numPr>
        <w:spacing w:after="120"/>
        <w:ind w:left="0" w:firstLine="0"/>
      </w:pPr>
      <w:r>
        <w:t>O gestor sustenta que os comandos relativos ao Achado I devem ser escalonados por materialidade, criticidade e verificabilidade, e não organizados como lógica de saneamento amplo e indiferenciado (peça 150, p. 30; peça 150, p. 56; peça 150, p. 72-73). A manifestação afirma que a determinação não se mostra pertinente, ensejando alteração, e propõe plano de ação orientado por risco. O pedido se apoia em duas premissas: de proporcionalidade — nem toda inconsistência teria o mesmo peso ou a mesma urgência — e de discricionariedade administrativa — o TCU poderia apontar o que deve ser aprimorado, mas não prescrever, em nível excessivamente operacional, o modo de tratamento do passivo. O argumento investe diretamente contra a forma dos encaminhamentos, sustentando que a espécie deliberativa e o grau de detalhamento precisariam ser recalibrados.</w:t>
      </w:r>
    </w:p>
    <w:p w14:paraId="2FEB6FA3" w14:textId="77777777" w:rsidR="00203927" w:rsidRDefault="00000000" w:rsidP="00324773">
      <w:pPr>
        <w:pStyle w:val="Pargrafonumerado"/>
        <w:numPr>
          <w:ilvl w:val="0"/>
          <w:numId w:val="6"/>
        </w:numPr>
        <w:spacing w:after="120"/>
        <w:ind w:left="0" w:firstLine="0"/>
      </w:pPr>
      <w:r>
        <w:rPr>
          <w:b/>
        </w:rPr>
        <w:t>Análise da equipe.</w:t>
      </w:r>
      <w:r>
        <w:t xml:space="preserve"> O argumento é parcialmente procedente e teve repercussão direta na forma dos encaminhamentos. O relatório preserva a necessidade de resposta institucional, mas com menor </w:t>
      </w:r>
      <w:proofErr w:type="spellStart"/>
      <w:r>
        <w:t>prescritividade</w:t>
      </w:r>
      <w:proofErr w:type="spellEnd"/>
      <w:r>
        <w:t xml:space="preserve">, prazo mais compatível com a complexidade do caso e maior ênfase no </w:t>
      </w:r>
      <w:r>
        <w:lastRenderedPageBreak/>
        <w:t>resultado a alcançar, e não no como cada medida deverá ser implementada. Esse ajuste preserva a discricionariedade administrativa sem esvaziar a necessidade de enfrentamento do problema.</w:t>
      </w:r>
    </w:p>
    <w:p w14:paraId="76269C4C" w14:textId="77777777" w:rsidR="00203927" w:rsidRDefault="00000000" w:rsidP="00324773">
      <w:pPr>
        <w:pStyle w:val="Pargrafonumerado"/>
        <w:numPr>
          <w:ilvl w:val="0"/>
          <w:numId w:val="6"/>
        </w:numPr>
        <w:spacing w:after="120"/>
        <w:ind w:left="0" w:firstLine="0"/>
      </w:pPr>
      <w:r>
        <w:t>O pedido de escalonamento por materialidade também dialoga com a conveniência de acompanhamento por indicadores para identificação e priorização de ações corretivas. Assim, o argumento do gestor delimita a forma da resposta, mas não dispensa encaminhamentos compatíveis com o problema documentado.</w:t>
      </w:r>
    </w:p>
    <w:p w14:paraId="424718E1" w14:textId="77777777" w:rsidR="00203927" w:rsidRDefault="00000000">
      <w:pPr>
        <w:pStyle w:val="Ttulo2"/>
      </w:pPr>
      <w:r>
        <w:t xml:space="preserve">ARG-13 — </w:t>
      </w:r>
      <w:proofErr w:type="spellStart"/>
      <w:r>
        <w:t>Contestação</w:t>
      </w:r>
      <w:proofErr w:type="spellEnd"/>
      <w:r>
        <w:t xml:space="preserve"> </w:t>
      </w:r>
      <w:proofErr w:type="spellStart"/>
      <w:r>
        <w:t>específica</w:t>
      </w:r>
      <w:proofErr w:type="spellEnd"/>
      <w:r>
        <w:t xml:space="preserve"> </w:t>
      </w:r>
      <w:proofErr w:type="spellStart"/>
      <w:r>
        <w:t>ao</w:t>
      </w:r>
      <w:proofErr w:type="spellEnd"/>
      <w:r>
        <w:t xml:space="preserve"> </w:t>
      </w:r>
      <w:proofErr w:type="spellStart"/>
      <w:r>
        <w:t>Documento</w:t>
      </w:r>
      <w:proofErr w:type="spellEnd"/>
      <w:r>
        <w:t xml:space="preserve"> 105</w:t>
      </w:r>
    </w:p>
    <w:p w14:paraId="3C924096" w14:textId="77777777" w:rsidR="00203927" w:rsidRDefault="00000000" w:rsidP="00324773">
      <w:pPr>
        <w:pStyle w:val="Pargrafonumerado"/>
        <w:numPr>
          <w:ilvl w:val="0"/>
          <w:numId w:val="6"/>
        </w:numPr>
        <w:spacing w:after="120"/>
        <w:ind w:left="0" w:firstLine="0"/>
      </w:pPr>
      <w:r>
        <w:t>O gestor sustenta que o Documento 105 estaria comprometido por inconsistências entre as evidências descritas no relatório e os documentos efetivamente disponíveis no sistema no momento da rechecagem (peça 166, p. 1), chegando a afirmar que a divergência ocorreria em 100% dos casos listados.</w:t>
      </w:r>
    </w:p>
    <w:p w14:paraId="51C493F5" w14:textId="77777777" w:rsidR="00203927" w:rsidRDefault="00000000" w:rsidP="00324773">
      <w:pPr>
        <w:pStyle w:val="Pargrafonumerado"/>
        <w:numPr>
          <w:ilvl w:val="0"/>
          <w:numId w:val="6"/>
        </w:numPr>
        <w:spacing w:after="120"/>
        <w:ind w:left="0" w:firstLine="0"/>
      </w:pPr>
      <w:r>
        <w:rPr>
          <w:b/>
        </w:rPr>
        <w:t>Análise da equipe.</w:t>
      </w:r>
      <w:r>
        <w:t xml:space="preserve"> O argumento é grave e afeta diretamente um dos papéis de trabalho ligados ao Achado I, razão pela qual a análise exige cuidado. São pertinentes, a esse respeito, duas ideias que permanecem válidas no relatório: a primeira é que a alegação do gestor tensiona a aderência de uma peça específica, cuja consistência pode ser verificada mediante confronto dos registros de extração com os metadados do repositório documental do sistema; a segunda é que essa verificação, contudo, não alcança o indicador central de divergência de área (53,55%), fundamentado na peça 109, de modo que o questionamento não desloca automaticamente o núcleo do diagnóstico.</w:t>
      </w:r>
    </w:p>
    <w:p w14:paraId="7D6CF332" w14:textId="77777777" w:rsidR="00203927" w:rsidRDefault="00000000" w:rsidP="00324773">
      <w:pPr>
        <w:pStyle w:val="Pargrafonumerado"/>
        <w:numPr>
          <w:ilvl w:val="0"/>
          <w:numId w:val="6"/>
        </w:numPr>
        <w:spacing w:after="120"/>
        <w:ind w:left="0" w:firstLine="0"/>
      </w:pPr>
      <w:r>
        <w:t>Em termos de encaminhamento, o argumento não elimina a conveniência de resposta institucional voltada ao aprimoramento do cadastramento e da integridade dos dados críticos. No máximo, recomenda que a execução das medidas e o exame final do processo façam a devida distinção entre questionamento sobre evidência específica e sustentação global do achado.</w:t>
      </w:r>
    </w:p>
    <w:p w14:paraId="57BAB328" w14:textId="77777777" w:rsidR="00203927" w:rsidRDefault="00000000">
      <w:pPr>
        <w:pStyle w:val="Ttulo2"/>
      </w:pPr>
      <w:r>
        <w:t xml:space="preserve">ARG-14 — </w:t>
      </w:r>
      <w:proofErr w:type="spellStart"/>
      <w:r>
        <w:t>Proporção</w:t>
      </w:r>
      <w:proofErr w:type="spellEnd"/>
      <w:r>
        <w:t xml:space="preserve"> de </w:t>
      </w:r>
      <w:proofErr w:type="spellStart"/>
      <w:r>
        <w:t>conformidade</w:t>
      </w:r>
      <w:proofErr w:type="spellEnd"/>
      <w:r>
        <w:t xml:space="preserve"> e </w:t>
      </w:r>
      <w:proofErr w:type="spellStart"/>
      <w:r>
        <w:t>limites</w:t>
      </w:r>
      <w:proofErr w:type="spellEnd"/>
      <w:r>
        <w:t xml:space="preserve"> de </w:t>
      </w:r>
      <w:proofErr w:type="spellStart"/>
      <w:r>
        <w:t>generalização</w:t>
      </w:r>
      <w:proofErr w:type="spellEnd"/>
      <w:r>
        <w:t xml:space="preserve"> da </w:t>
      </w:r>
      <w:proofErr w:type="spellStart"/>
      <w:r>
        <w:t>reanálise</w:t>
      </w:r>
      <w:proofErr w:type="spellEnd"/>
      <w:r>
        <w:t xml:space="preserve"> ministerial</w:t>
      </w:r>
    </w:p>
    <w:p w14:paraId="3077F83F" w14:textId="77777777" w:rsidR="00203927" w:rsidRDefault="00000000" w:rsidP="00324773">
      <w:pPr>
        <w:pStyle w:val="Pargrafonumerado"/>
        <w:numPr>
          <w:ilvl w:val="0"/>
          <w:numId w:val="6"/>
        </w:numPr>
        <w:spacing w:after="120"/>
        <w:ind w:left="0" w:firstLine="0"/>
      </w:pPr>
      <w:r>
        <w:t>O gestor apresenta reanálise quantitativa segundo a qual 87 casos (64%) teriam área idêntica à registrada no banco e 50% dos documentos listados no Documento 105 seriam conformes à leitura normativa ministerial (peça 166, p. 2).</w:t>
      </w:r>
    </w:p>
    <w:p w14:paraId="057B6640" w14:textId="77777777" w:rsidR="00203927" w:rsidRDefault="00000000" w:rsidP="00324773">
      <w:pPr>
        <w:pStyle w:val="Pargrafonumerado"/>
        <w:numPr>
          <w:ilvl w:val="0"/>
          <w:numId w:val="6"/>
        </w:numPr>
        <w:spacing w:after="120"/>
        <w:ind w:left="0" w:firstLine="0"/>
      </w:pPr>
      <w:r>
        <w:rPr>
          <w:b/>
        </w:rPr>
        <w:t>Análise da equipe.</w:t>
      </w:r>
      <w:r>
        <w:t xml:space="preserve"> A análise identifica corretamente o ponto metodológico em disputa: a diferença entre inferência amostral e rechecagem dirigida. A existência de percentuais diferentes em reanálise posterior não anula, por si só, o valor da amostragem utilizada na auditoria, nem dispensa a administração de examinar as situações indicadas. O que o argumento do gestor faz é tensionar o alcance da generalização, não demonstrar ausência do problema.</w:t>
      </w:r>
    </w:p>
    <w:p w14:paraId="6A0E6529" w14:textId="77777777" w:rsidR="00203927" w:rsidRDefault="00000000" w:rsidP="00324773">
      <w:pPr>
        <w:pStyle w:val="Pargrafonumerado"/>
        <w:numPr>
          <w:ilvl w:val="0"/>
          <w:numId w:val="6"/>
        </w:numPr>
        <w:spacing w:after="120"/>
        <w:ind w:left="0" w:firstLine="0"/>
      </w:pPr>
      <w:r>
        <w:t>Por isso, o efeito adequado sobre o relatório é de precisão de linguagem e contextualização, não de retirada dos encaminhamentos. Permanece conveniente resposta institucional voltada a assegurar integridade e consistência dos dados críticos, especialmente quando há controvérsia relevante sobre a aderência entre documento e registro cadastral.</w:t>
      </w:r>
    </w:p>
    <w:p w14:paraId="454BD3C6" w14:textId="77777777" w:rsidR="00203927" w:rsidRDefault="00000000">
      <w:pPr>
        <w:pStyle w:val="Ttulo2"/>
      </w:pPr>
      <w:r>
        <w:lastRenderedPageBreak/>
        <w:t xml:space="preserve">ARG-15 — </w:t>
      </w:r>
      <w:proofErr w:type="spellStart"/>
      <w:r>
        <w:t>Delimitação</w:t>
      </w:r>
      <w:proofErr w:type="spellEnd"/>
      <w:r>
        <w:t xml:space="preserve"> do </w:t>
      </w:r>
      <w:proofErr w:type="spellStart"/>
      <w:r>
        <w:t>Achado</w:t>
      </w:r>
      <w:proofErr w:type="spellEnd"/>
      <w:r>
        <w:t xml:space="preserve"> II </w:t>
      </w:r>
      <w:proofErr w:type="spellStart"/>
      <w:r>
        <w:t>como</w:t>
      </w:r>
      <w:proofErr w:type="spellEnd"/>
      <w:r>
        <w:t xml:space="preserve"> </w:t>
      </w:r>
      <w:proofErr w:type="spellStart"/>
      <w:r>
        <w:t>problema</w:t>
      </w:r>
      <w:proofErr w:type="spellEnd"/>
      <w:r>
        <w:t xml:space="preserve"> </w:t>
      </w:r>
      <w:proofErr w:type="spellStart"/>
      <w:r>
        <w:t>geoespacial</w:t>
      </w:r>
      <w:proofErr w:type="spellEnd"/>
      <w:r>
        <w:t xml:space="preserve">, </w:t>
      </w:r>
      <w:proofErr w:type="spellStart"/>
      <w:r>
        <w:t>não</w:t>
      </w:r>
      <w:proofErr w:type="spellEnd"/>
      <w:r>
        <w:t xml:space="preserve"> de </w:t>
      </w:r>
      <w:proofErr w:type="spellStart"/>
      <w:r>
        <w:t>finalidade</w:t>
      </w:r>
      <w:proofErr w:type="spellEnd"/>
      <w:r>
        <w:t xml:space="preserve"> </w:t>
      </w:r>
      <w:proofErr w:type="spellStart"/>
      <w:r>
        <w:t>jurídica</w:t>
      </w:r>
      <w:proofErr w:type="spellEnd"/>
      <w:r>
        <w:t xml:space="preserve"> do CAF</w:t>
      </w:r>
    </w:p>
    <w:p w14:paraId="090832C4" w14:textId="77777777" w:rsidR="00203927" w:rsidRDefault="00000000" w:rsidP="00324773">
      <w:pPr>
        <w:pStyle w:val="Pargrafonumerado"/>
        <w:numPr>
          <w:ilvl w:val="0"/>
          <w:numId w:val="6"/>
        </w:numPr>
        <w:spacing w:after="120"/>
        <w:ind w:left="0" w:firstLine="0"/>
      </w:pPr>
      <w:r>
        <w:t xml:space="preserve">O gestor reconhece a utilidade do trabalho do TCU como diagnóstico de riscos, mas sustenta que o Achado II precisa ser delimitado como problema de qualidade geoespacial, e não como demonstração de comprometimento da finalidade jurídica do cadastro (peça 150, p. 34-35; peça 150, p. 72). A manifestação afirma ser preciso reconhecer a utilidade dos trabalhos do Tribunal como diagnóstico de riscos, porém questionar sua </w:t>
      </w:r>
      <w:proofErr w:type="spellStart"/>
      <w:r>
        <w:t>sobreextensão</w:t>
      </w:r>
      <w:proofErr w:type="spellEnd"/>
      <w:r>
        <w:t>. A objeção não nega a existência de fragilidades cartográficas, mas enfrenta a passagem entre erro geoespacial e inadequação global do cadastro: o gestor procura separar o plano da consistência cartográfica do plano da função legal do CAF, sustentando que o relatório estaria atribuindo à informação espacial importância ou alcance jurídico superior ao que o desenho normativo do cadastro comportaria.</w:t>
      </w:r>
    </w:p>
    <w:p w14:paraId="1A9048E5" w14:textId="77777777" w:rsidR="00203927" w:rsidRDefault="00000000" w:rsidP="00324773">
      <w:pPr>
        <w:pStyle w:val="Pargrafonumerado"/>
        <w:numPr>
          <w:ilvl w:val="0"/>
          <w:numId w:val="6"/>
        </w:numPr>
        <w:spacing w:after="120"/>
        <w:ind w:left="0" w:firstLine="0"/>
      </w:pPr>
      <w:r>
        <w:rPr>
          <w:b/>
        </w:rPr>
        <w:t>Análise da equipe.</w:t>
      </w:r>
      <w:r>
        <w:t xml:space="preserve"> O argumento é pertinente e foi parcialmente acolhido no relatório no que diz respeito ao tom. O relatório descreve o achado com linguagem menos dura, adotando formulação compatível com o título do achado no relatório: Limitações geoespaciais acumuladas ao longo das transições tecnológicas do CAF reduzem a confiabilidade das informações de localização e a efetividade de validações baseadas em dados cartográficos.</w:t>
      </w:r>
    </w:p>
    <w:p w14:paraId="2C493BCE" w14:textId="77777777" w:rsidR="00203927" w:rsidRDefault="00000000" w:rsidP="00324773">
      <w:pPr>
        <w:pStyle w:val="Pargrafonumerado"/>
        <w:numPr>
          <w:ilvl w:val="0"/>
          <w:numId w:val="6"/>
        </w:numPr>
        <w:spacing w:after="120"/>
        <w:ind w:left="0" w:firstLine="0"/>
      </w:pPr>
      <w:r>
        <w:t xml:space="preserve">Esse ajuste de redação, porém, não dispensa resposta institucional nem o aperfeiçoamento do processo de gestão de mudanças do sistema. A delimitação mais precisa do problema como limitação geoespacial acumulada apenas evita </w:t>
      </w:r>
      <w:proofErr w:type="spellStart"/>
      <w:r>
        <w:t>sobreleitura</w:t>
      </w:r>
      <w:proofErr w:type="spellEnd"/>
      <w:r>
        <w:t xml:space="preserve"> indevida; não elimina a necessidade de avaliar as situações identificadas.</w:t>
      </w:r>
    </w:p>
    <w:p w14:paraId="108813AC" w14:textId="77777777" w:rsidR="00203927" w:rsidRDefault="00000000">
      <w:pPr>
        <w:pStyle w:val="Ttulo2"/>
      </w:pPr>
      <w:r>
        <w:t xml:space="preserve">ARG-16 — </w:t>
      </w:r>
      <w:proofErr w:type="spellStart"/>
      <w:r>
        <w:t>Contrapartidas</w:t>
      </w:r>
      <w:proofErr w:type="spellEnd"/>
      <w:r>
        <w:t xml:space="preserve"> do Leaflet e </w:t>
      </w:r>
      <w:proofErr w:type="spellStart"/>
      <w:r>
        <w:t>contexto</w:t>
      </w:r>
      <w:proofErr w:type="spellEnd"/>
      <w:r>
        <w:t xml:space="preserve"> de </w:t>
      </w:r>
      <w:proofErr w:type="spellStart"/>
      <w:r>
        <w:t>implantação</w:t>
      </w:r>
      <w:proofErr w:type="spellEnd"/>
      <w:r>
        <w:t xml:space="preserve"> </w:t>
      </w:r>
      <w:proofErr w:type="spellStart"/>
      <w:r>
        <w:t>recente</w:t>
      </w:r>
      <w:proofErr w:type="spellEnd"/>
    </w:p>
    <w:p w14:paraId="4F676C0D" w14:textId="77777777" w:rsidR="00203927" w:rsidRDefault="00000000" w:rsidP="00324773">
      <w:pPr>
        <w:pStyle w:val="Pargrafonumerado"/>
        <w:numPr>
          <w:ilvl w:val="0"/>
          <w:numId w:val="6"/>
        </w:numPr>
        <w:spacing w:after="120"/>
        <w:ind w:left="0" w:firstLine="0"/>
      </w:pPr>
      <w:r>
        <w:t xml:space="preserve">O gestor argumenta que parte da deterioração observada no dado geoespacial deve ser lida no contexto da implantação recente da interface </w:t>
      </w:r>
      <w:proofErr w:type="spellStart"/>
      <w:r>
        <w:t>Leaflet</w:t>
      </w:r>
      <w:proofErr w:type="spellEnd"/>
      <w:r>
        <w:t xml:space="preserve"> e de seus trade-</w:t>
      </w:r>
      <w:proofErr w:type="spellStart"/>
      <w:r>
        <w:t>offs</w:t>
      </w:r>
      <w:proofErr w:type="spellEnd"/>
      <w:r>
        <w:t xml:space="preserve"> de usabilidade, não como prova de falha estrutural global do CAF (peça 150, p. 35; peça 150, p. 40; peça 152, p. 11-13; peça 153, p. 4). A manifestação fala em problema de qualidade do dado cartográfico em contexto de implantação recente. A ênfase está em diferenciar transição tecnológica com ganhos e perdas de colapso estrutural de governança: o gestor reconhece que a nova interface pode ter gerado efeitos cartográficos indesejados, mas sustenta que ela também trouxe melhorias relevantes — como a eliminação de 99,95% dos erros algorítmicos — e que o relatório deveria narrar esse quadro como tensão de implantação e adaptação operacional da rede, e não apenas como regressão.</w:t>
      </w:r>
    </w:p>
    <w:p w14:paraId="4DA8FBE6" w14:textId="77777777" w:rsidR="00203927" w:rsidRDefault="00000000" w:rsidP="00324773">
      <w:pPr>
        <w:pStyle w:val="Pargrafonumerado"/>
        <w:numPr>
          <w:ilvl w:val="0"/>
          <w:numId w:val="6"/>
        </w:numPr>
        <w:spacing w:after="120"/>
        <w:ind w:left="0" w:firstLine="0"/>
      </w:pPr>
      <w:r>
        <w:rPr>
          <w:b/>
        </w:rPr>
        <w:t>Análise da equipe.</w:t>
      </w:r>
      <w:r>
        <w:t xml:space="preserve"> A observação é pertinente. O relatório distingue passivo acumulado e situação corrente, bem como de registrar os avanços implementados pelo gestor, inclusive os associados a mudanças recentes de interface. Isso evita leitura excessivamente homogênea da transição tecnológica.</w:t>
      </w:r>
    </w:p>
    <w:p w14:paraId="66D483D7" w14:textId="77777777" w:rsidR="00203927" w:rsidRDefault="00000000" w:rsidP="00324773">
      <w:pPr>
        <w:pStyle w:val="Pargrafonumerado"/>
        <w:numPr>
          <w:ilvl w:val="0"/>
          <w:numId w:val="6"/>
        </w:numPr>
        <w:spacing w:after="120"/>
        <w:ind w:left="0" w:firstLine="0"/>
      </w:pPr>
      <w:r>
        <w:t>Ao mesmo tempo, o argumento não elimina a conveniência de encaminhamento voltado ao aperfeiçoamento da gestão de mudanças, precisamente porque problemas surgidos ou agravados em contexto de implantação reforçam a necessidade de prevenir regressões funcionais e comprometimento da integridade dos dados. O ponto do gestor, portanto, serve para contextualizar o achado, não para suprimir a resposta institucional.</w:t>
      </w:r>
    </w:p>
    <w:p w14:paraId="01D2AE6B" w14:textId="77777777" w:rsidR="00203927" w:rsidRDefault="00000000">
      <w:pPr>
        <w:pStyle w:val="Ttulo2"/>
      </w:pPr>
      <w:r>
        <w:lastRenderedPageBreak/>
        <w:t xml:space="preserve">ARG-17 — </w:t>
      </w:r>
      <w:proofErr w:type="spellStart"/>
      <w:r>
        <w:t>Duplicação</w:t>
      </w:r>
      <w:proofErr w:type="spellEnd"/>
      <w:r>
        <w:t xml:space="preserve"> </w:t>
      </w:r>
      <w:proofErr w:type="spellStart"/>
      <w:r>
        <w:t>espacial</w:t>
      </w:r>
      <w:proofErr w:type="spellEnd"/>
      <w:r>
        <w:t xml:space="preserve"> </w:t>
      </w:r>
      <w:proofErr w:type="spellStart"/>
      <w:r>
        <w:t>não</w:t>
      </w:r>
      <w:proofErr w:type="spellEnd"/>
      <w:r>
        <w:t xml:space="preserve"> equivale a </w:t>
      </w:r>
      <w:proofErr w:type="spellStart"/>
      <w:r>
        <w:t>duplicidade</w:t>
      </w:r>
      <w:proofErr w:type="spellEnd"/>
      <w:r>
        <w:t xml:space="preserve"> </w:t>
      </w:r>
      <w:proofErr w:type="spellStart"/>
      <w:r>
        <w:t>jurídica</w:t>
      </w:r>
      <w:proofErr w:type="spellEnd"/>
      <w:r>
        <w:t xml:space="preserve"> de </w:t>
      </w:r>
      <w:proofErr w:type="spellStart"/>
      <w:r>
        <w:t>beneficiários</w:t>
      </w:r>
      <w:proofErr w:type="spellEnd"/>
    </w:p>
    <w:p w14:paraId="0A79F426" w14:textId="77777777" w:rsidR="00203927" w:rsidRDefault="00000000" w:rsidP="00324773">
      <w:pPr>
        <w:pStyle w:val="Pargrafonumerado"/>
        <w:numPr>
          <w:ilvl w:val="0"/>
          <w:numId w:val="6"/>
        </w:numPr>
        <w:spacing w:after="120"/>
        <w:ind w:left="0" w:firstLine="0"/>
      </w:pPr>
      <w:r>
        <w:t xml:space="preserve">O gestor sustenta que duplicações espaciais e coordenadas coincidentes não equivalem, por si, a fraude, duplicidade jurídica de </w:t>
      </w:r>
      <w:proofErr w:type="spellStart"/>
      <w:r>
        <w:t>UFPAs</w:t>
      </w:r>
      <w:proofErr w:type="spellEnd"/>
      <w:r>
        <w:t xml:space="preserve"> ou multiplicidade indevida de beneficiários (peça 150, p. 35-37). A manifestação afirma que o subitem mede perda de rastreabilidade espacial, e não duplicidade jurídica de beneficiários. A distinção é relevante porque o gestor admite o problema como deficiência de unicidade cartográfica e de rastreabilidade espacial, mas rejeita a conversão automática dessa deficiência em conclusão sobre duplicidade material de beneficiários ou irregularidade jurídica. Sustenta, ainda, que situações legítimas reconhecidas pela regulamentação do CAF — como a noção de família agregada, em que unidades familiares distintas desenvolvem produção própria em frações de uma mesma base territorial — podem explicar parte das coincidências de coordenadas (peça 150, p. 36). Aponta que o próprio material da auditoria reconhece que clusters de três ou mais imóveis em raio de cem metros podem representar tanto erro sistemático de cadastramento quanto assentamentos rurais legítimos ou comunidades tradicionais (peça 150, p. 36).</w:t>
      </w:r>
    </w:p>
    <w:p w14:paraId="03980EE8" w14:textId="77777777" w:rsidR="00203927" w:rsidRDefault="00000000" w:rsidP="00324773">
      <w:pPr>
        <w:pStyle w:val="Pargrafonumerado"/>
        <w:numPr>
          <w:ilvl w:val="0"/>
          <w:numId w:val="6"/>
        </w:numPr>
        <w:spacing w:after="120"/>
        <w:ind w:left="0" w:firstLine="0"/>
      </w:pPr>
      <w:r>
        <w:rPr>
          <w:b/>
        </w:rPr>
        <w:t>Análise da equipe.</w:t>
      </w:r>
      <w:r>
        <w:t xml:space="preserve"> A distinção conceitual proposta pelo gestor é válida e foi acolhida no relatório. A distinção entre unicidade espacial da coordenada e unicidade jurídica da inscrição é tecnicamente válida: a coincidência de coordenadas geográficas não equivale, por si, a fraude, multiplicidade indevida de beneficiários ou quebra automática da unicidade jurídica do cadastro (peça 150, p. 36). Essa precisão conceitual é especialmente relevante quando se consideram situações legítimas reconhecidas pela própria regulamentação do CAF, como a noção de família agregada, em que unidades familiares distintas podem desenvolver produção própria em frações de uma mesma base territorial (peça 150, p. 36).</w:t>
      </w:r>
    </w:p>
    <w:p w14:paraId="7B808E1E" w14:textId="77777777" w:rsidR="00203927" w:rsidRDefault="00000000" w:rsidP="00324773">
      <w:pPr>
        <w:pStyle w:val="Pargrafonumerado"/>
        <w:numPr>
          <w:ilvl w:val="0"/>
          <w:numId w:val="6"/>
        </w:numPr>
        <w:spacing w:after="120"/>
        <w:ind w:left="0" w:firstLine="0"/>
      </w:pPr>
      <w:r>
        <w:t xml:space="preserve">O gestor também aponta, com razão, que o próprio material da auditoria reconhece que </w:t>
      </w:r>
      <w:r>
        <w:rPr>
          <w:i/>
        </w:rPr>
        <w:t>clusters</w:t>
      </w:r>
      <w:r>
        <w:t xml:space="preserve"> de três ou mais imóveis em raio de cem metros podem representar tanto erro sistemático de cadastramento quanto assentamentos rurais legítimos ou comunidades tradicionais, exigindo investigação adicional para distinção (peça 150, p. 36). Essa ressalva, já presente na documentação do TCU, reforça a cautela necessária para não converter automaticamente coincidência espacial em presunção de irregularidade cadastral.</w:t>
      </w:r>
    </w:p>
    <w:p w14:paraId="0DD92085" w14:textId="77777777" w:rsidR="00203927" w:rsidRDefault="00000000" w:rsidP="00324773">
      <w:pPr>
        <w:pStyle w:val="Pargrafonumerado"/>
        <w:numPr>
          <w:ilvl w:val="0"/>
          <w:numId w:val="6"/>
        </w:numPr>
        <w:spacing w:after="120"/>
        <w:ind w:left="0" w:firstLine="0"/>
      </w:pPr>
      <w:r>
        <w:t>Todavia, o argumento não compromete o diagnóstico geoespacial documentado no Achado II — Limitações geoespaciais acumuladas ao longo das transições tecnológicas do CAF reduzem a confiabilidade das informações de localização e a efetividade de validações baseadas em dados cartográficos. Os próprios dados apresentados pelo gestor indicam que, entre 43.812 registros de alta precisão, 24.215 (55,27%) apresentavam coordenadas idênticas a outros imóveis (peça 150, p. 36). Esse patamar confirma limitação relevante na capacidade de individualização cartográfica da base e na efetividade de validações que dependam de dados de localização — exatamente o problema descrito no achado.</w:t>
      </w:r>
    </w:p>
    <w:p w14:paraId="5DC1586B" w14:textId="77777777" w:rsidR="00203927" w:rsidRDefault="00000000" w:rsidP="00324773">
      <w:pPr>
        <w:pStyle w:val="Pargrafonumerado"/>
        <w:numPr>
          <w:ilvl w:val="0"/>
          <w:numId w:val="6"/>
        </w:numPr>
        <w:spacing w:after="120"/>
        <w:ind w:left="0" w:firstLine="0"/>
      </w:pPr>
      <w:r>
        <w:t>A consequência prática do argumento é de precisão de linguagem e de tratamento, não de supressão do achado. O relatório evita formulações que sugiram conversão automática de problema geoespacial em conclusão de irregularidade jurídica. Permanece, contudo, a conveniência de resposta institucional voltada ao aperfeiçoamento da qualidade cartográfica e da gestão de mudanças, com tratamento progressivo orientado por risco e materialidade, conforme o próprio gestor reconhece ser adequado.</w:t>
      </w:r>
    </w:p>
    <w:p w14:paraId="5D69F35C" w14:textId="77777777" w:rsidR="00203927" w:rsidRDefault="00000000">
      <w:pPr>
        <w:pStyle w:val="Ttulo2"/>
      </w:pPr>
      <w:r>
        <w:lastRenderedPageBreak/>
        <w:t xml:space="preserve">ARG-18 — </w:t>
      </w:r>
      <w:proofErr w:type="spellStart"/>
      <w:r>
        <w:t>Inflação</w:t>
      </w:r>
      <w:proofErr w:type="spellEnd"/>
      <w:r>
        <w:t xml:space="preserve"> municipal </w:t>
      </w:r>
      <w:proofErr w:type="spellStart"/>
      <w:r>
        <w:t>como</w:t>
      </w:r>
      <w:proofErr w:type="spellEnd"/>
      <w:r>
        <w:t xml:space="preserve"> </w:t>
      </w:r>
      <w:proofErr w:type="spellStart"/>
      <w:r>
        <w:t>triagem</w:t>
      </w:r>
      <w:proofErr w:type="spellEnd"/>
      <w:r>
        <w:t xml:space="preserve"> </w:t>
      </w:r>
      <w:proofErr w:type="spellStart"/>
      <w:r>
        <w:t>exploratória</w:t>
      </w:r>
      <w:proofErr w:type="spellEnd"/>
      <w:r>
        <w:t xml:space="preserve">, com </w:t>
      </w:r>
      <w:proofErr w:type="spellStart"/>
      <w:r>
        <w:t>reanálise</w:t>
      </w:r>
      <w:proofErr w:type="spellEnd"/>
      <w:r>
        <w:t xml:space="preserve"> de </w:t>
      </w:r>
      <w:proofErr w:type="spellStart"/>
      <w:r>
        <w:t>materialidade</w:t>
      </w:r>
      <w:proofErr w:type="spellEnd"/>
      <w:r>
        <w:t xml:space="preserve"> residual</w:t>
      </w:r>
    </w:p>
    <w:p w14:paraId="44A9FF3E" w14:textId="77777777" w:rsidR="00203927" w:rsidRDefault="00000000" w:rsidP="00324773">
      <w:pPr>
        <w:pStyle w:val="Pargrafonumerado"/>
        <w:numPr>
          <w:ilvl w:val="0"/>
          <w:numId w:val="6"/>
        </w:numPr>
        <w:spacing w:after="120"/>
        <w:ind w:left="0" w:firstLine="0"/>
      </w:pPr>
      <w:r>
        <w:t>O gestor sustenta que o PT-12 e o Documento 121 operam, no máximo, como mecanismo de triagem exploratória de risco e não como prova autônoma de inconsistência estrutural em cada município (peça 161, p. 1-4). A manifestação afirma que a metodologia do TCU tem utilidade como mecanismo de varredura exploratória de anomalias agregadas, mas não autorizaria, sem exame complementar, conclusão direta de irregularidade cadastral material. O ponto é reforçado por reanálise ministerial que afirma reduzir significativamente a materialidade do universo originalmente apontado: dos 608 municípios com cobertura igual ou superior a 100%, o MDA reclassificou 558 (91,8%) como improcedentes — por envolver beneficiários do PNRA, extrativistas, indígenas, quilombolas, comunidades tradicionais ou combinações desses públicos —, restando materialidade residual em 50 municípios: 10 com indício de plausibilidade do achado e 40 com necessidade de averiguação complementar (peça 161, p. 3). O argumento combina duas críticas: natureza do indicador e magnitude remanescente do risco após leitura administrativa contextualizada.</w:t>
      </w:r>
    </w:p>
    <w:p w14:paraId="48B1B9CD" w14:textId="77777777" w:rsidR="00203927" w:rsidRDefault="00000000" w:rsidP="00324773">
      <w:pPr>
        <w:pStyle w:val="Pargrafonumerado"/>
        <w:numPr>
          <w:ilvl w:val="0"/>
          <w:numId w:val="6"/>
        </w:numPr>
        <w:spacing w:after="120"/>
        <w:ind w:left="0" w:firstLine="0"/>
      </w:pPr>
      <w:r>
        <w:rPr>
          <w:b/>
        </w:rPr>
        <w:t>Análise da equipe.</w:t>
      </w:r>
      <w:r>
        <w:t xml:space="preserve"> O argumento é procedente na medida em que ajuda a delimitar o alcance probatório desse bloco do Achado II. É consistente tratar a inflação municipal como indicador relevante para priorização e investigação, sem exigir que cada ocorrência agregada seja convertida imediatamente em conclusão individual de impropriedade cadastral. Esse enquadramento é compatível com o relatório que distingue passivo acumulado de situação corrente e reconhece os avanços recentes.</w:t>
      </w:r>
    </w:p>
    <w:p w14:paraId="6531C3DD" w14:textId="77777777" w:rsidR="00203927" w:rsidRDefault="00000000" w:rsidP="00324773">
      <w:pPr>
        <w:pStyle w:val="Pargrafonumerado"/>
        <w:numPr>
          <w:ilvl w:val="0"/>
          <w:numId w:val="6"/>
        </w:numPr>
        <w:spacing w:after="120"/>
        <w:ind w:left="0" w:firstLine="0"/>
      </w:pPr>
      <w:r>
        <w:t>Ainda assim, o argumento não dispensa resposta institucional. Se o próprio gestor reconhece universo residual que merece monitoramento, permanece conveniente o aperfeiçoamento da gestão de mudanças e o acompanhamento por indicadores. O efeito da manifestação é precisar o alcance de leitura e a priorização do tratamento, não suprimir a necessidade de avaliar e enfrentar os casos indicados.</w:t>
      </w:r>
    </w:p>
    <w:p w14:paraId="4133DFAF" w14:textId="77777777" w:rsidR="00203927" w:rsidRDefault="00000000">
      <w:pPr>
        <w:pStyle w:val="Ttulo2"/>
      </w:pPr>
      <w:r>
        <w:t xml:space="preserve">ARG-19 — Papel da </w:t>
      </w:r>
      <w:proofErr w:type="spellStart"/>
      <w:r>
        <w:t>integração</w:t>
      </w:r>
      <w:proofErr w:type="spellEnd"/>
      <w:r>
        <w:t xml:space="preserve"> PNRA/</w:t>
      </w:r>
      <w:proofErr w:type="spellStart"/>
      <w:r>
        <w:t>Incra</w:t>
      </w:r>
      <w:proofErr w:type="spellEnd"/>
      <w:r>
        <w:t xml:space="preserve"> </w:t>
      </w:r>
      <w:proofErr w:type="spellStart"/>
      <w:r>
        <w:t>na</w:t>
      </w:r>
      <w:proofErr w:type="spellEnd"/>
      <w:r>
        <w:t xml:space="preserve"> </w:t>
      </w:r>
      <w:proofErr w:type="spellStart"/>
      <w:r>
        <w:t>inflação</w:t>
      </w:r>
      <w:proofErr w:type="spellEnd"/>
      <w:r>
        <w:t xml:space="preserve"> municipal </w:t>
      </w:r>
      <w:proofErr w:type="spellStart"/>
      <w:r>
        <w:t>aparente</w:t>
      </w:r>
      <w:proofErr w:type="spellEnd"/>
    </w:p>
    <w:p w14:paraId="7E1913B6" w14:textId="77777777" w:rsidR="00203927" w:rsidRDefault="00000000" w:rsidP="00324773">
      <w:pPr>
        <w:pStyle w:val="Pargrafonumerado"/>
        <w:numPr>
          <w:ilvl w:val="0"/>
          <w:numId w:val="6"/>
        </w:numPr>
        <w:spacing w:after="120"/>
        <w:ind w:left="0" w:firstLine="0"/>
      </w:pPr>
      <w:r>
        <w:t>O gestor sustenta que a integração com o Incra/PNRA é vetor central para explicar parte da inflação municipal aparente, porque registros migrados teriam carregado a área total do assentamento sem discriminação da fração ideal individual do beneficiário (peça 161, p. 2-3). A manifestação afirma que, em parte relevante dos registros migrados, a base de origem não discriminava a fração ideal do lote por beneficiário, disciplinada pela Portaria Conjunta MDA-INCRA nº 3/2025. Esse argumento funciona como explicação alternativa estruturada: ao invés de ler a inflação municipal exclusivamente como produto de fragilidade do CAF, o gestor demonstra que ao menos uma parcela do efeito deriva de integração de base legada com modelagem distinta e granularidade insuficiente. Na reanálise ministerial, dos 608 municípios com cobertura ≥ 100%, 535 tinham incidência de beneficiários do PNRA (peça 161, p. 2-3). O ponto desloca parte da causalidade da inflação para o plano da herança de integração entre bases.</w:t>
      </w:r>
    </w:p>
    <w:p w14:paraId="231636D6" w14:textId="77777777" w:rsidR="00203927" w:rsidRDefault="00000000" w:rsidP="00324773">
      <w:pPr>
        <w:pStyle w:val="Pargrafonumerado"/>
        <w:numPr>
          <w:ilvl w:val="0"/>
          <w:numId w:val="6"/>
        </w:numPr>
        <w:spacing w:after="120"/>
        <w:ind w:left="0" w:firstLine="0"/>
      </w:pPr>
      <w:r>
        <w:rPr>
          <w:b/>
        </w:rPr>
        <w:t>Análise da equipe.</w:t>
      </w:r>
      <w:r>
        <w:t xml:space="preserve"> O argumento é tecnicamente substantivo e merece acolhimento parcial. A reanálise ministerial demonstra, com documentação própria, que a integração com o Incra/PNRA, disciplinada pela Portaria Conjunta MDA-INCRA nº 3/2025, constitui vetor relevante para a inflação municipal aparente: na base de origem, a área total do assentamento era </w:t>
      </w:r>
      <w:r>
        <w:lastRenderedPageBreak/>
        <w:t>informada sem discriminação da fração ideal do lote por beneficiário, de modo que, ao ser somada indistintamente por município, a leitura agregativa produz excesso nominal que não decorre de erro do emissor nem de falha estrutural do CAF (peça 161, p. 2).</w:t>
      </w:r>
    </w:p>
    <w:p w14:paraId="2642840A" w14:textId="77777777" w:rsidR="00203927" w:rsidRDefault="00000000" w:rsidP="00324773">
      <w:pPr>
        <w:pStyle w:val="Pargrafonumerado"/>
        <w:numPr>
          <w:ilvl w:val="0"/>
          <w:numId w:val="6"/>
        </w:numPr>
        <w:spacing w:after="120"/>
        <w:ind w:left="0" w:firstLine="0"/>
      </w:pPr>
      <w:r>
        <w:t>A reanálise identificou 608 municípios com cobertura de área igual ou superior a 100%, dos quais 535 tinham incidência de beneficiários do PNRA. Do total de 608, o MDA classificou 558 (91,8%) como improcedentes — por envolver beneficiários do PNRA, extrativistas, indígenas, quilombolas, comunidades tradicionais ou combinações desses públicos —, restando materialidade residual em 50 municípios: 10 com indício de plausibilidade do achado e 40 com necessidade de averiguação complementar (peça 161, p. 3).</w:t>
      </w:r>
    </w:p>
    <w:p w14:paraId="60D0345F" w14:textId="77777777" w:rsidR="00203927" w:rsidRDefault="00000000" w:rsidP="00324773">
      <w:pPr>
        <w:pStyle w:val="Pargrafonumerado"/>
        <w:numPr>
          <w:ilvl w:val="0"/>
          <w:numId w:val="6"/>
        </w:numPr>
        <w:spacing w:after="120"/>
        <w:ind w:left="0" w:firstLine="0"/>
      </w:pPr>
      <w:r>
        <w:t>A contribuição desse argumento para o relatório é relevante em dois planos. No primeiro, ele ajuda a delimitar o alcance probatório da inflação municipal como indicador de triagem exploratória de risco, cuja leitura deve ser mediada pela estrutura real dos conjuntos cadastrais e pelas lógicas territoriais próprias de cada público — assentados, extrativistas, quilombolas, comunidades tradicionais e demais povos com tratamento jurídico específico (peça 161, p. 2). No segundo, ele confirma que a integração entre bases de dados distintas, quando feita sem harmonização prévia dos critérios de medição, é capaz de gerar distorções analíticas que comprometem a leitura agregada da base.</w:t>
      </w:r>
    </w:p>
    <w:p w14:paraId="2E75F7F4" w14:textId="77777777" w:rsidR="00203927" w:rsidRDefault="00000000" w:rsidP="00324773">
      <w:pPr>
        <w:pStyle w:val="Pargrafonumerado"/>
        <w:numPr>
          <w:ilvl w:val="0"/>
          <w:numId w:val="6"/>
        </w:numPr>
        <w:spacing w:after="120"/>
        <w:ind w:left="0" w:firstLine="0"/>
      </w:pPr>
      <w:r>
        <w:t xml:space="preserve">Esse segundo ponto, contudo, não compromete o Achado II: ao contrário, reforça a pertinência de encaminhamentos voltados ao aperfeiçoamento da interoperabilidade e da gestão de mudanças. Se a migração de registros do PNRA introduziu área sem fracionamento individual, isso é, em si, um problema de qualidade de dados na integração, compatível com o diagnóstico de limitações geoespaciais acumuladas ao longo das transições tecnológicas do CAF. O argumento do gestor, portanto, delimita a leitura quantitativa e evita </w:t>
      </w:r>
      <w:proofErr w:type="spellStart"/>
      <w:r>
        <w:t>sobreleitura</w:t>
      </w:r>
      <w:proofErr w:type="spellEnd"/>
      <w:r>
        <w:t xml:space="preserve"> do indicador agregado, mas mantém intacta a necessidade de resposta institucional para os 50 municípios com materialidade residual e para o aprimoramento dos processos de integração entre bases.</w:t>
      </w:r>
    </w:p>
    <w:p w14:paraId="7EB62481" w14:textId="77777777" w:rsidR="00203927" w:rsidRDefault="00000000">
      <w:pPr>
        <w:pStyle w:val="Ttulo2"/>
      </w:pPr>
      <w:r>
        <w:t xml:space="preserve">ARG-20 — </w:t>
      </w:r>
      <w:proofErr w:type="spellStart"/>
      <w:r>
        <w:t>Redelimitação</w:t>
      </w:r>
      <w:proofErr w:type="spellEnd"/>
      <w:r>
        <w:t xml:space="preserve"> das </w:t>
      </w:r>
      <w:proofErr w:type="spellStart"/>
      <w:r>
        <w:t>causas</w:t>
      </w:r>
      <w:proofErr w:type="spellEnd"/>
      <w:r>
        <w:t xml:space="preserve"> do </w:t>
      </w:r>
      <w:proofErr w:type="spellStart"/>
      <w:r>
        <w:t>Achado</w:t>
      </w:r>
      <w:proofErr w:type="spellEnd"/>
      <w:r>
        <w:t xml:space="preserve"> II e </w:t>
      </w:r>
      <w:proofErr w:type="spellStart"/>
      <w:r>
        <w:t>riscos</w:t>
      </w:r>
      <w:proofErr w:type="spellEnd"/>
      <w:r>
        <w:t xml:space="preserve"> de </w:t>
      </w:r>
      <w:proofErr w:type="spellStart"/>
      <w:r>
        <w:t>sobreleitura</w:t>
      </w:r>
      <w:proofErr w:type="spellEnd"/>
      <w:r>
        <w:t xml:space="preserve"> </w:t>
      </w:r>
      <w:proofErr w:type="spellStart"/>
      <w:r>
        <w:t>analítica</w:t>
      </w:r>
      <w:proofErr w:type="spellEnd"/>
    </w:p>
    <w:p w14:paraId="2CA3530A" w14:textId="77777777" w:rsidR="00203927" w:rsidRDefault="00000000" w:rsidP="00324773">
      <w:pPr>
        <w:pStyle w:val="Pargrafonumerado"/>
        <w:numPr>
          <w:ilvl w:val="0"/>
          <w:numId w:val="6"/>
        </w:numPr>
        <w:spacing w:after="120"/>
        <w:ind w:left="0" w:firstLine="0"/>
      </w:pPr>
      <w:r>
        <w:t>O gestor sustenta que a causa mais adequada do Achado II não é uma deficiência estrutural geral de gestão de mudanças, mas insuficiência de validações específicas para captar determinados efeitos cartográficos de solução recentemente implantada (peça 150, p. 40-41). A manifestação procura reduzir a amplitude causal do diagnóstico, deslocando-o de um defeito de governança abrangente para falha pontual de desenho, calibração e validação. No mesmo movimento, o gestor afirma que os riscos descritos no relatório quanto à poluição de integrações externas e a distorções analíticas amplas estariam superdimensionados: sustenta que o dado georreferenciado é acessório no regime jurídico do CAF, não servindo como base para rastreabilidade fundiária individual, fiscalização ambiental ou validação direta do limite de 4 módulos fiscais (peça 150, p. 43). Argumenta, ainda, que a informação georreferenciada não é compartilhada automaticamente pelas interfaces de programação (APIs) sociais do cadastro, de modo que o risco de poluição de integrações externas estaria superestimado (peça 150, p. 44). O argumento pretende, assim, recalibrar dois planos ao mesmo tempo: causa e efeito (peça 150, p. 40-49).</w:t>
      </w:r>
    </w:p>
    <w:p w14:paraId="10B568F3" w14:textId="77777777" w:rsidR="00203927" w:rsidRDefault="00000000" w:rsidP="00324773">
      <w:pPr>
        <w:pStyle w:val="Pargrafonumerado"/>
        <w:numPr>
          <w:ilvl w:val="0"/>
          <w:numId w:val="6"/>
        </w:numPr>
        <w:spacing w:after="120"/>
        <w:ind w:left="0" w:firstLine="0"/>
      </w:pPr>
      <w:r>
        <w:rPr>
          <w:b/>
        </w:rPr>
        <w:lastRenderedPageBreak/>
        <w:t>Análise da equipe.</w:t>
      </w:r>
      <w:r>
        <w:t xml:space="preserve"> O argumento estrutura-se em dois eixos: </w:t>
      </w:r>
      <w:proofErr w:type="spellStart"/>
      <w:r>
        <w:t>redelimitação</w:t>
      </w:r>
      <w:proofErr w:type="spellEnd"/>
      <w:r>
        <w:t xml:space="preserve"> das causas e contestação do alcance dos efeitos e riscos atribuídos ao Achado II. A análise de cada eixo requer tratamento diferenciado.</w:t>
      </w:r>
    </w:p>
    <w:p w14:paraId="1A87DC3D" w14:textId="77777777" w:rsidR="00203927" w:rsidRDefault="00000000" w:rsidP="00324773">
      <w:pPr>
        <w:pStyle w:val="Pargrafonumerado"/>
        <w:numPr>
          <w:ilvl w:val="0"/>
          <w:numId w:val="6"/>
        </w:numPr>
        <w:spacing w:after="120"/>
        <w:ind w:left="0" w:firstLine="0"/>
      </w:pPr>
      <w:r>
        <w:t xml:space="preserve">Quanto às causas, o gestor propõe substituir a formulação de deficiência na gestão de mudanças e garantia de qualidade tecnológica por diagnóstico mais circunscrito: insuficiência de validações específicas para captar efeitos cartográficos de determinada solução de interface em fase recente de implantação (peça 150, p. 40). A distinção é parcialmente procedente. O relatório já contempla a necessidade de distinguir o passivo acumulado das transições tecnológicas anteriores e os problemas associados à fase inicial de implantação do CAF 3.0 e da interface </w:t>
      </w:r>
      <w:proofErr w:type="spellStart"/>
      <w:r>
        <w:t>Leaflet</w:t>
      </w:r>
      <w:proofErr w:type="spellEnd"/>
      <w:r>
        <w:t xml:space="preserve">. Contudo, o próprio gestor reconhece parcialmente a causa raiz 4 — insuficiência na formalização de requisitos de qualidade como requisitos não funcionais — admitindo que controles específicos de consistência cartográfica podem e devem ser </w:t>
      </w:r>
      <w:proofErr w:type="gramStart"/>
      <w:r>
        <w:t>melhor</w:t>
      </w:r>
      <w:proofErr w:type="gramEnd"/>
      <w:r>
        <w:t xml:space="preserve"> formalizados no desenvolvimento e na evolução do sistema (peça 150, p. 41). Essa admissão converge com o diagnóstico do achado, porque a falta de formalização de requisitos de integridade geoespacial como requisitos não funcionais é, em si, um aspecto da gestão de mudanças.</w:t>
      </w:r>
    </w:p>
    <w:p w14:paraId="6918DF35" w14:textId="77777777" w:rsidR="00203927" w:rsidRDefault="00000000" w:rsidP="00324773">
      <w:pPr>
        <w:pStyle w:val="Pargrafonumerado"/>
        <w:numPr>
          <w:ilvl w:val="0"/>
          <w:numId w:val="6"/>
        </w:numPr>
        <w:spacing w:after="120"/>
        <w:ind w:left="0" w:firstLine="0"/>
      </w:pPr>
      <w:r>
        <w:t>Quanto aos efeitos e riscos, o gestor sustenta que o dado georreferenciado é acessório no regime jurídico do CAF, não servindo como base para rastreabilidade fundiária individual, fiscalização ambiental ou validação direta do limite de 4 módulos fiscais (peça 150, p. 43). Argumenta, ainda, que a informação georreferenciada não é compartilhada automaticamente pelas interfaces de programação (APIs) sociais do cadastro, de modo que o risco de poluição de integrações externas estaria superestimado (peça 150, p. 44).</w:t>
      </w:r>
    </w:p>
    <w:p w14:paraId="7A37E64B" w14:textId="77777777" w:rsidR="00203927" w:rsidRDefault="00000000" w:rsidP="00324773">
      <w:pPr>
        <w:pStyle w:val="Pargrafonumerado"/>
        <w:numPr>
          <w:ilvl w:val="0"/>
          <w:numId w:val="6"/>
        </w:numPr>
        <w:spacing w:after="120"/>
        <w:ind w:left="0" w:firstLine="0"/>
      </w:pPr>
      <w:r>
        <w:t xml:space="preserve">Esses pontos contribuem para evitar </w:t>
      </w:r>
      <w:proofErr w:type="spellStart"/>
      <w:r>
        <w:t>sobreleitura</w:t>
      </w:r>
      <w:proofErr w:type="spellEnd"/>
      <w:r>
        <w:t xml:space="preserve"> dos efeitos, mas não comprometem o diagnóstico. Mesmo que o dado geoespacial não seja elemento definidor do enquadramento jurídico do agricultor familiar, ele integra o acervo informacional do cadastro e é insumo potencial para análises de risco, monitoramento e interoperabilidade. A existência de 1,75 milhão de imóveis com coordenadas idênticas (peça 150, p. 43) e de taxa de erro cartográfico de 45,92% no CAF 3.0 (peça 150, p. 43) são dados que, independentemente da natureza jurídica do campo, afetam a capacidade do cadastro de sustentar validações baseadas em localização e de produzir informação confiável para políticas públicas.</w:t>
      </w:r>
    </w:p>
    <w:p w14:paraId="4D8AB69E" w14:textId="77777777" w:rsidR="00203927" w:rsidRDefault="00000000" w:rsidP="00324773">
      <w:pPr>
        <w:pStyle w:val="Pargrafonumerado"/>
        <w:numPr>
          <w:ilvl w:val="0"/>
          <w:numId w:val="6"/>
        </w:numPr>
        <w:spacing w:after="120"/>
        <w:ind w:left="0" w:firstLine="0"/>
      </w:pPr>
      <w:r>
        <w:t>A consequência prática do argumento é de delimitação: o relatório evita formulações que convertam limitação geoespacial em comprometimento automático da finalidade jurídica do cadastro, em alinhamento com a delimitação do achado no relatório. Permanece, todavia, a conveniência de encaminhamentos voltados ao aperfeiçoamento da gestão de mudanças e da qualidade cartográfica, com liberdade de meios e priorização orientada por risco.</w:t>
      </w:r>
    </w:p>
    <w:p w14:paraId="5D8CB07A" w14:textId="77777777" w:rsidR="00203927" w:rsidRDefault="00000000">
      <w:pPr>
        <w:pStyle w:val="Ttulo2"/>
      </w:pPr>
      <w:r>
        <w:t xml:space="preserve">ARG-21 — </w:t>
      </w:r>
      <w:proofErr w:type="spellStart"/>
      <w:r>
        <w:t>Ajuste</w:t>
      </w:r>
      <w:proofErr w:type="spellEnd"/>
      <w:r>
        <w:t xml:space="preserve"> dos </w:t>
      </w:r>
      <w:proofErr w:type="spellStart"/>
      <w:r>
        <w:t>encaminhamentos</w:t>
      </w:r>
      <w:proofErr w:type="spellEnd"/>
      <w:r>
        <w:t xml:space="preserve"> do </w:t>
      </w:r>
      <w:proofErr w:type="spellStart"/>
      <w:r>
        <w:t>Achado</w:t>
      </w:r>
      <w:proofErr w:type="spellEnd"/>
      <w:r>
        <w:t xml:space="preserve"> II para </w:t>
      </w:r>
      <w:proofErr w:type="spellStart"/>
      <w:r>
        <w:t>abordagem</w:t>
      </w:r>
      <w:proofErr w:type="spellEnd"/>
      <w:r>
        <w:t xml:space="preserve"> </w:t>
      </w:r>
      <w:proofErr w:type="spellStart"/>
      <w:r>
        <w:t>prospectiva</w:t>
      </w:r>
      <w:proofErr w:type="spellEnd"/>
      <w:r>
        <w:t xml:space="preserve"> e </w:t>
      </w:r>
      <w:proofErr w:type="spellStart"/>
      <w:r>
        <w:t>orientada</w:t>
      </w:r>
      <w:proofErr w:type="spellEnd"/>
      <w:r>
        <w:t xml:space="preserve"> </w:t>
      </w:r>
      <w:proofErr w:type="spellStart"/>
      <w:r>
        <w:t>por</w:t>
      </w:r>
      <w:proofErr w:type="spellEnd"/>
      <w:r>
        <w:t xml:space="preserve"> </w:t>
      </w:r>
      <w:proofErr w:type="spellStart"/>
      <w:r>
        <w:t>risco</w:t>
      </w:r>
      <w:proofErr w:type="spellEnd"/>
    </w:p>
    <w:p w14:paraId="795B136E" w14:textId="77777777" w:rsidR="00203927" w:rsidRDefault="00000000" w:rsidP="00324773">
      <w:pPr>
        <w:pStyle w:val="Pargrafonumerado"/>
        <w:numPr>
          <w:ilvl w:val="0"/>
          <w:numId w:val="6"/>
        </w:numPr>
        <w:spacing w:after="120"/>
        <w:ind w:left="0" w:firstLine="0"/>
      </w:pPr>
      <w:r>
        <w:t xml:space="preserve">O gestor sustenta que a determinação do Achado II deveria ser removida ou recalibrada, preservando-se, quando muito, recomendações em chave prospectiva, gradual, seletiva e orientada por risco (peça 150, p. 65-67; peça 150, p. 72-73). A expressão não se mostra adequada a determinação de saneamento retrospectivo resume a objeção central. A crítica é dirigida menos ao valor diagnóstico do achado e mais à forma da deliberação: o gestor admite utilidade de orientações de melhoria para validação cartográfica, monitoramento e governança, mas rejeita a lógica de </w:t>
      </w:r>
      <w:r>
        <w:lastRenderedPageBreak/>
        <w:t xml:space="preserve">comando voltado a saneamento amplo do passivo histórico sem escalonamento, priorização e discricionariedade técnica. O argumento atua no plano do instrumento e do grau de </w:t>
      </w:r>
      <w:proofErr w:type="spellStart"/>
      <w:r>
        <w:t>prescritividade</w:t>
      </w:r>
      <w:proofErr w:type="spellEnd"/>
      <w:r>
        <w:t xml:space="preserve"> da resposta.</w:t>
      </w:r>
    </w:p>
    <w:p w14:paraId="36055E5E" w14:textId="77777777" w:rsidR="00203927" w:rsidRDefault="00000000" w:rsidP="00324773">
      <w:pPr>
        <w:pStyle w:val="Pargrafonumerado"/>
        <w:numPr>
          <w:ilvl w:val="0"/>
          <w:numId w:val="6"/>
        </w:numPr>
        <w:spacing w:after="120"/>
        <w:ind w:left="0" w:firstLine="0"/>
      </w:pPr>
      <w:r>
        <w:rPr>
          <w:b/>
        </w:rPr>
        <w:t>Análise da equipe.</w:t>
      </w:r>
      <w:r>
        <w:t xml:space="preserve"> O argumento é procedente porque converge diretamente com um dos ajustes já feitos no relatório: encaminhamentos menos prescritivos, com foco no resultado a alcançar, e prazo mais compatível com a complexidade do caso. O relatório preserva a necessidade de resposta administrativa estruturada, mas deixa ao gestor maior liberdade quanto à forma de implementação, à priorização dos casos e aos meios a serem empregados.</w:t>
      </w:r>
    </w:p>
    <w:p w14:paraId="07021C49" w14:textId="77777777" w:rsidR="00203927" w:rsidRDefault="00000000" w:rsidP="00324773">
      <w:pPr>
        <w:pStyle w:val="Pargrafonumerado"/>
        <w:numPr>
          <w:ilvl w:val="0"/>
          <w:numId w:val="6"/>
        </w:numPr>
        <w:spacing w:after="120"/>
        <w:ind w:left="0" w:firstLine="0"/>
      </w:pPr>
      <w:r>
        <w:t>Esse acolhimento parcial, contudo, não implica supressão dos encaminhamentos. Ao contrário, reforça a lógica segundo a qual a resposta institucional ao Achado II deve ser mantida, porém com melhor delimitação quanto a alcance, forma e execução. Permanece especialmente conveniente preservar comando voltado ao aperfeiçoamento da gestão de mudanças.</w:t>
      </w:r>
    </w:p>
    <w:p w14:paraId="7703D1B7" w14:textId="77777777" w:rsidR="00203927" w:rsidRDefault="00000000">
      <w:pPr>
        <w:pStyle w:val="Ttulo2"/>
      </w:pPr>
      <w:r>
        <w:t xml:space="preserve">ARG-22 — </w:t>
      </w:r>
      <w:proofErr w:type="spellStart"/>
      <w:r>
        <w:t>Capacidade</w:t>
      </w:r>
      <w:proofErr w:type="spellEnd"/>
      <w:r>
        <w:t xml:space="preserve"> civil: </w:t>
      </w:r>
      <w:proofErr w:type="spellStart"/>
      <w:r>
        <w:t>gravidade</w:t>
      </w:r>
      <w:proofErr w:type="spellEnd"/>
      <w:r>
        <w:t xml:space="preserve"> </w:t>
      </w:r>
      <w:proofErr w:type="spellStart"/>
      <w:r>
        <w:t>reconhecida</w:t>
      </w:r>
      <w:proofErr w:type="spellEnd"/>
      <w:r>
        <w:t xml:space="preserve">, </w:t>
      </w:r>
      <w:proofErr w:type="spellStart"/>
      <w:r>
        <w:t>materialidade</w:t>
      </w:r>
      <w:proofErr w:type="spellEnd"/>
      <w:r>
        <w:t xml:space="preserve"> </w:t>
      </w:r>
      <w:proofErr w:type="spellStart"/>
      <w:r>
        <w:t>relativa</w:t>
      </w:r>
      <w:proofErr w:type="spellEnd"/>
      <w:r>
        <w:t xml:space="preserve"> e </w:t>
      </w:r>
      <w:proofErr w:type="spellStart"/>
      <w:r>
        <w:t>existência</w:t>
      </w:r>
      <w:proofErr w:type="spellEnd"/>
      <w:r>
        <w:t xml:space="preserve"> de </w:t>
      </w:r>
      <w:proofErr w:type="spellStart"/>
      <w:r>
        <w:t>controles</w:t>
      </w:r>
      <w:proofErr w:type="spellEnd"/>
    </w:p>
    <w:p w14:paraId="68915855" w14:textId="77777777" w:rsidR="00203927" w:rsidRDefault="00000000" w:rsidP="00324773">
      <w:pPr>
        <w:pStyle w:val="Pargrafonumerado"/>
        <w:numPr>
          <w:ilvl w:val="0"/>
          <w:numId w:val="6"/>
        </w:numPr>
        <w:spacing w:after="120"/>
        <w:ind w:left="0" w:firstLine="0"/>
      </w:pPr>
      <w:r>
        <w:t xml:space="preserve">O gestor sustenta que as inconsistências de capacidade civil, embora reconhecidas como relevantes, atingem parcela pequena da base — correspondente a menos de 1% dos cadastros ativos — e não demonstram inexistência de controles (peça 150, p. 48). O ponto tensiona a leitura do relatório de que as inconsistências de capacidade civil — responsáveis falecidos, menores de idade, CPFs não localizados — configurariam permissividade estrutural generalizada do cadastro. A manifestação afirma que o CAF 3.0 incorporou controles sistêmicos voltados à capacidade civil: consulta à base da Receita Federal via </w:t>
      </w:r>
      <w:proofErr w:type="spellStart"/>
      <w:r>
        <w:t>BCadastro</w:t>
      </w:r>
      <w:proofErr w:type="spellEnd"/>
      <w:r>
        <w:t>/</w:t>
      </w:r>
      <w:proofErr w:type="spellStart"/>
      <w:r>
        <w:t>ConectaGOV</w:t>
      </w:r>
      <w:proofErr w:type="spellEnd"/>
      <w:r>
        <w:t xml:space="preserve"> (regra de negócio RN 1.2) e vedação de responsabilidade por UFPA a menores que não tenham atingido a maioridade ou emancipação (regra RN 1.8) (peça 150, p. 48). O argumento procura combinar reconhecimento do problema com relativização da escala e afirmação de que os controles existentes no sistema atual impedem que a presença de casos críticos residuais — responsáveis com óbito registrado, menores de 16 anos, CPFs não localizados — seja lida como evidência de permissividade estrutural generalizada.</w:t>
      </w:r>
    </w:p>
    <w:p w14:paraId="2AF6A2A7" w14:textId="77777777" w:rsidR="00203927" w:rsidRDefault="00000000" w:rsidP="00324773">
      <w:pPr>
        <w:pStyle w:val="Pargrafonumerado"/>
        <w:numPr>
          <w:ilvl w:val="0"/>
          <w:numId w:val="6"/>
        </w:numPr>
        <w:spacing w:after="120"/>
        <w:ind w:left="0" w:firstLine="0"/>
      </w:pPr>
      <w:r>
        <w:rPr>
          <w:b/>
        </w:rPr>
        <w:t>Análise da equipe.</w:t>
      </w:r>
      <w:r>
        <w:t xml:space="preserve"> A existência de controles no CAF 3.0 é documentada e foi considerada no relatório. O gestor demonstra que o CAF 3.0 incorporou controles sistêmicos voltados à capacidade civil, incluindo consulta à base da Receita Federal via </w:t>
      </w:r>
      <w:proofErr w:type="spellStart"/>
      <w:r>
        <w:t>BCadastro</w:t>
      </w:r>
      <w:proofErr w:type="spellEnd"/>
      <w:r>
        <w:t>/</w:t>
      </w:r>
      <w:proofErr w:type="spellStart"/>
      <w:r>
        <w:t>ConectaGOV</w:t>
      </w:r>
      <w:proofErr w:type="spellEnd"/>
      <w:r>
        <w:t xml:space="preserve"> (RN 1.2) e vedação de responsabilidade por UFPA a menores que não tenham atingido a maioridade ou emancipação (RN 1.8) (peça 150, p. 48). Reconhece, ainda, que os casos apontados — responsáveis com óbito registrado, menores de 16 anos, CPFs não localizados — envolvem menos de 1% da base de cadastros ativos (peça 150, p. 48).</w:t>
      </w:r>
    </w:p>
    <w:p w14:paraId="52CA981D" w14:textId="77777777" w:rsidR="00203927" w:rsidRDefault="00000000" w:rsidP="00324773">
      <w:pPr>
        <w:pStyle w:val="Pargrafonumerado"/>
        <w:numPr>
          <w:ilvl w:val="0"/>
          <w:numId w:val="6"/>
        </w:numPr>
        <w:spacing w:after="120"/>
        <w:ind w:left="0" w:firstLine="0"/>
      </w:pPr>
      <w:r>
        <w:t>Essa ordem de grandeza e a existência de controles no sistema atual justificam tratamento proporcional. O relatório distingue o passivo acumulado da situação corrente e reconhece que parte desses registros pode decorrer de erro sistêmico nas integrações, e não de inexistência absoluta de controles de entrada.</w:t>
      </w:r>
    </w:p>
    <w:p w14:paraId="02806DC3" w14:textId="77777777" w:rsidR="00324773" w:rsidRDefault="00000000" w:rsidP="00324773">
      <w:pPr>
        <w:pStyle w:val="Pargrafonumerado"/>
        <w:numPr>
          <w:ilvl w:val="0"/>
          <w:numId w:val="6"/>
        </w:numPr>
        <w:spacing w:after="120"/>
        <w:ind w:left="0" w:firstLine="0"/>
      </w:pPr>
      <w:r>
        <w:t xml:space="preserve">Todavia, a baixa materialidade relativa não reduz a gravidade qualitativa dos casos individuais no contexto do Achado III — Lacunas na governança, no cadastramento e na curadoria dos dados limitam a qualidade cadastral do CAF, afetando a capacidade de comunicação com os cadastrados e a precisão da focalização das políticas públicas de agricultura familiar. A manutenção </w:t>
      </w:r>
      <w:r>
        <w:lastRenderedPageBreak/>
        <w:t xml:space="preserve">de 3.097 responsáveis falecidos como titulares ativos, por exemplo, configura inconsistência de alta sensibilidade jurídico-administrativa, como o próprio gestor reconhece (peça 150, p. 53). Na reunião de abertura, registrou-se que a não utilização do CPF como chave primária em diversos sistemas públicos gera dificuldades de cruzamento e contribui para inconsistências como pagamentos a beneficiários falecidos (peça 72, p. 2). </w:t>
      </w:r>
    </w:p>
    <w:p w14:paraId="413A7A42" w14:textId="6B7BABF3" w:rsidR="00203927" w:rsidRDefault="00000000" w:rsidP="00324773">
      <w:pPr>
        <w:pStyle w:val="Pargrafonumerado"/>
        <w:numPr>
          <w:ilvl w:val="0"/>
          <w:numId w:val="6"/>
        </w:numPr>
        <w:spacing w:after="120"/>
        <w:ind w:left="0" w:firstLine="0"/>
      </w:pPr>
      <w:r>
        <w:t>A jurisprudência do TCU trata a manutenção de beneficiários falecidos em cadastros ativos com elevada gravidade, tendo inclusive reconhecido, em contexto análogo, que a conduta de perceber proventos de pessoa falecida pode justificar a inabilitação para cargo em comissão ou função de confiança (Boletim de Jurisprudência do TCU nº 483/2024). Também em auditoria sobre dados de óbitos do SIRC, o Tribunal constatou fragilidades estruturais que comprometem a fidedignidade dos dados e acarretam pagamento indevido de benefícios (Acórdão 1606/2025-Plenário, Rel. Min. Jorge Oliveira). A consequência prática é dimensionar a proporcionalidade da resposta — saneamento focalizado e tempestivo, compatível com a escala do problema —, sem afastar a necessidade de aprimoramento dos mecanismos de detecção e de curadoria contínua dos dados críticos de identificação.</w:t>
      </w:r>
    </w:p>
    <w:p w14:paraId="7B711B20" w14:textId="77777777" w:rsidR="00203927" w:rsidRDefault="00000000">
      <w:pPr>
        <w:pStyle w:val="Ttulo2"/>
      </w:pPr>
      <w:r>
        <w:t xml:space="preserve">ARG-23 — E-mail e CEP à luz da </w:t>
      </w:r>
      <w:proofErr w:type="spellStart"/>
      <w:r>
        <w:t>realidade</w:t>
      </w:r>
      <w:proofErr w:type="spellEnd"/>
      <w:r>
        <w:t xml:space="preserve"> material do </w:t>
      </w:r>
      <w:proofErr w:type="spellStart"/>
      <w:r>
        <w:t>público</w:t>
      </w:r>
      <w:proofErr w:type="spellEnd"/>
      <w:r>
        <w:t xml:space="preserve"> rural</w:t>
      </w:r>
    </w:p>
    <w:p w14:paraId="3D2AA312" w14:textId="77777777" w:rsidR="00203927" w:rsidRDefault="00000000" w:rsidP="00324773">
      <w:pPr>
        <w:pStyle w:val="Pargrafonumerado"/>
        <w:numPr>
          <w:ilvl w:val="0"/>
          <w:numId w:val="6"/>
        </w:numPr>
        <w:spacing w:after="120"/>
        <w:ind w:left="0" w:firstLine="0"/>
      </w:pPr>
      <w:r>
        <w:t xml:space="preserve">O gestor sustenta que a crítica a e-mail e CEP deve ser lida à luz da realidade material do público rural, e não como indício automático de irregularidade cadastral (peça 150, p. 49-50; peça 156, p. 1; peça 162, p. 2-4). Quanto ao e-mail, a manifestação afirma que a utilização das ferramentas disponibilizadas pelo acesso à internet, como o e-mail, ainda é crítica no meio rural: aproximadamente dois terços das pessoas inscritas no CAF possuem baixa escolaridade, o uso de correio eletrônico pelo público rural é limitado e a preferência recai sobre aplicativos de mensagem como o WhatsApp (peça 150, p. 49). Quanto ao CEP, o gestor apresenta dado do Censo IBGE 2022: existem 1.469 municípios brasileiros com apenas um CEP — o chamado CEP genérico (terminação -000) —, em sua maioria municípios de pequeno porte que correspondem ao perfil de localização da maioria das </w:t>
      </w:r>
      <w:proofErr w:type="spellStart"/>
      <w:r>
        <w:t>UFPAs</w:t>
      </w:r>
      <w:proofErr w:type="spellEnd"/>
      <w:r>
        <w:t xml:space="preserve"> inscritas no CAF (peça 150, p. 49-50). A repetição de CEPs genéricos decorreria, portanto, da estrutura do endereçamento postal brasileiro, e não de falha no cadastramento. O argumento tensiona o tratamento dos 90,62% de e-mails inválidos e 93,7% de CEPs genéricos como evidência de irregularidade, procurando requalificá-los como limitação de aderência contextual do campo ao perfil do público.</w:t>
      </w:r>
    </w:p>
    <w:p w14:paraId="27BEBA8A" w14:textId="77777777" w:rsidR="00203927" w:rsidRDefault="00000000" w:rsidP="00324773">
      <w:pPr>
        <w:pStyle w:val="Pargrafonumerado"/>
        <w:numPr>
          <w:ilvl w:val="0"/>
          <w:numId w:val="6"/>
        </w:numPr>
        <w:spacing w:after="120"/>
        <w:ind w:left="0" w:firstLine="0"/>
      </w:pPr>
      <w:r>
        <w:rPr>
          <w:b/>
        </w:rPr>
        <w:t>Análise da equipe.</w:t>
      </w:r>
      <w:r>
        <w:t xml:space="preserve"> O argumento é substancialmente procedente quanto ao contexto material e foi acolhido no relatório para circunscrever a leitura das inconsistências de contato.</w:t>
      </w:r>
    </w:p>
    <w:p w14:paraId="5B07012B" w14:textId="77777777" w:rsidR="00203927" w:rsidRDefault="00000000" w:rsidP="00324773">
      <w:pPr>
        <w:pStyle w:val="Pargrafonumerado"/>
        <w:numPr>
          <w:ilvl w:val="0"/>
          <w:numId w:val="6"/>
        </w:numPr>
        <w:spacing w:after="120"/>
        <w:ind w:left="0" w:firstLine="0"/>
      </w:pPr>
      <w:r>
        <w:t xml:space="preserve">Quanto ao e-mail, o gestor demonstra, com dados do próprio cadastro e relatos da rede, que aproximadamente dois terços das pessoas inscritas no CAF possuem baixa escolaridade, que o uso de correio eletrônico pelo público rural é limitado e que a preferência recai sobre aplicativos de mensagem como o WhatsApp (peça 150, p. 49). Essa realidade levou o gestor a retirar a obrigatoriedade de declaração de e-mail no registro das </w:t>
      </w:r>
      <w:proofErr w:type="spellStart"/>
      <w:r>
        <w:t>UFPAs</w:t>
      </w:r>
      <w:proofErr w:type="spellEnd"/>
      <w:r>
        <w:t>, sem eliminar o campo (peça 150, p. 49). A decisão é coerente com o perfil do público.</w:t>
      </w:r>
    </w:p>
    <w:p w14:paraId="36C4C1F0" w14:textId="77777777" w:rsidR="00203927" w:rsidRDefault="00000000" w:rsidP="00324773">
      <w:pPr>
        <w:pStyle w:val="Pargrafonumerado"/>
        <w:numPr>
          <w:ilvl w:val="0"/>
          <w:numId w:val="6"/>
        </w:numPr>
        <w:spacing w:after="120"/>
        <w:ind w:left="0" w:firstLine="0"/>
      </w:pPr>
      <w:r>
        <w:t xml:space="preserve">Quanto ao CEP, o gestor apresenta dado relevante do Censo IBGE 2022: existem 1.469 municípios brasileiros com apenas um CEP — o chamado CEP genérico (terminação -000) —, em sua maioria municípios de pequeno porte das regiões Sul, Sudeste e Nordeste, que correspondem ao perfil de localização da maioria absoluta das </w:t>
      </w:r>
      <w:proofErr w:type="spellStart"/>
      <w:r>
        <w:t>UFPAs</w:t>
      </w:r>
      <w:proofErr w:type="spellEnd"/>
      <w:r>
        <w:t xml:space="preserve"> inscritas no CAF (peça 150, p. 49-50). A </w:t>
      </w:r>
      <w:r>
        <w:lastRenderedPageBreak/>
        <w:t>repetição de CEPs genéricos, portanto, decorre em grande medida da estrutura do endereçamento postal brasileiro, e não de falha no cadastramento.</w:t>
      </w:r>
    </w:p>
    <w:p w14:paraId="3550DC92" w14:textId="77777777" w:rsidR="00203927" w:rsidRDefault="00000000" w:rsidP="00324773">
      <w:pPr>
        <w:pStyle w:val="Pargrafonumerado"/>
        <w:numPr>
          <w:ilvl w:val="0"/>
          <w:numId w:val="6"/>
        </w:numPr>
        <w:spacing w:after="120"/>
        <w:ind w:left="0" w:firstLine="0"/>
      </w:pPr>
      <w:r>
        <w:t xml:space="preserve">Essas considerações não eliminam, porém, a pertinência do diagnóstico do Achado III no que se refere à capacidade de comunicação com os cadastrados. O problema documentado no relatório é funcional: independentemente da causa, a limitação na qualidade dos dados de contato reduz a capacidade do Estado de se comunicar com o público do CAF quando necessário. O próprio gestor reconhece esse desafio ao informar providências em curso — formação de mais de 10 mil agentes cadastradores da </w:t>
      </w:r>
      <w:proofErr w:type="spellStart"/>
      <w:r>
        <w:t>RedeCAF</w:t>
      </w:r>
      <w:proofErr w:type="spellEnd"/>
      <w:r>
        <w:t xml:space="preserve"> para 2026 e testes de comunicação via plataforma Gov.BR (peça 150, p. 50) —, o que confirma a conveniência de resposta institucional voltada ao aprimoramento dos canais de comunicação, ainda que adaptada à realidade do público rural.</w:t>
      </w:r>
    </w:p>
    <w:p w14:paraId="7A2A9258" w14:textId="77777777" w:rsidR="00203927" w:rsidRDefault="00000000">
      <w:pPr>
        <w:pStyle w:val="Ttulo2"/>
      </w:pPr>
      <w:r>
        <w:t xml:space="preserve">ARG-24 — Renda </w:t>
      </w:r>
      <w:proofErr w:type="spellStart"/>
      <w:r>
        <w:t>elevada</w:t>
      </w:r>
      <w:proofErr w:type="spellEnd"/>
      <w:r>
        <w:t xml:space="preserve"> </w:t>
      </w:r>
      <w:proofErr w:type="spellStart"/>
      <w:r>
        <w:t>como</w:t>
      </w:r>
      <w:proofErr w:type="spellEnd"/>
      <w:r>
        <w:t xml:space="preserve"> </w:t>
      </w:r>
      <w:proofErr w:type="spellStart"/>
      <w:r>
        <w:t>indício</w:t>
      </w:r>
      <w:proofErr w:type="spellEnd"/>
      <w:r>
        <w:t xml:space="preserve"> de </w:t>
      </w:r>
      <w:proofErr w:type="spellStart"/>
      <w:r>
        <w:t>risco</w:t>
      </w:r>
      <w:proofErr w:type="spellEnd"/>
      <w:r>
        <w:t xml:space="preserve">, </w:t>
      </w:r>
      <w:proofErr w:type="spellStart"/>
      <w:r>
        <w:t>não</w:t>
      </w:r>
      <w:proofErr w:type="spellEnd"/>
      <w:r>
        <w:t xml:space="preserve"> </w:t>
      </w:r>
      <w:proofErr w:type="spellStart"/>
      <w:r>
        <w:t>inadequação</w:t>
      </w:r>
      <w:proofErr w:type="spellEnd"/>
      <w:r>
        <w:t xml:space="preserve"> </w:t>
      </w:r>
      <w:proofErr w:type="spellStart"/>
      <w:r>
        <w:t>automática</w:t>
      </w:r>
      <w:proofErr w:type="spellEnd"/>
      <w:r>
        <w:t xml:space="preserve"> </w:t>
      </w:r>
      <w:proofErr w:type="spellStart"/>
      <w:r>
        <w:t>ao</w:t>
      </w:r>
      <w:proofErr w:type="spellEnd"/>
      <w:r>
        <w:t xml:space="preserve"> CAF</w:t>
      </w:r>
    </w:p>
    <w:p w14:paraId="07E41EFF" w14:textId="77777777" w:rsidR="00324773" w:rsidRDefault="00000000" w:rsidP="00324773">
      <w:pPr>
        <w:pStyle w:val="Pargrafonumerado"/>
        <w:numPr>
          <w:ilvl w:val="0"/>
          <w:numId w:val="6"/>
        </w:numPr>
        <w:spacing w:after="120"/>
        <w:ind w:left="0" w:firstLine="0"/>
      </w:pPr>
      <w:r>
        <w:t xml:space="preserve">O gestor sustenta que registros com renda acima de R$ 500 mil ou R$ 10 milhões não implicam, por si, inadequação ao CAF, porque a regulamentação do cadastro não estabelece teto geral de renda bruta familiar para fins de inscrição (peça 150, p. 10-11; peça 150, p. 50-51). A manifestação invoca o inciso III do art. 3° da Lei 11.326/2006, cujo requisito legal é que haja percentual mínimo de renda familiar originada de atividades econômicas do estabelecimento ou empreendimento, regulamentado pelo Decreto 9.064/2017 como ao menos metade da renda (peça 150, p. 50-51). </w:t>
      </w:r>
    </w:p>
    <w:p w14:paraId="4E3D3AD8" w14:textId="10402550" w:rsidR="00203927" w:rsidRDefault="00000000" w:rsidP="00324773">
      <w:pPr>
        <w:pStyle w:val="Pargrafonumerado"/>
        <w:numPr>
          <w:ilvl w:val="0"/>
          <w:numId w:val="6"/>
        </w:numPr>
        <w:spacing w:after="120"/>
        <w:ind w:left="0" w:firstLine="0"/>
      </w:pPr>
      <w:r>
        <w:t xml:space="preserve">O marco normativo do CAF disciplina, assim, a composição da renda, e não seu valor absoluto. O gestor acrescenta que os limites de renda são estabelecidos pelas políticas públicas específicas que utilizam o CAF como porta de entrada: no Pronaf, por exemplo, o teto de renda é aplicado pelo próprio CAF 3.0 por meio da regra de negócio RN 1.32, que filtra as </w:t>
      </w:r>
      <w:proofErr w:type="spellStart"/>
      <w:r>
        <w:t>UFPAs</w:t>
      </w:r>
      <w:proofErr w:type="spellEnd"/>
      <w:r>
        <w:t xml:space="preserve"> compartilhadas com as entidades executoras conforme enquadramento de renda (peça 150, p. 51). O argumento tensiona o tratamento de valores extremos de renda no relatório como evidência de falha de plausibilidade e de enquadramento, pretendendo distinguir outlier estatístico de descumprimento normativo automático: valores extremos podem funcionar como sinais de risco e indícios para verificação, mas não como prova direta de inadequação jurídica ao cadastro. A consequência pretendida é que o relatório trate renda elevada como indício de risco para monitoramento, não como conclusão de inelegibilidade.</w:t>
      </w:r>
    </w:p>
    <w:p w14:paraId="1E075A7F" w14:textId="77777777" w:rsidR="00203927" w:rsidRDefault="00000000" w:rsidP="00324773">
      <w:pPr>
        <w:pStyle w:val="Pargrafonumerado"/>
        <w:numPr>
          <w:ilvl w:val="0"/>
          <w:numId w:val="6"/>
        </w:numPr>
        <w:spacing w:after="120"/>
        <w:ind w:left="0" w:firstLine="0"/>
      </w:pPr>
      <w:r>
        <w:rPr>
          <w:b/>
        </w:rPr>
        <w:t>Análise da equipe.</w:t>
      </w:r>
      <w:r>
        <w:t xml:space="preserve"> O argumento é tecnicamente procedente quanto à moldura normativa e foi considerado na delimitação do relatório.</w:t>
      </w:r>
    </w:p>
    <w:p w14:paraId="1B276E70" w14:textId="77777777" w:rsidR="00203927" w:rsidRDefault="00000000" w:rsidP="00324773">
      <w:pPr>
        <w:pStyle w:val="Pargrafonumerado"/>
        <w:numPr>
          <w:ilvl w:val="0"/>
          <w:numId w:val="6"/>
        </w:numPr>
        <w:spacing w:after="120"/>
        <w:ind w:left="0" w:firstLine="0"/>
      </w:pPr>
      <w:r>
        <w:t xml:space="preserve">O gestor demonstra que a Lei 11.326/2006, no inciso III do art. 3°, não estabelece teto geral de renda bruta familiar para inscrição no CAF: o requisito legal é que haja percentual mínimo de renda familiar originada de atividades econômicas do estabelecimento ou empreendimento, regulamentado pelo Decreto 9.064/2017 como ao menos metade da renda (peça 150, p. 50-51). Ou seja, o marco normativo do CAF disciplina a composição da renda, e não seu valor absoluto. A existência de </w:t>
      </w:r>
      <w:proofErr w:type="spellStart"/>
      <w:r>
        <w:t>UFPAs</w:t>
      </w:r>
      <w:proofErr w:type="spellEnd"/>
      <w:r>
        <w:t xml:space="preserve"> com renda declarada acima de R$ 500 mil não constitui, por si, infração ao critério de inscrição no cadastro (peça 150, p. 51).</w:t>
      </w:r>
    </w:p>
    <w:p w14:paraId="52C49049" w14:textId="77777777" w:rsidR="00203927" w:rsidRDefault="00000000" w:rsidP="00324773">
      <w:pPr>
        <w:pStyle w:val="Pargrafonumerado"/>
        <w:numPr>
          <w:ilvl w:val="0"/>
          <w:numId w:val="6"/>
        </w:numPr>
        <w:spacing w:after="120"/>
        <w:ind w:left="0" w:firstLine="0"/>
      </w:pPr>
      <w:r>
        <w:t xml:space="preserve">O gestor acrescenta que os limites de renda são estabelecidos pelas políticas públicas específicas que utilizam o CAF como porta de entrada. No caso do Pronaf, por exemplo, o teto de renda é aplicado pelo próprio CAF 3.0 por meio da regra de negócio RN 1.32, que filtra as </w:t>
      </w:r>
      <w:proofErr w:type="spellStart"/>
      <w:r>
        <w:t>UFPAs</w:t>
      </w:r>
      <w:proofErr w:type="spellEnd"/>
      <w:r>
        <w:t xml:space="preserve"> </w:t>
      </w:r>
      <w:r>
        <w:lastRenderedPageBreak/>
        <w:t>compartilhadas com as entidades executoras do programa conforme o enquadramento de renda (peça 150, p. 51).</w:t>
      </w:r>
    </w:p>
    <w:p w14:paraId="59E012F0" w14:textId="77777777" w:rsidR="00203927" w:rsidRDefault="00000000" w:rsidP="00324773">
      <w:pPr>
        <w:pStyle w:val="Pargrafonumerado"/>
        <w:numPr>
          <w:ilvl w:val="0"/>
          <w:numId w:val="6"/>
        </w:numPr>
        <w:spacing w:after="120"/>
        <w:ind w:left="0" w:firstLine="0"/>
      </w:pPr>
      <w:r>
        <w:t>O argumento é, portanto, procedente no plano normativo: o relatório não pode tratar renda elevada como prova de inelegibilidade ao CAF, porque o marco legal não estabelece esse limite. A redação do relatório foi ajustada em conformidade com essa constatação. Os registros com valores extremos permanecem úteis como indícios que podem sinalizar erro de preenchimento, desatualização cadastral ou necessidade de verificação individual, mas o relatório trata esses registros nessa chave — monitoramento e curadoria —, sem convertê-los em conclusão automática de inadequação.</w:t>
      </w:r>
    </w:p>
    <w:p w14:paraId="044379E7" w14:textId="77777777" w:rsidR="00203927" w:rsidRDefault="00000000">
      <w:pPr>
        <w:pStyle w:val="Ttulo2"/>
      </w:pPr>
      <w:r>
        <w:t xml:space="preserve">ARG-25 — CNAE </w:t>
      </w:r>
      <w:proofErr w:type="spellStart"/>
      <w:r>
        <w:t>incompatível</w:t>
      </w:r>
      <w:proofErr w:type="spellEnd"/>
      <w:r>
        <w:t xml:space="preserve"> </w:t>
      </w:r>
      <w:proofErr w:type="spellStart"/>
      <w:r>
        <w:t>como</w:t>
      </w:r>
      <w:proofErr w:type="spellEnd"/>
      <w:r>
        <w:t xml:space="preserve"> </w:t>
      </w:r>
      <w:proofErr w:type="spellStart"/>
      <w:r>
        <w:t>triagem</w:t>
      </w:r>
      <w:proofErr w:type="spellEnd"/>
      <w:r>
        <w:t xml:space="preserve">, </w:t>
      </w:r>
      <w:proofErr w:type="spellStart"/>
      <w:r>
        <w:t>não</w:t>
      </w:r>
      <w:proofErr w:type="spellEnd"/>
      <w:r>
        <w:t xml:space="preserve"> </w:t>
      </w:r>
      <w:proofErr w:type="spellStart"/>
      <w:r>
        <w:t>exclusão</w:t>
      </w:r>
      <w:proofErr w:type="spellEnd"/>
      <w:r>
        <w:t xml:space="preserve"> </w:t>
      </w:r>
      <w:proofErr w:type="spellStart"/>
      <w:r>
        <w:t>autoexecutável</w:t>
      </w:r>
      <w:proofErr w:type="spellEnd"/>
    </w:p>
    <w:p w14:paraId="2C9E7B70" w14:textId="77777777" w:rsidR="00324773" w:rsidRDefault="00000000" w:rsidP="00324773">
      <w:pPr>
        <w:pStyle w:val="Pargrafonumerado"/>
        <w:numPr>
          <w:ilvl w:val="0"/>
          <w:numId w:val="6"/>
        </w:numPr>
        <w:spacing w:after="120"/>
        <w:ind w:left="0" w:firstLine="0"/>
      </w:pPr>
      <w:r>
        <w:t xml:space="preserve">O gestor sustenta que o CNAE incompatível deve ser lido como ferramenta de triagem e análise de risco, e não como critério exclusivo e autoexecutável de inelegibilidade (peça 150, p. 51-52; peça 150, p. 56). A manifestação ressalta que a leitura de vínculos de pessoa jurídica exige mediação adicional e que a Seção A da CNAE (Agricultura, Pecuária, Produção Florestal, Pesca e Aquicultura) não esgota o universo normativo da agricultura familiar. Invoca o inciso VI do art. 2° do Decreto 9.064/2017, segundo o qual o empreendimento familiar rural pode ter como finalidade a produção, beneficiamento, processamento ou comercialização de produtos agropecuários, ou ainda a prestação de serviços de turismo rural (peça 150, p. 52). </w:t>
      </w:r>
    </w:p>
    <w:p w14:paraId="2BA837EF" w14:textId="24640848" w:rsidR="00203927" w:rsidRDefault="00000000" w:rsidP="00324773">
      <w:pPr>
        <w:pStyle w:val="Pargrafonumerado"/>
        <w:numPr>
          <w:ilvl w:val="0"/>
          <w:numId w:val="6"/>
        </w:numPr>
        <w:spacing w:after="120"/>
        <w:ind w:left="0" w:firstLine="0"/>
      </w:pPr>
      <w:r>
        <w:t xml:space="preserve">Isso significa que atividades em outras seções da CNAE podem ser compatíveis com a agricultura familiar, de modo que o CNAE deveria funcionar como ferramenta auxiliar de triagem, não como filtro determinístico de exclusão. O gestor reconhece, contudo, que ramos manifestamente incompatíveis — como hipermercados, atacadistas ou construtoras — destoam frontalmente das finalidades próprias da agricultura familiar e justificam verificação individualizada (peça 150, p. 52). O argumento tensiona a utilização de </w:t>
      </w:r>
      <w:proofErr w:type="spellStart"/>
      <w:r>
        <w:t>CNAEs</w:t>
      </w:r>
      <w:proofErr w:type="spellEnd"/>
      <w:r>
        <w:t xml:space="preserve"> incompatíveis como critério de inelegibilidade no relatório e pretende que o CNAE seja tratado como ferramenta auxiliar de triagem, não como filtro determinístico de exclusão.</w:t>
      </w:r>
    </w:p>
    <w:p w14:paraId="6F769B52" w14:textId="77777777" w:rsidR="00203927" w:rsidRDefault="00000000" w:rsidP="00324773">
      <w:pPr>
        <w:pStyle w:val="Pargrafonumerado"/>
        <w:numPr>
          <w:ilvl w:val="0"/>
          <w:numId w:val="6"/>
        </w:numPr>
        <w:spacing w:after="120"/>
        <w:ind w:left="0" w:firstLine="0"/>
      </w:pPr>
      <w:r>
        <w:rPr>
          <w:b/>
        </w:rPr>
        <w:t>Análise da equipe.</w:t>
      </w:r>
      <w:r>
        <w:t xml:space="preserve"> O argumento é parcialmente procedente e contribui para circunscrever a leitura do indicador. O gestor demonstra que o resultado da auditoria acusou apenas 39 inscrições de pessoa jurídica com CNAE principal incompatível com a agricultura familiar, considerando como única seção plenamente compatível a Seção A da CNAE (Agricultura, Pecuária, Produção Florestal, Pesca e Aquicultura) (peça 150, p. 51-52).</w:t>
      </w:r>
    </w:p>
    <w:p w14:paraId="34318E47" w14:textId="77777777" w:rsidR="00203927" w:rsidRDefault="00000000" w:rsidP="00324773">
      <w:pPr>
        <w:pStyle w:val="Pargrafonumerado"/>
        <w:numPr>
          <w:ilvl w:val="0"/>
          <w:numId w:val="6"/>
        </w:numPr>
        <w:spacing w:after="120"/>
        <w:ind w:left="0" w:firstLine="0"/>
      </w:pPr>
      <w:r>
        <w:t>Sobre esse ponto, o gestor faz observação normativamente relevante: o Decreto 9.064/2017, no inciso VI do art. 2°, estabelece que o empreendimento familiar rural pode ter como finalidade a produção, beneficiamento, processamento ou comercialização de produtos agropecuários, ou ainda a prestação de serviços de turismo rural (peça 150, p. 52). Isso significa que a Seção A da CNAE não é a única seção com atividades potencialmente compatíveis com a agricultura familiar, de modo que o CNAE deve funcionar como ferramenta auxiliar de triagem e análise de risco, e não como critério exclusivo e autoexecutável de inelegibilidade (peça 150, p. 52).</w:t>
      </w:r>
    </w:p>
    <w:p w14:paraId="6C2C0C70" w14:textId="77777777" w:rsidR="00203927" w:rsidRDefault="00000000" w:rsidP="00324773">
      <w:pPr>
        <w:pStyle w:val="Pargrafonumerado"/>
        <w:numPr>
          <w:ilvl w:val="0"/>
          <w:numId w:val="6"/>
        </w:numPr>
        <w:spacing w:after="120"/>
        <w:ind w:left="0" w:firstLine="0"/>
      </w:pPr>
      <w:r>
        <w:t xml:space="preserve">O argumento é procedente. A ausência de rol taxativo de atividades econômicas compatíveis na legislação impede que o CNAE seja utilizado como filtro determinístico de exclusão, e o relatório foi ajustado para refletir essa limitação. A existência de </w:t>
      </w:r>
      <w:proofErr w:type="spellStart"/>
      <w:r>
        <w:t>CNAEs</w:t>
      </w:r>
      <w:proofErr w:type="spellEnd"/>
      <w:r>
        <w:t xml:space="preserve"> </w:t>
      </w:r>
      <w:r>
        <w:lastRenderedPageBreak/>
        <w:t>manifestamente incompatíveis — como hipermercados, atacadistas ou construtoras — permanece válida como indício que justifica verificação individualizada, como o próprio gestor reconhece ao afirmar que esses ramos destoam frontalmente das finalidades próprias da agricultura familiar (peça 150, p. 52). Nesse ponto, equipe e gestor convergem: o CNAE opera como ferramenta auxiliar de triagem e curadoria, não como critério autoexecutável de inelegibilidade.</w:t>
      </w:r>
    </w:p>
    <w:p w14:paraId="70E60BF0" w14:textId="77777777" w:rsidR="00203927" w:rsidRDefault="00000000">
      <w:pPr>
        <w:pStyle w:val="Ttulo2"/>
      </w:pPr>
      <w:r>
        <w:t xml:space="preserve">ARG-26 — </w:t>
      </w:r>
      <w:proofErr w:type="spellStart"/>
      <w:r>
        <w:t>Redelimitação</w:t>
      </w:r>
      <w:proofErr w:type="spellEnd"/>
      <w:r>
        <w:t xml:space="preserve"> das </w:t>
      </w:r>
      <w:proofErr w:type="spellStart"/>
      <w:r>
        <w:t>causas</w:t>
      </w:r>
      <w:proofErr w:type="spellEnd"/>
      <w:r>
        <w:t xml:space="preserve"> e do </w:t>
      </w:r>
      <w:proofErr w:type="spellStart"/>
      <w:r>
        <w:t>encaminhamento</w:t>
      </w:r>
      <w:proofErr w:type="spellEnd"/>
      <w:r>
        <w:t xml:space="preserve"> do </w:t>
      </w:r>
      <w:proofErr w:type="spellStart"/>
      <w:r>
        <w:t>Achado</w:t>
      </w:r>
      <w:proofErr w:type="spellEnd"/>
      <w:r>
        <w:t xml:space="preserve"> III</w:t>
      </w:r>
    </w:p>
    <w:p w14:paraId="3F84FD6C" w14:textId="77777777" w:rsidR="00324773" w:rsidRDefault="00000000" w:rsidP="00324773">
      <w:pPr>
        <w:pStyle w:val="Pargrafonumerado"/>
        <w:numPr>
          <w:ilvl w:val="0"/>
          <w:numId w:val="6"/>
        </w:numPr>
        <w:spacing w:after="120"/>
        <w:ind w:left="0" w:firstLine="0"/>
      </w:pPr>
      <w:r>
        <w:t xml:space="preserve">O gestor sustenta que as causas do Achado III devem ser recalibradas, rejeitando a leitura de permissividade estrutural como eixo causal principal (peça 150, p. 52-53). A manifestação afirma que o mais correto é afirmar que as operações de saneamento são insuficientes, deslocando o foco de desenho permissivo para insuficiência relativa de saneamento, curadoria e controles </w:t>
      </w:r>
      <w:proofErr w:type="spellStart"/>
      <w:r>
        <w:t>ex</w:t>
      </w:r>
      <w:proofErr w:type="spellEnd"/>
      <w:r>
        <w:t xml:space="preserve"> post. </w:t>
      </w:r>
    </w:p>
    <w:p w14:paraId="4464DB91" w14:textId="06E5F8C3" w:rsidR="00203927" w:rsidRDefault="00000000" w:rsidP="00324773">
      <w:pPr>
        <w:pStyle w:val="Pargrafonumerado"/>
        <w:numPr>
          <w:ilvl w:val="0"/>
          <w:numId w:val="6"/>
        </w:numPr>
        <w:spacing w:after="120"/>
        <w:ind w:left="0" w:firstLine="0"/>
      </w:pPr>
      <w:r>
        <w:t>No plano dos encaminhamentos, o gestor defende que o tratamento correspondente seja substituído por abordagem seletiva, proporcional e baseada em risco, distinguindo situações de maior gravidade — como identidade e capacidade civil — de blocos como renda, e-mail e CEP (peça 150, p. 55; peça 150, p. 68-69; peça 150, p. 72-73). Sustenta que o risco mais diretamente verificável não é o de desvio automático de recursos, mas o de aumento do custo operacional e da complexidade de controle para gestores e executores das políticas (peça 150, p. 54). Quanto à recomendação, avalia que ela pode ser acolhida em grande medida, especialmente nos aspectos prospectivos e estruturantes (peça 150, p. 69). O argumento atinge, ao mesmo tempo, a explicação causal do achado e a modelagem dos encaminhamentos propostos para enfrentá-lo.</w:t>
      </w:r>
    </w:p>
    <w:p w14:paraId="6C481A5F" w14:textId="77777777" w:rsidR="00203927" w:rsidRDefault="00000000" w:rsidP="00324773">
      <w:pPr>
        <w:pStyle w:val="Pargrafonumerado"/>
        <w:numPr>
          <w:ilvl w:val="0"/>
          <w:numId w:val="6"/>
        </w:numPr>
        <w:spacing w:after="120"/>
        <w:ind w:left="0" w:firstLine="0"/>
      </w:pPr>
      <w:r>
        <w:rPr>
          <w:b/>
        </w:rPr>
        <w:t>Análise da equipe.</w:t>
      </w:r>
      <w:r>
        <w:t xml:space="preserve"> O argumento é substantivo e foi acolhido na formulação dos encaminhamentos do Achado III no relatório.</w:t>
      </w:r>
    </w:p>
    <w:p w14:paraId="2528A068" w14:textId="77777777" w:rsidR="00203927" w:rsidRDefault="00000000" w:rsidP="00324773">
      <w:pPr>
        <w:pStyle w:val="Pargrafonumerado"/>
        <w:numPr>
          <w:ilvl w:val="0"/>
          <w:numId w:val="6"/>
        </w:numPr>
        <w:spacing w:after="120"/>
        <w:ind w:left="0" w:firstLine="0"/>
      </w:pPr>
      <w:r>
        <w:t>No plano das causas, a manifestação do gestor opera de forma diferenciada. Quanto à causa raiz 1 (desenho processual permissivo), o gestor contesta a formulação por considerá-la desproporcional ao real desenho processual do CAF, que envolve não apenas controles sistêmicos, mas também a atuação da Rede CAF na entrada dos dados e os processos de monitoramento ativo (peça 150, p. 52). Quanto à causa raiz 4 (insuficiência de governança de dados), contudo, o gestor concorda expressamente com o entendimento da equipe de auditoria, sugerindo apenas que a insuficiência seja relacionada ao processo de maturação e implementação da política de governança de dados do próprio órgão (peça 150, p. 53). Registre-se que essa concordância expressa do gestor com a insuficiência na formalização da política de governança de dados preserva a sustentação central do achado e reforça a pertinência de resposta institucional.</w:t>
      </w:r>
    </w:p>
    <w:p w14:paraId="229E6CDB" w14:textId="77777777" w:rsidR="00203927" w:rsidRDefault="00000000" w:rsidP="00324773">
      <w:pPr>
        <w:pStyle w:val="Pargrafonumerado"/>
        <w:numPr>
          <w:ilvl w:val="0"/>
          <w:numId w:val="6"/>
        </w:numPr>
        <w:spacing w:after="120"/>
        <w:ind w:left="0" w:firstLine="0"/>
      </w:pPr>
      <w:r>
        <w:t xml:space="preserve">No plano dos riscos, o gestor apresenta </w:t>
      </w:r>
      <w:proofErr w:type="spellStart"/>
      <w:r>
        <w:t>redelimitação</w:t>
      </w:r>
      <w:proofErr w:type="spellEnd"/>
      <w:r>
        <w:t xml:space="preserve"> que merece acolhimento parcial. Argumenta que o risco mais diretamente verificável não é o de desvio automático de recursos — pois o CAF é condição necessária, mas não suficiente, para acesso às políticas públicas —, e sim o de aumento do custo operacional e da complexidade de controle para gestores e executores das políticas (peça 150, p. 54). Essa formulação é mais precisa e compatível com a natureza operacional da auditoria. O gestor também pondera que os riscos relativos à capacidade civil, embora graves qualitativamente, envolvem materialidade reduzida e representam principalmente risco operacional (peça 150, p. 54-55).</w:t>
      </w:r>
    </w:p>
    <w:p w14:paraId="32C2D471" w14:textId="77777777" w:rsidR="00203927" w:rsidRDefault="00000000" w:rsidP="00324773">
      <w:pPr>
        <w:pStyle w:val="Pargrafonumerado"/>
        <w:numPr>
          <w:ilvl w:val="0"/>
          <w:numId w:val="6"/>
        </w:numPr>
        <w:spacing w:after="120"/>
        <w:ind w:left="0" w:firstLine="0"/>
      </w:pPr>
      <w:r>
        <w:lastRenderedPageBreak/>
        <w:t>No plano dos encaminhamentos, o gestor considera que a determinação, tal como proposta, induz leitura de saneamento massivo e indiferenciado, sem distinguir materialidade, criticidade e natureza das inconsistências (peça 150, p. 55). Propõe abordagem seletiva e baseada em risco, com distinção entre ocorrências de alta criticidade material (capacidade civil, óbitos) e situações que demandam apenas aperfeiçoamento de regras de negócio ou exclusão de dados acessórios sem materialidade cadastral (peça 150, p. 68). Quanto à recomendação, o gestor avalia que ela pode ser acolhida em grande medida, especialmente nos aspectos prospectivos e estruturantes, e informa que a incorporará à estruturação do plano de ação (peça 150, p. 69).</w:t>
      </w:r>
    </w:p>
    <w:p w14:paraId="775CC671" w14:textId="77777777" w:rsidR="00203927" w:rsidRDefault="00000000" w:rsidP="00324773">
      <w:pPr>
        <w:pStyle w:val="Pargrafonumerado"/>
        <w:numPr>
          <w:ilvl w:val="0"/>
          <w:numId w:val="6"/>
        </w:numPr>
        <w:spacing w:after="120"/>
        <w:ind w:left="0" w:firstLine="0"/>
      </w:pPr>
      <w:r>
        <w:t>A consequência prática para o relatório é de ajuste da proporcionalidade: preservar a necessidade de resposta institucional, com encaminhamentos menos prescritivos e maior ênfase no resultado a alcançar, e assegurar que a implementação observe critérios de risco, materialidade e proporcionalidade, evitando automatismos que possam gerar falsos positivos ou efeitos regressivos sobre beneficiários legítimos.</w:t>
      </w:r>
    </w:p>
    <w:p w14:paraId="3D35E39F" w14:textId="77777777" w:rsidR="00203927" w:rsidRDefault="00000000">
      <w:pPr>
        <w:pStyle w:val="Ttulo2"/>
      </w:pPr>
      <w:r>
        <w:t xml:space="preserve">ARG-27 — </w:t>
      </w:r>
      <w:proofErr w:type="spellStart"/>
      <w:r>
        <w:t>Achado</w:t>
      </w:r>
      <w:proofErr w:type="spellEnd"/>
      <w:r>
        <w:t xml:space="preserve"> IV </w:t>
      </w:r>
      <w:proofErr w:type="spellStart"/>
      <w:r>
        <w:t>sem</w:t>
      </w:r>
      <w:proofErr w:type="spellEnd"/>
      <w:r>
        <w:t xml:space="preserve"> </w:t>
      </w:r>
      <w:proofErr w:type="spellStart"/>
      <w:r>
        <w:t>vazio</w:t>
      </w:r>
      <w:proofErr w:type="spellEnd"/>
      <w:r>
        <w:t xml:space="preserve"> </w:t>
      </w:r>
      <w:proofErr w:type="spellStart"/>
      <w:r>
        <w:t>absoluto</w:t>
      </w:r>
      <w:proofErr w:type="spellEnd"/>
      <w:r>
        <w:t xml:space="preserve"> de </w:t>
      </w:r>
      <w:proofErr w:type="spellStart"/>
      <w:r>
        <w:t>documentação</w:t>
      </w:r>
      <w:proofErr w:type="spellEnd"/>
    </w:p>
    <w:p w14:paraId="576A2D4B" w14:textId="77777777" w:rsidR="00203927" w:rsidRDefault="00000000" w:rsidP="00324773">
      <w:pPr>
        <w:pStyle w:val="Pargrafonumerado"/>
        <w:numPr>
          <w:ilvl w:val="0"/>
          <w:numId w:val="6"/>
        </w:numPr>
        <w:spacing w:after="120"/>
        <w:ind w:left="0" w:firstLine="0"/>
      </w:pPr>
      <w:r>
        <w:t>O gestor sustenta que o Achado IV é relevante, mas não revela vazio absoluto de documentação, porque o próprio relatório teria reconhecido cobertura integral das 95 tabelas efetivamente em uso (peça 150, p. 56-57; peça 150, p. 64). A manifestação afirma que não se está diante de inexistência absoluta de documentação, invocando a existência de dicionário de dados com cobertura integral e de Documento de Regras de Negócio com definições semânticas relevantes (peça 78) (peça 150, p. 57). O objetivo é evitar que o achado seja compreendido como denúncia de ausência integral de acervo documental, preservando a distinção entre existência de documentação básica e deficiência qualitativa de metadados.</w:t>
      </w:r>
    </w:p>
    <w:p w14:paraId="1F586A9E" w14:textId="77777777" w:rsidR="00203927" w:rsidRDefault="00000000" w:rsidP="00324773">
      <w:pPr>
        <w:pStyle w:val="Pargrafonumerado"/>
        <w:numPr>
          <w:ilvl w:val="0"/>
          <w:numId w:val="6"/>
        </w:numPr>
        <w:spacing w:after="120"/>
        <w:ind w:left="0" w:firstLine="0"/>
      </w:pPr>
      <w:r>
        <w:rPr>
          <w:b/>
        </w:rPr>
        <w:t>Análise da equipe.</w:t>
      </w:r>
      <w:r>
        <w:t xml:space="preserve"> O argumento é procedente e foi incorporado à delimitação do Achado IV — Maturidade incipiente na gestão de metadados do CAF limita a documentação semântica dos dados, reduzindo a rastreabilidade e a auditabilidade do cadastro no relatório. O gestor demonstra que o CAF já dispõe de dicionário de dados com cobertura integral das 95 tabelas efetivamente em uso, bem como de Documento de Regras de Negócio com definições semânticas relevantes (peça 78 — Regras de Negócio do CAF) (peça 150, p. 57). Esses elementos comprovam que não se trata de vazio absoluto de documentação, mas de insuficiência qualitativa na documentação existente — exatamente a distinção que o achado precisa preservar.</w:t>
      </w:r>
    </w:p>
    <w:p w14:paraId="1DFEF71B" w14:textId="77777777" w:rsidR="00203927" w:rsidRDefault="00000000" w:rsidP="00324773">
      <w:pPr>
        <w:pStyle w:val="Pargrafonumerado"/>
        <w:numPr>
          <w:ilvl w:val="0"/>
          <w:numId w:val="6"/>
        </w:numPr>
        <w:spacing w:after="120"/>
        <w:ind w:left="0" w:firstLine="0"/>
      </w:pPr>
      <w:r>
        <w:t xml:space="preserve">O próprio relatório reconhece, como aspecto positivo, a existência dessa infraestrutura básica de documentação (peça 150, p. 57). O diagnóstico documentado recai sobre três dimensões qualitativas específicas: 94,1% das descrições existentes são semanticamente inadequadas; 84% dos campos numéricos não especificam unidade de medida; e 92% dos campos temporais são ambíguos quanto ao evento de negócio que registram (peça 150, p. 56-57). O próprio dicionário de dados fornecido pelo gestor (peça 75) ilustra essas fragilidades: descrições de campos seguem padrão tautológico que repete o nome técnico sem acrescentar contexto de negócio (ex.: </w:t>
      </w:r>
      <w:proofErr w:type="spellStart"/>
      <w:r>
        <w:t>id_area_imovel</w:t>
      </w:r>
      <w:proofErr w:type="spellEnd"/>
      <w:r>
        <w:t xml:space="preserve"> descrito como "ID de identificação de área imóvel"), e campos críticos como </w:t>
      </w:r>
      <w:proofErr w:type="spellStart"/>
      <w:r>
        <w:t>nr_area</w:t>
      </w:r>
      <w:proofErr w:type="spellEnd"/>
      <w:r>
        <w:t xml:space="preserve"> e coordenadas geográficas (</w:t>
      </w:r>
      <w:proofErr w:type="spellStart"/>
      <w:r>
        <w:t>nr_latitude</w:t>
      </w:r>
      <w:proofErr w:type="spellEnd"/>
      <w:r>
        <w:t xml:space="preserve">, </w:t>
      </w:r>
      <w:proofErr w:type="spellStart"/>
      <w:r>
        <w:t>nr_longitude</w:t>
      </w:r>
      <w:proofErr w:type="spellEnd"/>
      <w:r>
        <w:t>) não especificam unidade de medida nem sistema geodésico de referência.</w:t>
      </w:r>
    </w:p>
    <w:p w14:paraId="595A9A21" w14:textId="77777777" w:rsidR="00203927" w:rsidRDefault="00000000" w:rsidP="00324773">
      <w:pPr>
        <w:pStyle w:val="Pargrafonumerado"/>
        <w:numPr>
          <w:ilvl w:val="0"/>
          <w:numId w:val="6"/>
        </w:numPr>
        <w:spacing w:after="120"/>
        <w:ind w:left="0" w:firstLine="0"/>
      </w:pPr>
      <w:r>
        <w:t xml:space="preserve">A contribuição do argumento é, portanto, de precisão conceitual: o título e a narrativa do achado devem deixar claro que o problema documentado é de maturidade incipiente na gestão </w:t>
      </w:r>
      <w:r>
        <w:lastRenderedPageBreak/>
        <w:t xml:space="preserve">de metadados — formulação adotada no relatório —, e não de inexistência institucional. Essa distinção preserva a sustentação do achado sem </w:t>
      </w:r>
      <w:proofErr w:type="spellStart"/>
      <w:r>
        <w:t>sobredimensionar</w:t>
      </w:r>
      <w:proofErr w:type="spellEnd"/>
      <w:r>
        <w:t xml:space="preserve"> a lacuna. A esse respeito, o DAMA-DMBOK v2 registra que metadados são o principal meio de esclarecer as expectativas de qualidade de dados: sem definições formalizadas, a organização não tem como medir nem gerenciar a qualidade de seus dados (peça 86, p. 13). Registre-se, ainda, que o Acórdão 457/2026-Plenário (Rel. Min. Augusto Nardes, unanimidade) utilizou expressamente o DAMA-DMBOK2 como critério para avaliar a maturidade de governança de dados em órgãos federais, tendo identificado, em três dos cinco órgãos auditados, fragilidades análogas às documentadas no Achado IV: inexistência de catálogo de dados, informações limitadas sobre metadados e glossário de termos do negócio insuficiente. Esse precedente reforça a pertinência do diagnóstico e a conveniência de resposta institucional voltada ao aprimoramento do dicionário de dados, com priorização por criticidade e integração ao ciclo de evolução do sistema.</w:t>
      </w:r>
    </w:p>
    <w:p w14:paraId="03D7BD3B" w14:textId="77777777" w:rsidR="00203927" w:rsidRDefault="00000000">
      <w:pPr>
        <w:pStyle w:val="Ttulo2"/>
      </w:pPr>
      <w:r>
        <w:t xml:space="preserve">ARG-28 — </w:t>
      </w:r>
      <w:proofErr w:type="spellStart"/>
      <w:r>
        <w:t>Problema</w:t>
      </w:r>
      <w:proofErr w:type="spellEnd"/>
      <w:r>
        <w:t xml:space="preserve"> </w:t>
      </w:r>
      <w:proofErr w:type="spellStart"/>
      <w:r>
        <w:t>qualitativo</w:t>
      </w:r>
      <w:proofErr w:type="spellEnd"/>
      <w:r>
        <w:t xml:space="preserve"> de </w:t>
      </w:r>
      <w:proofErr w:type="spellStart"/>
      <w:r>
        <w:t>metadados</w:t>
      </w:r>
      <w:proofErr w:type="spellEnd"/>
      <w:r>
        <w:t xml:space="preserve">, </w:t>
      </w:r>
      <w:proofErr w:type="spellStart"/>
      <w:r>
        <w:t>não</w:t>
      </w:r>
      <w:proofErr w:type="spellEnd"/>
      <w:r>
        <w:t xml:space="preserve"> </w:t>
      </w:r>
      <w:proofErr w:type="spellStart"/>
      <w:r>
        <w:t>inexistência</w:t>
      </w:r>
      <w:proofErr w:type="spellEnd"/>
      <w:r>
        <w:t xml:space="preserve"> </w:t>
      </w:r>
      <w:proofErr w:type="spellStart"/>
      <w:r>
        <w:t>estrutural</w:t>
      </w:r>
      <w:proofErr w:type="spellEnd"/>
      <w:r>
        <w:t xml:space="preserve"> de </w:t>
      </w:r>
      <w:proofErr w:type="spellStart"/>
      <w:r>
        <w:t>governança</w:t>
      </w:r>
      <w:proofErr w:type="spellEnd"/>
    </w:p>
    <w:p w14:paraId="068340BA" w14:textId="77777777" w:rsidR="00203927" w:rsidRDefault="00000000" w:rsidP="00324773">
      <w:pPr>
        <w:pStyle w:val="Pargrafonumerado"/>
        <w:numPr>
          <w:ilvl w:val="0"/>
          <w:numId w:val="6"/>
        </w:numPr>
        <w:spacing w:after="120"/>
        <w:ind w:left="0" w:firstLine="0"/>
      </w:pPr>
      <w:r>
        <w:t xml:space="preserve">O gestor sustenta que o núcleo do Achado IV é de insuficiência qualitativa e de maturidade em metadados, e não de ausência estrutural de governança (peça 150, p. 57-60). A manifestação afirma que o que o relatório efetivamente demonstra é deficiência qualitativa na gestão e na documentação de metadados, e não vazio institucional absoluto. Para cada causa apontada no relatório, o gestor apresenta ponderação contextualizada: quanto à ausência de processo de gestão de metadados, reconhece parcialmente a necessidade de institucionalização, mas pondera que já existe infraestrutura documental e que o problema é de maturidade e integração (peça 150, p. 58); quanto à ausência de cultura de data </w:t>
      </w:r>
      <w:proofErr w:type="spellStart"/>
      <w:r>
        <w:t>literacy</w:t>
      </w:r>
      <w:proofErr w:type="spellEnd"/>
      <w:r>
        <w:t>, trata como necessidade de aprofundamento institucional, apontando que a transição tecnológica com a Dataprev tende a favorecer a consolidação dessas práticas (peça 150, p. 58-59); quanto às causas contributivas — documentação post-mortem, ferramentas inadequadas, legado histórico sem revisão —, reconhece todas como pertinentes, qualificando-as como passivo documental e dívida técnica acumulados sob pressão operacional, e não como omissão deliberada (peça 150, p. 59-60). O argumento pretende reposicionar o achado em termos de maturidade e evolução institucional, e não como constatação binária de inexistência versus existência.</w:t>
      </w:r>
    </w:p>
    <w:p w14:paraId="7456CD33" w14:textId="77777777" w:rsidR="00203927" w:rsidRDefault="00000000" w:rsidP="00324773">
      <w:pPr>
        <w:pStyle w:val="Pargrafonumerado"/>
        <w:numPr>
          <w:ilvl w:val="0"/>
          <w:numId w:val="6"/>
        </w:numPr>
        <w:spacing w:after="120"/>
        <w:ind w:left="0" w:firstLine="0"/>
      </w:pPr>
      <w:r>
        <w:rPr>
          <w:b/>
        </w:rPr>
        <w:t>Análise da equipe.</w:t>
      </w:r>
      <w:r>
        <w:t xml:space="preserve"> O argumento aprofunda a delimitação conceitual iniciada no ARG-27 e contribui diretamente para contextualizar o achado do Achado IV no relatório.</w:t>
      </w:r>
    </w:p>
    <w:p w14:paraId="410B0F1E" w14:textId="77777777" w:rsidR="00203927" w:rsidRDefault="00000000" w:rsidP="00324773">
      <w:pPr>
        <w:pStyle w:val="Pargrafonumerado"/>
        <w:numPr>
          <w:ilvl w:val="0"/>
          <w:numId w:val="6"/>
        </w:numPr>
        <w:spacing w:after="120"/>
        <w:ind w:left="0" w:firstLine="0"/>
      </w:pPr>
      <w:r>
        <w:t>O gestor sustenta que o diagnóstico do TCU deve ser lido como deficiência qualitativa na documentação semântica e na gestão de metadados, e não como vazio estrutural completo de governança (peça 150, p. 57-60). Para cada causa apontada no relatório, apresenta ponderação contextualizada:</w:t>
      </w:r>
    </w:p>
    <w:p w14:paraId="604FD9D3" w14:textId="77777777" w:rsidR="00203927" w:rsidRDefault="00000000" w:rsidP="00324773">
      <w:pPr>
        <w:pStyle w:val="Pargrafonumerado"/>
        <w:numPr>
          <w:ilvl w:val="1"/>
          <w:numId w:val="6"/>
        </w:numPr>
        <w:spacing w:after="120"/>
        <w:ind w:left="0" w:firstLine="0"/>
      </w:pPr>
      <w:r>
        <w:t xml:space="preserve">- </w:t>
      </w:r>
      <w:proofErr w:type="gramStart"/>
      <w:r>
        <w:t>quanto</w:t>
      </w:r>
      <w:proofErr w:type="gramEnd"/>
      <w:r>
        <w:t xml:space="preserve"> à causa raiz 1 (ausência de processo de gestão de metadados), reconhece parcialmente a necessidade de institucionalização mais robusta, mas pondera que já existe infraestrutura documental e conhecimento de negócio, sendo o problema de maturidade e integração (peça 150, p. 58);</w:t>
      </w:r>
    </w:p>
    <w:p w14:paraId="72644B04" w14:textId="77777777" w:rsidR="00203927" w:rsidRDefault="00000000" w:rsidP="00324773">
      <w:pPr>
        <w:pStyle w:val="Pargrafonumerado"/>
        <w:numPr>
          <w:ilvl w:val="1"/>
          <w:numId w:val="6"/>
        </w:numPr>
        <w:spacing w:after="120"/>
        <w:ind w:left="0" w:firstLine="0"/>
      </w:pPr>
      <w:r>
        <w:t xml:space="preserve">- </w:t>
      </w:r>
      <w:proofErr w:type="gramStart"/>
      <w:r>
        <w:t>quanto</w:t>
      </w:r>
      <w:proofErr w:type="gramEnd"/>
      <w:r>
        <w:t xml:space="preserve"> à causa raiz 2 (ausência de cultura de </w:t>
      </w:r>
      <w:r>
        <w:rPr>
          <w:i/>
        </w:rPr>
        <w:t xml:space="preserve">data </w:t>
      </w:r>
      <w:proofErr w:type="spellStart"/>
      <w:r>
        <w:rPr>
          <w:i/>
        </w:rPr>
        <w:t>literacy</w:t>
      </w:r>
      <w:proofErr w:type="spellEnd"/>
      <w:r>
        <w:t>), trata-a como sinal de necessidade de aprofundamento institucional, apontando que a transição tecnológica em curso com a Dataprev tende a favorecer a consolidação dessas práticas (peça 150, p. 58-59);</w:t>
      </w:r>
    </w:p>
    <w:p w14:paraId="0C9ED0B7" w14:textId="77777777" w:rsidR="00203927" w:rsidRDefault="00000000" w:rsidP="00324773">
      <w:pPr>
        <w:pStyle w:val="Pargrafonumerado"/>
        <w:numPr>
          <w:ilvl w:val="1"/>
          <w:numId w:val="6"/>
        </w:numPr>
        <w:spacing w:after="120"/>
        <w:ind w:left="0" w:firstLine="0"/>
      </w:pPr>
      <w:r>
        <w:lastRenderedPageBreak/>
        <w:t xml:space="preserve">- </w:t>
      </w:r>
      <w:proofErr w:type="gramStart"/>
      <w:r>
        <w:t>quanto</w:t>
      </w:r>
      <w:proofErr w:type="gramEnd"/>
      <w:r>
        <w:t xml:space="preserve"> às causas contributivas (documentação </w:t>
      </w:r>
      <w:r>
        <w:rPr>
          <w:i/>
        </w:rPr>
        <w:t>post-mortem</w:t>
      </w:r>
      <w:r>
        <w:t>, ferramentas inadequadas, legado histórico sem revisão, falta de integração entre equipes técnicas e de negócio), reconhece todas como pertinentes, qualificando-as como passivo documental e dívida técnica acumulados sob pressão operacional, e não como omissão deliberada (peça 150, p. 59-60).</w:t>
      </w:r>
    </w:p>
    <w:p w14:paraId="43B9C47D" w14:textId="77777777" w:rsidR="00203927" w:rsidRDefault="00000000" w:rsidP="00324773">
      <w:pPr>
        <w:pStyle w:val="Pargrafonumerado"/>
        <w:numPr>
          <w:ilvl w:val="0"/>
          <w:numId w:val="6"/>
        </w:numPr>
        <w:spacing w:after="120"/>
        <w:ind w:left="0" w:firstLine="0"/>
      </w:pPr>
      <w:r>
        <w:t>Quanto aos riscos, o gestor aceita os quatro riscos apontados pelo TCU — comprometimento da rastreabilidade, dependência de conhecimento tácito, amplificação dos problemas dos demais achados e dificuldade de manutenção evolutiva —, em cada caso ponderando que se trata de risco ligado à governança documental e semântica, não equivalente a invalidação dos registros cadastrais ou inexistência de controles (peça 150, p. 60).</w:t>
      </w:r>
    </w:p>
    <w:p w14:paraId="48B3B83E" w14:textId="77777777" w:rsidR="00203927" w:rsidRDefault="00000000" w:rsidP="00324773">
      <w:pPr>
        <w:pStyle w:val="Pargrafonumerado"/>
        <w:numPr>
          <w:ilvl w:val="0"/>
          <w:numId w:val="6"/>
        </w:numPr>
        <w:spacing w:after="120"/>
        <w:ind w:left="0" w:firstLine="0"/>
      </w:pPr>
      <w:r>
        <w:t>A consequência para o relatório é de reforço da precisão conceitual: o achado documenta maturidade incipiente, e não ausência institucional. Essa formulação já está refletida no título do achado no relatório. Permanece intacta a necessidade de resposta institucional, porque a insuficiência qualitativa dos metadados é reconhecida pelo próprio gestor como agenda legítima de aperfeiçoamento.</w:t>
      </w:r>
    </w:p>
    <w:p w14:paraId="31AFEB48" w14:textId="77777777" w:rsidR="00203927" w:rsidRDefault="00000000">
      <w:pPr>
        <w:pStyle w:val="Ttulo2"/>
      </w:pPr>
      <w:r>
        <w:t xml:space="preserve">ARG-29 — </w:t>
      </w:r>
      <w:proofErr w:type="spellStart"/>
      <w:r>
        <w:t>Tratamento</w:t>
      </w:r>
      <w:proofErr w:type="spellEnd"/>
      <w:r>
        <w:t xml:space="preserve"> </w:t>
      </w:r>
      <w:proofErr w:type="spellStart"/>
      <w:r>
        <w:t>progressivo</w:t>
      </w:r>
      <w:proofErr w:type="spellEnd"/>
      <w:r>
        <w:t xml:space="preserve"> e </w:t>
      </w:r>
      <w:proofErr w:type="spellStart"/>
      <w:r>
        <w:t>priorizado</w:t>
      </w:r>
      <w:proofErr w:type="spellEnd"/>
      <w:r>
        <w:t xml:space="preserve"> do </w:t>
      </w:r>
      <w:proofErr w:type="spellStart"/>
      <w:r>
        <w:t>Achado</w:t>
      </w:r>
      <w:proofErr w:type="spellEnd"/>
      <w:r>
        <w:t xml:space="preserve"> IV</w:t>
      </w:r>
    </w:p>
    <w:p w14:paraId="44E1EAF1" w14:textId="77777777" w:rsidR="00203927" w:rsidRDefault="00000000" w:rsidP="00324773">
      <w:pPr>
        <w:pStyle w:val="Pargrafonumerado"/>
        <w:numPr>
          <w:ilvl w:val="0"/>
          <w:numId w:val="6"/>
        </w:numPr>
        <w:spacing w:after="120"/>
        <w:ind w:left="0" w:firstLine="0"/>
      </w:pPr>
      <w:r>
        <w:t>O gestor sustenta que a resposta ao Achado IV deve ser progressiva, estruturada e orientada por risco, em vez de se organizar como saneamento amplo e indiferenciado do dicionário e dos metadados (peça 150, p. 61; peça 150, p. 70-71; peça 150, p. 72-73). A manifestação fala em enfrentamento estruturante, progressivo e orientado por risco da governança de metadados. A tese parte da ideia de que metadados possuem funções, criticidades e temporalidades distintas, razão pela qual um comando uniforme de saneamento do dicionário seria institucionalmente menos aderente do que trilha estruturada de priorização — especialmente dos campos relacionados a elegibilidade, área, renda, situação cadastral, eventos temporais e integração com outras bases governamentais (peça 150, p. 70). Quanto à recomendação de aperfeiçoar o processo institucional de gestão de metadados, o gestor avalia que ela pode ser acolhida, por ser pertinente e convergente com o aperfeiçoamento da governança, propondo acolhê-la em chave prospectiva, gradual e integrada à gestão de mudanças (peça 150, p. 71). O argumento ataca o desenho do encaminhamento mais do que a existência do problema.</w:t>
      </w:r>
    </w:p>
    <w:p w14:paraId="29FF0BD3" w14:textId="77777777" w:rsidR="00203927" w:rsidRDefault="00000000" w:rsidP="00324773">
      <w:pPr>
        <w:pStyle w:val="Pargrafonumerado"/>
        <w:numPr>
          <w:ilvl w:val="0"/>
          <w:numId w:val="6"/>
        </w:numPr>
        <w:spacing w:after="120"/>
        <w:ind w:left="0" w:firstLine="0"/>
      </w:pPr>
      <w:r>
        <w:rPr>
          <w:b/>
        </w:rPr>
        <w:t>Análise da equipe.</w:t>
      </w:r>
      <w:r>
        <w:t xml:space="preserve"> O argumento é procedente e foi acolhido na formulação dos encaminhamentos do Achado IV no relatório.</w:t>
      </w:r>
    </w:p>
    <w:p w14:paraId="38756330" w14:textId="77777777" w:rsidR="00203927" w:rsidRDefault="00000000" w:rsidP="00324773">
      <w:pPr>
        <w:pStyle w:val="Pargrafonumerado"/>
        <w:numPr>
          <w:ilvl w:val="0"/>
          <w:numId w:val="6"/>
        </w:numPr>
        <w:spacing w:after="120"/>
        <w:ind w:left="0" w:firstLine="0"/>
      </w:pPr>
      <w:r>
        <w:t>Quanto à determinação, o gestor não a considera adequada na forma proposta, por entender que a formulação tende a tratar o achado como demanda de saneamento amplo, homogêneo e predominantemente redacional do dicionário de dados, sem distinguir criticidade, temporalidade e função dos campos afetados (peça 150, p. 61; peça 150, p. 70). Propõe, como ajuste, tratamento progressivo, estruturado e integrado à gestão de mudanças, com priorização de campos de maior impacto regulatório, operacional e analítico — especialmente os relacionados a elegibilidade, área, renda, situação cadastral, eventos temporais e integração com outras bases governamentais (peça 150, p. 70).</w:t>
      </w:r>
    </w:p>
    <w:p w14:paraId="0A6AF17F" w14:textId="77777777" w:rsidR="00203927" w:rsidRDefault="00000000" w:rsidP="00324773">
      <w:pPr>
        <w:pStyle w:val="Pargrafonumerado"/>
        <w:numPr>
          <w:ilvl w:val="0"/>
          <w:numId w:val="6"/>
        </w:numPr>
        <w:spacing w:after="120"/>
        <w:ind w:left="0" w:firstLine="0"/>
      </w:pPr>
      <w:r>
        <w:t xml:space="preserve">Quanto à recomendação — aperfeiçoar o processo institucional de gestão de metadados do CAF, incorporando definições semânticas com base nas regras de negócio e no marco legal, com definição de papéis e responsabilidades, padrões mínimos de documentação e revisão contínua </w:t>
      </w:r>
      <w:r>
        <w:lastRenderedPageBreak/>
        <w:t>integrada ao ciclo de desenvolvimento do sistema —, o gestor avalia que ela pode ser acolhida, por ser pertinente e convergente com o aperfeiçoamento da governança de metadados (peça 150, p. 71). Propõe acolhê-la em chave prospectiva, gradual e integrada à gestão de mudanças, vinculando-a ao fortalecimento da governança de dados, da documentação técnica e da evolução sistêmica do CAF (peça 150, p. 71).</w:t>
      </w:r>
    </w:p>
    <w:p w14:paraId="43BF4C6F" w14:textId="77777777" w:rsidR="00203927" w:rsidRDefault="00000000" w:rsidP="00324773">
      <w:pPr>
        <w:pStyle w:val="Pargrafonumerado"/>
        <w:numPr>
          <w:ilvl w:val="0"/>
          <w:numId w:val="6"/>
        </w:numPr>
        <w:spacing w:after="120"/>
        <w:ind w:left="0" w:firstLine="0"/>
      </w:pPr>
      <w:r>
        <w:t>O acolhimento explícito da recomendação pelo gestor é elemento relevante para a sustentação processual do encaminhamento. A consequência prática para o relatório é preservar a recomendação com formulação compatível com o resultado a alcançar, assegurando liberdade de meios ao gestor para implementação progressiva e orientada por criticidade.</w:t>
      </w:r>
    </w:p>
    <w:p w14:paraId="1CE41A1D" w14:textId="77777777" w:rsidR="00203927" w:rsidRDefault="00000000">
      <w:pPr>
        <w:pStyle w:val="Ttulo2"/>
      </w:pPr>
      <w:r>
        <w:t xml:space="preserve">ARG-30 — </w:t>
      </w:r>
      <w:proofErr w:type="spellStart"/>
      <w:r>
        <w:t>Rejeição</w:t>
      </w:r>
      <w:proofErr w:type="spellEnd"/>
      <w:r>
        <w:t xml:space="preserve"> </w:t>
      </w:r>
      <w:proofErr w:type="spellStart"/>
      <w:r>
        <w:t>ao</w:t>
      </w:r>
      <w:proofErr w:type="spellEnd"/>
      <w:r>
        <w:t xml:space="preserve"> </w:t>
      </w:r>
      <w:proofErr w:type="spellStart"/>
      <w:r>
        <w:t>saneamento</w:t>
      </w:r>
      <w:proofErr w:type="spellEnd"/>
      <w:r>
        <w:t xml:space="preserve"> </w:t>
      </w:r>
      <w:proofErr w:type="spellStart"/>
      <w:r>
        <w:t>massivo</w:t>
      </w:r>
      <w:proofErr w:type="spellEnd"/>
      <w:r>
        <w:t xml:space="preserve"> e </w:t>
      </w:r>
      <w:proofErr w:type="spellStart"/>
      <w:r>
        <w:t>defesa</w:t>
      </w:r>
      <w:proofErr w:type="spellEnd"/>
      <w:r>
        <w:t xml:space="preserve"> de </w:t>
      </w:r>
      <w:proofErr w:type="spellStart"/>
      <w:r>
        <w:t>resposta</w:t>
      </w:r>
      <w:proofErr w:type="spellEnd"/>
      <w:r>
        <w:t xml:space="preserve"> gradual e </w:t>
      </w:r>
      <w:proofErr w:type="spellStart"/>
      <w:r>
        <w:t>orientada</w:t>
      </w:r>
      <w:proofErr w:type="spellEnd"/>
      <w:r>
        <w:t xml:space="preserve"> </w:t>
      </w:r>
      <w:proofErr w:type="spellStart"/>
      <w:r>
        <w:t>por</w:t>
      </w:r>
      <w:proofErr w:type="spellEnd"/>
      <w:r>
        <w:t xml:space="preserve"> </w:t>
      </w:r>
      <w:proofErr w:type="spellStart"/>
      <w:r>
        <w:t>risco</w:t>
      </w:r>
      <w:proofErr w:type="spellEnd"/>
    </w:p>
    <w:p w14:paraId="75CA9190" w14:textId="77777777" w:rsidR="00203927" w:rsidRDefault="00000000" w:rsidP="00324773">
      <w:pPr>
        <w:pStyle w:val="Pargrafonumerado"/>
        <w:numPr>
          <w:ilvl w:val="0"/>
          <w:numId w:val="6"/>
        </w:numPr>
        <w:spacing w:after="120"/>
        <w:ind w:left="0" w:firstLine="0"/>
      </w:pPr>
      <w:r>
        <w:t>Em síntese transversal, o gestor rejeita a lógica de saneamento massivo para os quatro achados e defende resposta institucional prospectiva, gradual, seletiva e orientada por risco (peça 150, p. 45; peça 150, p. 55-56; peça 150, p. 72-73). A manifestação afirma que medidas massivas de saneamento, quando desacopladas de critérios de risco, materialidade e verificabilidade, tendem a impor ônus desproporcional. Essa tese sintetiza diversas objeções deduzidas nos argumentos anteriores: rejeição a comandos excessivamente prescritivos, defesa de discricionariedade administrativa, necessidade de distinguir passivo de situação corrente, calibragem por criticidade e preferência por trilhas de curadoria, monitoramento e melhoria contínua. O gestor propõe substituir a lógica de saneamento amplo por arquitetura de resposta centrada em monitoramento por criticidade, saneamento focalizado, qualificação da rede, interoperabilidade e evolução progressiva da governança (peça 150, p. 72-73).</w:t>
      </w:r>
    </w:p>
    <w:p w14:paraId="773F4901" w14:textId="77777777" w:rsidR="00203927" w:rsidRDefault="00000000" w:rsidP="00324773">
      <w:pPr>
        <w:pStyle w:val="Pargrafonumerado"/>
        <w:numPr>
          <w:ilvl w:val="0"/>
          <w:numId w:val="6"/>
        </w:numPr>
        <w:spacing w:after="120"/>
        <w:ind w:left="0" w:firstLine="0"/>
      </w:pPr>
      <w:r>
        <w:rPr>
          <w:b/>
        </w:rPr>
        <w:t>Análise da equipe.</w:t>
      </w:r>
      <w:r>
        <w:t xml:space="preserve"> O argumento foi acolhido na formulação de o relatório sem descaracterizar o trabalho realizado. Ele foi parcialmente acolhido na forma dos encaminhamentos: o relatório final manteve a essência da resposta institucional, mas reduziu a </w:t>
      </w:r>
      <w:proofErr w:type="spellStart"/>
      <w:r>
        <w:t>prescritividade</w:t>
      </w:r>
      <w:proofErr w:type="spellEnd"/>
      <w:r>
        <w:t xml:space="preserve"> e preservou a liberdade do gestor quanto ao como executar as medidas necessárias.</w:t>
      </w:r>
    </w:p>
    <w:p w14:paraId="51E0A9C4" w14:textId="77777777" w:rsidR="00203927" w:rsidRDefault="00000000" w:rsidP="00324773">
      <w:pPr>
        <w:pStyle w:val="Pargrafonumerado"/>
        <w:numPr>
          <w:ilvl w:val="0"/>
          <w:numId w:val="6"/>
        </w:numPr>
        <w:spacing w:after="120"/>
        <w:ind w:left="0" w:firstLine="0"/>
      </w:pPr>
      <w:r>
        <w:t>Ao mesmo tempo, o argumento não dispensa encaminhamentos. O que a manifestação recomenda, e o relatório incorpora, é delimitação da forma de implementação, não renúncia ao dever de enfrentar as situações identificadas. É precisamente por isso que a resposta institucional permanece necessária.</w:t>
      </w:r>
    </w:p>
    <w:p w14:paraId="32DDAE87" w14:textId="77777777" w:rsidR="00203927" w:rsidRDefault="00000000">
      <w:pPr>
        <w:pStyle w:val="Ttulo2"/>
      </w:pPr>
      <w:proofErr w:type="spellStart"/>
      <w:r>
        <w:t>Conclusão</w:t>
      </w:r>
      <w:proofErr w:type="spellEnd"/>
      <w:r>
        <w:t xml:space="preserve"> da </w:t>
      </w:r>
      <w:proofErr w:type="spellStart"/>
      <w:r>
        <w:t>análise</w:t>
      </w:r>
      <w:proofErr w:type="spellEnd"/>
      <w:r>
        <w:t xml:space="preserve"> dos </w:t>
      </w:r>
      <w:proofErr w:type="spellStart"/>
      <w:r>
        <w:t>comentários</w:t>
      </w:r>
      <w:proofErr w:type="spellEnd"/>
    </w:p>
    <w:p w14:paraId="7D7D4136" w14:textId="77777777" w:rsidR="00203927" w:rsidRDefault="00000000" w:rsidP="00324773">
      <w:pPr>
        <w:pStyle w:val="Pargrafonumerado"/>
        <w:numPr>
          <w:ilvl w:val="0"/>
          <w:numId w:val="6"/>
        </w:numPr>
        <w:spacing w:after="120"/>
        <w:ind w:left="0" w:firstLine="0"/>
      </w:pPr>
      <w:r>
        <w:t>Os comentários do gestor, distribuídos em 30 argumentos substantivos documentados neste anexo, foram examinados individualmente à luz do relatório de auditoria, das evidências constantes do processo, do marco normativo aplicável e dos referenciais técnicos adotados na Matriz de Planejamento (DAMA-DMBOK v2, Acórdão 457/2026-Plenário). A análise permite as seguintes constatações consolidadas.</w:t>
      </w:r>
    </w:p>
    <w:p w14:paraId="493BC275" w14:textId="069432CD" w:rsidR="00203927" w:rsidRPr="00324773" w:rsidRDefault="00000000" w:rsidP="00324773">
      <w:pPr>
        <w:pStyle w:val="Pargrafonumerado"/>
        <w:spacing w:before="0"/>
        <w:ind w:left="0"/>
        <w:rPr>
          <w:b/>
          <w:bCs/>
        </w:rPr>
      </w:pPr>
      <w:r w:rsidRPr="00324773">
        <w:rPr>
          <w:b/>
          <w:bCs/>
        </w:rPr>
        <w:t>Plano metodológico</w:t>
      </w:r>
    </w:p>
    <w:p w14:paraId="149FD680" w14:textId="77777777" w:rsidR="00203927" w:rsidRDefault="00000000" w:rsidP="00324773">
      <w:pPr>
        <w:pStyle w:val="Pargrafonumerado"/>
        <w:numPr>
          <w:ilvl w:val="0"/>
          <w:numId w:val="6"/>
        </w:numPr>
        <w:spacing w:after="120"/>
        <w:ind w:left="0" w:firstLine="0"/>
      </w:pPr>
      <w:r>
        <w:t>Os questionamentos sobre extrapolação amostral, heterogeneidade temporal da base e limites de generalização (</w:t>
      </w:r>
      <w:proofErr w:type="spellStart"/>
      <w:r>
        <w:t>ARGs</w:t>
      </w:r>
      <w:proofErr w:type="spellEnd"/>
      <w:r>
        <w:t xml:space="preserve"> 01, 08, 13, 14) foram parcialmente acolhidos quanto à necessidade de maior explicitação da distinção entre passivo acumulado e situação corrente. Não foram </w:t>
      </w:r>
      <w:r>
        <w:lastRenderedPageBreak/>
        <w:t>acolhidos quanto à validade das estimativas estatísticas, que permanecem ancoradas em amostragem probabilística com parâmetros de confiança e margem de erro documentados. A reanálise apresentada pelo gestor (ARG-14), quando confrontada com os dados da equipe, confirma a existência de fragilidades documentais em patamar relevante, divergindo no enquadramento interpretativo, não no dado. A alegação de quebra da cadeia probatória da peça 105 (ARG-13) tensiona a aderência de uma peça específica, verificável mediante confronto dos registros de extração com os metadados de versionamento, mas não alcança o indicador central de divergência de área (53,55%), fundamentado na peça 109.</w:t>
      </w:r>
    </w:p>
    <w:p w14:paraId="52F4B7BA" w14:textId="29753131" w:rsidR="00203927" w:rsidRPr="00324773" w:rsidRDefault="00000000" w:rsidP="00324773">
      <w:pPr>
        <w:pStyle w:val="Pargrafonumerado"/>
        <w:spacing w:before="0"/>
        <w:ind w:left="0"/>
        <w:rPr>
          <w:b/>
          <w:bCs/>
        </w:rPr>
      </w:pPr>
      <w:r w:rsidRPr="00324773">
        <w:rPr>
          <w:b/>
          <w:bCs/>
        </w:rPr>
        <w:t>Plano do enquadramento normativo e institucional</w:t>
      </w:r>
    </w:p>
    <w:p w14:paraId="11394280" w14:textId="77777777" w:rsidR="00203927" w:rsidRDefault="00000000" w:rsidP="00324773">
      <w:pPr>
        <w:pStyle w:val="Pargrafonumerado"/>
        <w:numPr>
          <w:ilvl w:val="0"/>
          <w:numId w:val="6"/>
        </w:numPr>
        <w:spacing w:after="120"/>
        <w:ind w:left="0" w:firstLine="0"/>
      </w:pPr>
      <w:r>
        <w:t>Os argumentos de reconstrução institucional e transição tecnológica (</w:t>
      </w:r>
      <w:proofErr w:type="spellStart"/>
      <w:r>
        <w:t>ARGs</w:t>
      </w:r>
      <w:proofErr w:type="spellEnd"/>
      <w:r>
        <w:t xml:space="preserve"> 03, 05, 06, 16), de finalidade jurídica do cadastro (</w:t>
      </w:r>
      <w:proofErr w:type="spellStart"/>
      <w:r>
        <w:t>ARGs</w:t>
      </w:r>
      <w:proofErr w:type="spellEnd"/>
      <w:r>
        <w:t xml:space="preserve"> 02, 11), de heterogeneidade dos públicos e da rede (</w:t>
      </w:r>
      <w:proofErr w:type="spellStart"/>
      <w:r>
        <w:t>ARGs</w:t>
      </w:r>
      <w:proofErr w:type="spellEnd"/>
      <w:r>
        <w:t xml:space="preserve"> 04, 09) e de modelo híbrido de validação (ARG-07) foram examinados e, quando pertinentes, acolhidos como contexto. O argumento de que o CAF funciona como mera porta de entrada não encontra respaldo integral no Decreto nº 9.064/2017, na Resolução CMN nº 5.270/2025 nem no Manual de Crédito Rural do Banco Central, que estabelece o CAF válido como documento suficiente para comprovar vínculo do beneficiário com a terra e a atividade para fins de Pronaf, dispensando inclusive registro em cartório (peça 137, p. 156 e 166). A existência de filtros adicionais nas políticas públicas reduz o risco de acesso direto indevido, mas não dispensa a necessidade de que o cadastro produza dados com qualidade adequada à sua função de identificação e qualificação.</w:t>
      </w:r>
    </w:p>
    <w:p w14:paraId="5CB8D980" w14:textId="77777777" w:rsidR="00203927" w:rsidRDefault="00000000" w:rsidP="00324773">
      <w:pPr>
        <w:pStyle w:val="Pargrafonumerado"/>
        <w:numPr>
          <w:ilvl w:val="0"/>
          <w:numId w:val="6"/>
        </w:numPr>
        <w:spacing w:after="120"/>
        <w:ind w:left="0" w:firstLine="0"/>
      </w:pPr>
      <w:r>
        <w:t>Quanto ao modelo híbrido de validação (ARG-07), registrou-se que, na reunião de trabalho (peça 73, p. 3), ficou consignado por consenso que o sistema carece de mecanismos automatizados de validação, e que na reunião de encerramento (peça 74, p. 4) a conclusão formal atribuiu parcela relevante dos problemas ao legado do CAF 2.0, que não possuía validações robustas. Esses registros, produzidos com participação do gestor, convergem com o diagnóstico do Achado I e com a lógica do DAMA-DMBOK v2, segundo o qual a melhor forma de assegurar qualidade é impedir a entrada de dados inadequados na origem (peça 86, p. 38).</w:t>
      </w:r>
    </w:p>
    <w:p w14:paraId="3A7CFBC3" w14:textId="77777777" w:rsidR="00203927" w:rsidRDefault="00000000" w:rsidP="00324773">
      <w:pPr>
        <w:pStyle w:val="Pargrafonumerado"/>
        <w:numPr>
          <w:ilvl w:val="0"/>
          <w:numId w:val="6"/>
        </w:numPr>
        <w:spacing w:after="120"/>
        <w:ind w:left="0" w:firstLine="0"/>
      </w:pPr>
      <w:r>
        <w:t>Cabe registrar, ainda, que o Acórdão 1197/2018-Plenário determinou expressamente, no item 9.2.6, que o CAF incorporasse as salvaguardas ordenadas pelo TCU ao substituir a DAP. Após dois ciclos de monitoramento (Acórdão 1866/2021-Plenário e Acórdão 885/2024-Plenário), as determinações sobre validação de dados (9.2.2), observância no CAF (9.2.6) e parâmetros de aferição (9.3) permanecem classificadas como "em cumprimento", e o Tribunal autorizou terceiro ciclo de monitoramento. Esse histórico reforça a pertinência de resposta institucional.</w:t>
      </w:r>
    </w:p>
    <w:p w14:paraId="67D32FC5" w14:textId="5C6DEA5A" w:rsidR="00203927" w:rsidRPr="00324773" w:rsidRDefault="00000000" w:rsidP="00324773">
      <w:pPr>
        <w:pStyle w:val="Pargrafonumerado"/>
        <w:spacing w:before="0"/>
        <w:ind w:left="0"/>
        <w:rPr>
          <w:b/>
          <w:bCs/>
        </w:rPr>
      </w:pPr>
      <w:r w:rsidRPr="00324773">
        <w:rPr>
          <w:b/>
          <w:bCs/>
        </w:rPr>
        <w:t>Plano dos achados específicos</w:t>
      </w:r>
    </w:p>
    <w:p w14:paraId="2BDC80CB" w14:textId="77777777" w:rsidR="00203927" w:rsidRDefault="00000000" w:rsidP="00324773">
      <w:pPr>
        <w:pStyle w:val="Pargrafonumerado"/>
        <w:numPr>
          <w:ilvl w:val="0"/>
          <w:numId w:val="6"/>
        </w:numPr>
        <w:spacing w:after="120"/>
        <w:ind w:left="0" w:firstLine="0"/>
      </w:pPr>
      <w:r>
        <w:t>No Achado II (limitações geoespaciais), os argumentos de delimitação conceitual (</w:t>
      </w:r>
      <w:proofErr w:type="spellStart"/>
      <w:r>
        <w:t>ARGs</w:t>
      </w:r>
      <w:proofErr w:type="spellEnd"/>
      <w:r>
        <w:t xml:space="preserve"> 15, 17), de contexto de implantação (ARG-16), de integração PNRA/INCRA (ARG-19) e de </w:t>
      </w:r>
      <w:proofErr w:type="spellStart"/>
      <w:r>
        <w:t>redelimitação</w:t>
      </w:r>
      <w:proofErr w:type="spellEnd"/>
      <w:r>
        <w:t xml:space="preserve"> de causas (ARG-20) foram parcialmente acolhidos. A distinção entre unicidade espacial e unicidade jurídica (ARG-17) é tecnicamente válida, e a reanálise ministerial da inflação municipal (</w:t>
      </w:r>
      <w:proofErr w:type="spellStart"/>
      <w:r>
        <w:t>ARGs</w:t>
      </w:r>
      <w:proofErr w:type="spellEnd"/>
      <w:r>
        <w:t xml:space="preserve"> 18-19) reduziu a materialidade do universo originalmente apontado para 50 municípios com materialidade residual. O relatório foi ajustado para evitar conversão automática de limitação geoespacial em comprometimento da finalidade jurídica do cadastro.</w:t>
      </w:r>
    </w:p>
    <w:p w14:paraId="4545B89F" w14:textId="77777777" w:rsidR="00203927" w:rsidRDefault="00000000" w:rsidP="00324773">
      <w:pPr>
        <w:pStyle w:val="Pargrafonumerado"/>
        <w:numPr>
          <w:ilvl w:val="0"/>
          <w:numId w:val="6"/>
        </w:numPr>
        <w:spacing w:after="120"/>
        <w:ind w:left="0" w:firstLine="0"/>
      </w:pPr>
      <w:r>
        <w:t xml:space="preserve">No Achado III (qualidade cadastral), os argumentos de capacidade civil (ARG-22), dados de contato (ARG-23), renda (ARG-24), CNAE (ARG-25) e </w:t>
      </w:r>
      <w:proofErr w:type="spellStart"/>
      <w:r>
        <w:t>redelimitação</w:t>
      </w:r>
      <w:proofErr w:type="spellEnd"/>
      <w:r>
        <w:t xml:space="preserve"> de causas (ARG-</w:t>
      </w:r>
      <w:r>
        <w:lastRenderedPageBreak/>
        <w:t>26) foram examinados com atenção à proporcionalidade. Os argumentos sobre renda e CNAE são procedentes no plano normativo: o marco legal do CAF não estabelece teto geral de renda bruta para inscrição, e o CNAE deve operar como ferramenta de triagem, não como critério autoexecutável de exclusão. O relatório foi ajustado em conformidade. Quanto à capacidade civil, a baixa materialidade relativa (&lt; 1%) não reduz a gravidade qualitativa: a manutenção de 3.097 responsáveis falecidos como titulares ativos configura inconsistência de alta sensibilidade, como o próprio gestor reconhece. Registre-se que o gestor concordou expressamente com a causa raiz 4 — insuficiência na formalização da política de governança de dados (peça 150, p. 53) —, preservando a sustentação central do achado.</w:t>
      </w:r>
    </w:p>
    <w:p w14:paraId="1EC8938A" w14:textId="77777777" w:rsidR="00203927" w:rsidRDefault="00000000" w:rsidP="00324773">
      <w:pPr>
        <w:pStyle w:val="Pargrafonumerado"/>
        <w:numPr>
          <w:ilvl w:val="0"/>
          <w:numId w:val="6"/>
        </w:numPr>
        <w:spacing w:after="120"/>
        <w:ind w:left="0" w:firstLine="0"/>
      </w:pPr>
      <w:r>
        <w:t>No Achado IV (metadados), os argumentos de precisão conceitual (</w:t>
      </w:r>
      <w:proofErr w:type="spellStart"/>
      <w:r>
        <w:t>ARGs</w:t>
      </w:r>
      <w:proofErr w:type="spellEnd"/>
      <w:r>
        <w:t xml:space="preserve"> 27, 28) e de tratamento progressivo (ARG-29) foram substancialmente acolhidos. O gestor demonstrou que não há vazio absoluto de documentação — o CAF possui dicionário de dados com cobertura das 95 tabelas em uso e Documento de Regras de Negócio (peça 78). O achado foi delimitado como maturidade incipiente, não como inexistência institucional. O próprio dicionário de dados (peça 75), contudo, exibe as fragilidades documentadas: descrições tautológicas, campos críticos sem unidade de medida e coordenadas sem especificação de sistema geodésico. O gestor acolheu explicitamente a recomendação sobre gestão de metadados, propondo implementação progressiva integrada à gestão de mudanças (peça 150, p. 71).</w:t>
      </w:r>
    </w:p>
    <w:p w14:paraId="0FD0DE91" w14:textId="0E4B831F" w:rsidR="00203927" w:rsidRPr="00324773" w:rsidRDefault="00000000" w:rsidP="00324773">
      <w:pPr>
        <w:pStyle w:val="Pargrafonumerado"/>
        <w:spacing w:before="0"/>
        <w:ind w:left="0"/>
        <w:rPr>
          <w:b/>
          <w:bCs/>
        </w:rPr>
      </w:pPr>
      <w:r w:rsidRPr="00324773">
        <w:rPr>
          <w:b/>
          <w:bCs/>
        </w:rPr>
        <w:t>Plano das propostas de encaminhamento</w:t>
      </w:r>
    </w:p>
    <w:p w14:paraId="5AF71473" w14:textId="77777777" w:rsidR="00203927" w:rsidRDefault="00000000" w:rsidP="00324773">
      <w:pPr>
        <w:pStyle w:val="Pargrafonumerado"/>
        <w:numPr>
          <w:ilvl w:val="0"/>
          <w:numId w:val="6"/>
        </w:numPr>
        <w:spacing w:after="120"/>
        <w:ind w:left="0" w:firstLine="0"/>
      </w:pPr>
      <w:r>
        <w:t xml:space="preserve">O argumento transversal de rejeição ao saneamento massivo (ARG-30) e as críticas à </w:t>
      </w:r>
      <w:proofErr w:type="spellStart"/>
      <w:r>
        <w:t>prescritividade</w:t>
      </w:r>
      <w:proofErr w:type="spellEnd"/>
      <w:r>
        <w:t xml:space="preserve"> (</w:t>
      </w:r>
      <w:proofErr w:type="spellStart"/>
      <w:r>
        <w:t>ARGs</w:t>
      </w:r>
      <w:proofErr w:type="spellEnd"/>
      <w:r>
        <w:t xml:space="preserve"> 12, 21, 26, 29) foram acolhidos na reformulação dos encaminhamentos. As propostas passaram a enfatizar o resultado a alcançar, com maior liberdade de meios para implementação, prazo mais compatível com a complexidade do caso e organização por risco e criticidade. O quadro a seguir sintetiza o nexo entre os argumentos e as propostas: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4"/>
        <w:gridCol w:w="3002"/>
        <w:gridCol w:w="3160"/>
      </w:tblGrid>
      <w:tr w:rsidR="00203927" w14:paraId="280AD104" w14:textId="77777777" w:rsidTr="00324773">
        <w:trPr>
          <w:jc w:val="center"/>
        </w:trPr>
        <w:tc>
          <w:tcPr>
            <w:tcW w:w="4241" w:type="dxa"/>
          </w:tcPr>
          <w:p w14:paraId="53D86D52" w14:textId="77777777" w:rsidR="00203927" w:rsidRDefault="00000000">
            <w:pPr>
              <w:spacing w:before="20" w:after="20"/>
            </w:pPr>
            <w:proofErr w:type="spellStart"/>
            <w:r>
              <w:rPr>
                <w:rFonts w:ascii="Times New Roman" w:hAnsi="Times New Roman"/>
                <w:b/>
                <w:sz w:val="20"/>
              </w:rPr>
              <w:t>Proposta</w:t>
            </w:r>
            <w:proofErr w:type="spellEnd"/>
          </w:p>
        </w:tc>
        <w:tc>
          <w:tcPr>
            <w:tcW w:w="4241" w:type="dxa"/>
          </w:tcPr>
          <w:p w14:paraId="30E6D20F" w14:textId="77777777" w:rsidR="00203927" w:rsidRDefault="00000000">
            <w:pPr>
              <w:spacing w:before="20" w:after="20"/>
            </w:pPr>
            <w:r>
              <w:rPr>
                <w:rFonts w:ascii="Times New Roman" w:hAnsi="Times New Roman"/>
                <w:b/>
                <w:sz w:val="20"/>
              </w:rPr>
              <w:t xml:space="preserve">ARGs </w:t>
            </w:r>
            <w:proofErr w:type="spellStart"/>
            <w:r>
              <w:rPr>
                <w:rFonts w:ascii="Times New Roman" w:hAnsi="Times New Roman"/>
                <w:b/>
                <w:sz w:val="20"/>
              </w:rPr>
              <w:t>que</w:t>
            </w:r>
            <w:proofErr w:type="spellEnd"/>
            <w:r>
              <w:rPr>
                <w:rFonts w:ascii="Times New Roman" w:hAnsi="Times New Roman"/>
                <w:b/>
                <w:sz w:val="20"/>
              </w:rPr>
              <w:t xml:space="preserve"> a </w:t>
            </w:r>
            <w:proofErr w:type="spellStart"/>
            <w:r>
              <w:rPr>
                <w:rFonts w:ascii="Times New Roman" w:hAnsi="Times New Roman"/>
                <w:b/>
                <w:sz w:val="20"/>
              </w:rPr>
              <w:t>tensionam</w:t>
            </w:r>
            <w:proofErr w:type="spellEnd"/>
          </w:p>
        </w:tc>
        <w:tc>
          <w:tcPr>
            <w:tcW w:w="4241" w:type="dxa"/>
          </w:tcPr>
          <w:p w14:paraId="2215592D" w14:textId="77777777" w:rsidR="00203927" w:rsidRDefault="00000000">
            <w:pPr>
              <w:spacing w:before="20" w:after="20"/>
            </w:pPr>
            <w:proofErr w:type="spellStart"/>
            <w:r>
              <w:rPr>
                <w:rFonts w:ascii="Times New Roman" w:hAnsi="Times New Roman"/>
                <w:b/>
                <w:sz w:val="20"/>
              </w:rPr>
              <w:t>Resultado</w:t>
            </w:r>
            <w:proofErr w:type="spellEnd"/>
          </w:p>
        </w:tc>
      </w:tr>
      <w:tr w:rsidR="00203927" w14:paraId="3871F025" w14:textId="77777777" w:rsidTr="00324773">
        <w:trPr>
          <w:jc w:val="center"/>
        </w:trPr>
        <w:tc>
          <w:tcPr>
            <w:tcW w:w="4241" w:type="dxa"/>
          </w:tcPr>
          <w:p w14:paraId="42014CBC" w14:textId="77777777" w:rsidR="00203927" w:rsidRDefault="00000000">
            <w:pPr>
              <w:spacing w:before="20" w:after="20"/>
            </w:pPr>
            <w:proofErr w:type="spellStart"/>
            <w:r>
              <w:rPr>
                <w:rFonts w:ascii="Times New Roman" w:hAnsi="Times New Roman"/>
                <w:sz w:val="20"/>
              </w:rPr>
              <w:t>Determinação</w:t>
            </w:r>
            <w:proofErr w:type="spellEnd"/>
            <w:r>
              <w:rPr>
                <w:rFonts w:ascii="Times New Roman" w:hAnsi="Times New Roman"/>
                <w:sz w:val="20"/>
              </w:rPr>
              <w:t xml:space="preserve"> (plano de </w:t>
            </w:r>
            <w:proofErr w:type="spellStart"/>
            <w:r>
              <w:rPr>
                <w:rFonts w:ascii="Times New Roman" w:hAnsi="Times New Roman"/>
                <w:sz w:val="20"/>
              </w:rPr>
              <w:t>ação</w:t>
            </w:r>
            <w:proofErr w:type="spellEnd"/>
            <w:r>
              <w:rPr>
                <w:rFonts w:ascii="Times New Roman" w:hAnsi="Times New Roman"/>
                <w:sz w:val="20"/>
              </w:rPr>
              <w:t>)</w:t>
            </w:r>
          </w:p>
        </w:tc>
        <w:tc>
          <w:tcPr>
            <w:tcW w:w="4241" w:type="dxa"/>
          </w:tcPr>
          <w:p w14:paraId="46E9B0AC" w14:textId="77777777" w:rsidR="00203927" w:rsidRDefault="00000000">
            <w:pPr>
              <w:spacing w:before="20" w:after="20"/>
            </w:pPr>
            <w:r>
              <w:rPr>
                <w:rFonts w:ascii="Times New Roman" w:hAnsi="Times New Roman"/>
                <w:sz w:val="20"/>
              </w:rPr>
              <w:t>01, 03, 05, 12, 21, 26, 29, 30</w:t>
            </w:r>
          </w:p>
        </w:tc>
        <w:tc>
          <w:tcPr>
            <w:tcW w:w="4241" w:type="dxa"/>
          </w:tcPr>
          <w:p w14:paraId="0E2B914D" w14:textId="77777777" w:rsidR="00203927" w:rsidRDefault="00000000">
            <w:pPr>
              <w:spacing w:before="20" w:after="20"/>
            </w:pPr>
            <w:proofErr w:type="spellStart"/>
            <w:r>
              <w:rPr>
                <w:rFonts w:ascii="Times New Roman" w:hAnsi="Times New Roman"/>
                <w:sz w:val="20"/>
              </w:rPr>
              <w:t>Mantida</w:t>
            </w:r>
            <w:proofErr w:type="spellEnd"/>
            <w:r>
              <w:rPr>
                <w:rFonts w:ascii="Times New Roman" w:hAnsi="Times New Roman"/>
                <w:sz w:val="20"/>
              </w:rPr>
              <w:t xml:space="preserve">, com </w:t>
            </w:r>
            <w:proofErr w:type="spellStart"/>
            <w:r>
              <w:rPr>
                <w:rFonts w:ascii="Times New Roman" w:hAnsi="Times New Roman"/>
                <w:sz w:val="20"/>
              </w:rPr>
              <w:t>prazo</w:t>
            </w:r>
            <w:proofErr w:type="spellEnd"/>
            <w:r>
              <w:rPr>
                <w:rFonts w:ascii="Times New Roman" w:hAnsi="Times New Roman"/>
                <w:sz w:val="20"/>
              </w:rPr>
              <w:t xml:space="preserve"> </w:t>
            </w:r>
            <w:proofErr w:type="spellStart"/>
            <w:r>
              <w:rPr>
                <w:rFonts w:ascii="Times New Roman" w:hAnsi="Times New Roman"/>
                <w:sz w:val="20"/>
              </w:rPr>
              <w:t>ampliado</w:t>
            </w:r>
            <w:proofErr w:type="spellEnd"/>
            <w:r>
              <w:rPr>
                <w:rFonts w:ascii="Times New Roman" w:hAnsi="Times New Roman"/>
                <w:sz w:val="20"/>
              </w:rPr>
              <w:t xml:space="preserve">, </w:t>
            </w:r>
            <w:proofErr w:type="spellStart"/>
            <w:r>
              <w:rPr>
                <w:rFonts w:ascii="Times New Roman" w:hAnsi="Times New Roman"/>
                <w:sz w:val="20"/>
              </w:rPr>
              <w:t>menor</w:t>
            </w:r>
            <w:proofErr w:type="spellEnd"/>
            <w:r>
              <w:rPr>
                <w:rFonts w:ascii="Times New Roman" w:hAnsi="Times New Roman"/>
                <w:sz w:val="20"/>
              </w:rPr>
              <w:t xml:space="preserve"> </w:t>
            </w:r>
            <w:proofErr w:type="spellStart"/>
            <w:r>
              <w:rPr>
                <w:rFonts w:ascii="Times New Roman" w:hAnsi="Times New Roman"/>
                <w:sz w:val="20"/>
              </w:rPr>
              <w:t>prescritividade</w:t>
            </w:r>
            <w:proofErr w:type="spellEnd"/>
            <w:r>
              <w:rPr>
                <w:rFonts w:ascii="Times New Roman" w:hAnsi="Times New Roman"/>
                <w:sz w:val="20"/>
              </w:rPr>
              <w:t xml:space="preserve"> e </w:t>
            </w:r>
            <w:proofErr w:type="spellStart"/>
            <w:r>
              <w:rPr>
                <w:rFonts w:ascii="Times New Roman" w:hAnsi="Times New Roman"/>
                <w:sz w:val="20"/>
              </w:rPr>
              <w:t>ênfase</w:t>
            </w:r>
            <w:proofErr w:type="spellEnd"/>
            <w:r>
              <w:rPr>
                <w:rFonts w:ascii="Times New Roman" w:hAnsi="Times New Roman"/>
                <w:sz w:val="20"/>
              </w:rPr>
              <w:t xml:space="preserve"> no </w:t>
            </w:r>
            <w:proofErr w:type="spellStart"/>
            <w:r>
              <w:rPr>
                <w:rFonts w:ascii="Times New Roman" w:hAnsi="Times New Roman"/>
                <w:sz w:val="20"/>
              </w:rPr>
              <w:t>resultado</w:t>
            </w:r>
            <w:proofErr w:type="spellEnd"/>
            <w:r>
              <w:rPr>
                <w:rFonts w:ascii="Times New Roman" w:hAnsi="Times New Roman"/>
                <w:sz w:val="20"/>
              </w:rPr>
              <w:t xml:space="preserve"> </w:t>
            </w:r>
            <w:proofErr w:type="gramStart"/>
            <w:r>
              <w:rPr>
                <w:rFonts w:ascii="Times New Roman" w:hAnsi="Times New Roman"/>
                <w:sz w:val="20"/>
              </w:rPr>
              <w:t>a</w:t>
            </w:r>
            <w:proofErr w:type="gramEnd"/>
            <w:r>
              <w:rPr>
                <w:rFonts w:ascii="Times New Roman" w:hAnsi="Times New Roman"/>
                <w:sz w:val="20"/>
              </w:rPr>
              <w:t xml:space="preserve"> </w:t>
            </w:r>
            <w:proofErr w:type="spellStart"/>
            <w:r>
              <w:rPr>
                <w:rFonts w:ascii="Times New Roman" w:hAnsi="Times New Roman"/>
                <w:sz w:val="20"/>
              </w:rPr>
              <w:t>alcançar</w:t>
            </w:r>
            <w:proofErr w:type="spellEnd"/>
          </w:p>
        </w:tc>
      </w:tr>
      <w:tr w:rsidR="00203927" w14:paraId="5248EBA1" w14:textId="77777777" w:rsidTr="00324773">
        <w:trPr>
          <w:jc w:val="center"/>
        </w:trPr>
        <w:tc>
          <w:tcPr>
            <w:tcW w:w="4241" w:type="dxa"/>
          </w:tcPr>
          <w:p w14:paraId="061685A0" w14:textId="77777777" w:rsidR="00203927" w:rsidRDefault="00000000">
            <w:pPr>
              <w:spacing w:before="20" w:after="20"/>
            </w:pPr>
            <w:proofErr w:type="spellStart"/>
            <w:r>
              <w:rPr>
                <w:rFonts w:ascii="Times New Roman" w:hAnsi="Times New Roman"/>
                <w:sz w:val="20"/>
              </w:rPr>
              <w:t>Qualidade</w:t>
            </w:r>
            <w:proofErr w:type="spellEnd"/>
            <w:r>
              <w:rPr>
                <w:rFonts w:ascii="Times New Roman" w:hAnsi="Times New Roman"/>
                <w:sz w:val="20"/>
              </w:rPr>
              <w:t xml:space="preserve"> do </w:t>
            </w:r>
            <w:proofErr w:type="spellStart"/>
            <w:r>
              <w:rPr>
                <w:rFonts w:ascii="Times New Roman" w:hAnsi="Times New Roman"/>
                <w:sz w:val="20"/>
              </w:rPr>
              <w:t>cadastramento</w:t>
            </w:r>
            <w:proofErr w:type="spellEnd"/>
          </w:p>
        </w:tc>
        <w:tc>
          <w:tcPr>
            <w:tcW w:w="4241" w:type="dxa"/>
          </w:tcPr>
          <w:p w14:paraId="2910F7DC" w14:textId="77777777" w:rsidR="00203927" w:rsidRDefault="00000000">
            <w:pPr>
              <w:spacing w:before="20" w:after="20"/>
            </w:pPr>
            <w:r>
              <w:rPr>
                <w:rFonts w:ascii="Times New Roman" w:hAnsi="Times New Roman"/>
                <w:sz w:val="20"/>
              </w:rPr>
              <w:t>04, 07, 09</w:t>
            </w:r>
          </w:p>
        </w:tc>
        <w:tc>
          <w:tcPr>
            <w:tcW w:w="4241" w:type="dxa"/>
          </w:tcPr>
          <w:p w14:paraId="0B017743" w14:textId="77777777" w:rsidR="00203927" w:rsidRDefault="00000000">
            <w:pPr>
              <w:spacing w:before="20" w:after="20"/>
            </w:pPr>
            <w:proofErr w:type="spellStart"/>
            <w:r>
              <w:rPr>
                <w:rFonts w:ascii="Times New Roman" w:hAnsi="Times New Roman"/>
                <w:sz w:val="20"/>
              </w:rPr>
              <w:t>Mantida</w:t>
            </w:r>
            <w:proofErr w:type="spellEnd"/>
            <w:r>
              <w:rPr>
                <w:rFonts w:ascii="Times New Roman" w:hAnsi="Times New Roman"/>
                <w:sz w:val="20"/>
              </w:rPr>
              <w:t xml:space="preserve">, com </w:t>
            </w:r>
            <w:proofErr w:type="spellStart"/>
            <w:r>
              <w:rPr>
                <w:rFonts w:ascii="Times New Roman" w:hAnsi="Times New Roman"/>
                <w:sz w:val="20"/>
              </w:rPr>
              <w:t>distinção</w:t>
            </w:r>
            <w:proofErr w:type="spellEnd"/>
            <w:r>
              <w:rPr>
                <w:rFonts w:ascii="Times New Roman" w:hAnsi="Times New Roman"/>
                <w:sz w:val="20"/>
              </w:rPr>
              <w:t xml:space="preserve"> </w:t>
            </w:r>
            <w:proofErr w:type="spellStart"/>
            <w:r>
              <w:rPr>
                <w:rFonts w:ascii="Times New Roman" w:hAnsi="Times New Roman"/>
                <w:sz w:val="20"/>
              </w:rPr>
              <w:t>mais</w:t>
            </w:r>
            <w:proofErr w:type="spellEnd"/>
            <w:r>
              <w:rPr>
                <w:rFonts w:ascii="Times New Roman" w:hAnsi="Times New Roman"/>
                <w:sz w:val="20"/>
              </w:rPr>
              <w:t xml:space="preserve"> </w:t>
            </w:r>
            <w:proofErr w:type="spellStart"/>
            <w:r>
              <w:rPr>
                <w:rFonts w:ascii="Times New Roman" w:hAnsi="Times New Roman"/>
                <w:sz w:val="20"/>
              </w:rPr>
              <w:t>clara</w:t>
            </w:r>
            <w:proofErr w:type="spellEnd"/>
            <w:r>
              <w:rPr>
                <w:rFonts w:ascii="Times New Roman" w:hAnsi="Times New Roman"/>
                <w:sz w:val="20"/>
              </w:rPr>
              <w:t xml:space="preserve"> entre </w:t>
            </w:r>
            <w:proofErr w:type="spellStart"/>
            <w:r>
              <w:rPr>
                <w:rFonts w:ascii="Times New Roman" w:hAnsi="Times New Roman"/>
                <w:sz w:val="20"/>
              </w:rPr>
              <w:t>passivo</w:t>
            </w:r>
            <w:proofErr w:type="spellEnd"/>
            <w:r>
              <w:rPr>
                <w:rFonts w:ascii="Times New Roman" w:hAnsi="Times New Roman"/>
                <w:sz w:val="20"/>
              </w:rPr>
              <w:t xml:space="preserve"> </w:t>
            </w:r>
            <w:proofErr w:type="spellStart"/>
            <w:r>
              <w:rPr>
                <w:rFonts w:ascii="Times New Roman" w:hAnsi="Times New Roman"/>
                <w:sz w:val="20"/>
              </w:rPr>
              <w:t>acumulado</w:t>
            </w:r>
            <w:proofErr w:type="spellEnd"/>
            <w:r>
              <w:rPr>
                <w:rFonts w:ascii="Times New Roman" w:hAnsi="Times New Roman"/>
                <w:sz w:val="20"/>
              </w:rPr>
              <w:t xml:space="preserve"> e </w:t>
            </w:r>
            <w:proofErr w:type="spellStart"/>
            <w:r>
              <w:rPr>
                <w:rFonts w:ascii="Times New Roman" w:hAnsi="Times New Roman"/>
                <w:sz w:val="20"/>
              </w:rPr>
              <w:t>situação</w:t>
            </w:r>
            <w:proofErr w:type="spellEnd"/>
            <w:r>
              <w:rPr>
                <w:rFonts w:ascii="Times New Roman" w:hAnsi="Times New Roman"/>
                <w:sz w:val="20"/>
              </w:rPr>
              <w:t xml:space="preserve"> </w:t>
            </w:r>
            <w:proofErr w:type="spellStart"/>
            <w:r>
              <w:rPr>
                <w:rFonts w:ascii="Times New Roman" w:hAnsi="Times New Roman"/>
                <w:sz w:val="20"/>
              </w:rPr>
              <w:t>corrente</w:t>
            </w:r>
            <w:proofErr w:type="spellEnd"/>
          </w:p>
        </w:tc>
      </w:tr>
      <w:tr w:rsidR="00203927" w14:paraId="360F7762" w14:textId="77777777" w:rsidTr="00324773">
        <w:trPr>
          <w:jc w:val="center"/>
        </w:trPr>
        <w:tc>
          <w:tcPr>
            <w:tcW w:w="4241" w:type="dxa"/>
          </w:tcPr>
          <w:p w14:paraId="5284525C" w14:textId="77777777" w:rsidR="00203927" w:rsidRDefault="00000000">
            <w:pPr>
              <w:spacing w:before="20" w:after="20"/>
            </w:pPr>
            <w:proofErr w:type="spellStart"/>
            <w:r>
              <w:rPr>
                <w:rFonts w:ascii="Times New Roman" w:hAnsi="Times New Roman"/>
                <w:sz w:val="20"/>
              </w:rPr>
              <w:t>Integridade</w:t>
            </w:r>
            <w:proofErr w:type="spellEnd"/>
            <w:r>
              <w:rPr>
                <w:rFonts w:ascii="Times New Roman" w:hAnsi="Times New Roman"/>
                <w:sz w:val="20"/>
              </w:rPr>
              <w:t xml:space="preserve"> dos dados </w:t>
            </w:r>
            <w:proofErr w:type="spellStart"/>
            <w:r>
              <w:rPr>
                <w:rFonts w:ascii="Times New Roman" w:hAnsi="Times New Roman"/>
                <w:sz w:val="20"/>
              </w:rPr>
              <w:t>críticos</w:t>
            </w:r>
            <w:proofErr w:type="spellEnd"/>
          </w:p>
        </w:tc>
        <w:tc>
          <w:tcPr>
            <w:tcW w:w="4241" w:type="dxa"/>
          </w:tcPr>
          <w:p w14:paraId="39586937" w14:textId="77777777" w:rsidR="00203927" w:rsidRDefault="00000000">
            <w:pPr>
              <w:spacing w:before="20" w:after="20"/>
            </w:pPr>
            <w:r>
              <w:rPr>
                <w:rFonts w:ascii="Times New Roman" w:hAnsi="Times New Roman"/>
                <w:sz w:val="20"/>
              </w:rPr>
              <w:t>02, 11, 22</w:t>
            </w:r>
          </w:p>
        </w:tc>
        <w:tc>
          <w:tcPr>
            <w:tcW w:w="4241" w:type="dxa"/>
          </w:tcPr>
          <w:p w14:paraId="0FC93C00" w14:textId="77777777" w:rsidR="00203927" w:rsidRDefault="00000000">
            <w:pPr>
              <w:spacing w:before="20" w:after="20"/>
            </w:pPr>
            <w:proofErr w:type="spellStart"/>
            <w:r>
              <w:rPr>
                <w:rFonts w:ascii="Times New Roman" w:hAnsi="Times New Roman"/>
                <w:sz w:val="20"/>
              </w:rPr>
              <w:t>Mantida</w:t>
            </w:r>
            <w:proofErr w:type="spellEnd"/>
            <w:r>
              <w:rPr>
                <w:rFonts w:ascii="Times New Roman" w:hAnsi="Times New Roman"/>
                <w:sz w:val="20"/>
              </w:rPr>
              <w:t xml:space="preserve">, com </w:t>
            </w:r>
            <w:proofErr w:type="spellStart"/>
            <w:r>
              <w:rPr>
                <w:rFonts w:ascii="Times New Roman" w:hAnsi="Times New Roman"/>
                <w:sz w:val="20"/>
              </w:rPr>
              <w:t>delimitação</w:t>
            </w:r>
            <w:proofErr w:type="spellEnd"/>
            <w:r>
              <w:rPr>
                <w:rFonts w:ascii="Times New Roman" w:hAnsi="Times New Roman"/>
                <w:sz w:val="20"/>
              </w:rPr>
              <w:t xml:space="preserve"> para </w:t>
            </w:r>
            <w:proofErr w:type="spellStart"/>
            <w:r>
              <w:rPr>
                <w:rFonts w:ascii="Times New Roman" w:hAnsi="Times New Roman"/>
                <w:sz w:val="20"/>
              </w:rPr>
              <w:t>evitar</w:t>
            </w:r>
            <w:proofErr w:type="spellEnd"/>
            <w:r>
              <w:rPr>
                <w:rFonts w:ascii="Times New Roman" w:hAnsi="Times New Roman"/>
                <w:sz w:val="20"/>
              </w:rPr>
              <w:t xml:space="preserve"> </w:t>
            </w:r>
            <w:proofErr w:type="spellStart"/>
            <w:r>
              <w:rPr>
                <w:rFonts w:ascii="Times New Roman" w:hAnsi="Times New Roman"/>
                <w:sz w:val="20"/>
              </w:rPr>
              <w:t>equiparação</w:t>
            </w:r>
            <w:proofErr w:type="spellEnd"/>
            <w:r>
              <w:rPr>
                <w:rFonts w:ascii="Times New Roman" w:hAnsi="Times New Roman"/>
                <w:sz w:val="20"/>
              </w:rPr>
              <w:t xml:space="preserve"> </w:t>
            </w:r>
            <w:proofErr w:type="spellStart"/>
            <w:r>
              <w:rPr>
                <w:rFonts w:ascii="Times New Roman" w:hAnsi="Times New Roman"/>
                <w:sz w:val="20"/>
              </w:rPr>
              <w:t>automática</w:t>
            </w:r>
            <w:proofErr w:type="spellEnd"/>
            <w:r>
              <w:rPr>
                <w:rFonts w:ascii="Times New Roman" w:hAnsi="Times New Roman"/>
                <w:sz w:val="20"/>
              </w:rPr>
              <w:t xml:space="preserve"> entre </w:t>
            </w:r>
            <w:proofErr w:type="spellStart"/>
            <w:r>
              <w:rPr>
                <w:rFonts w:ascii="Times New Roman" w:hAnsi="Times New Roman"/>
                <w:sz w:val="20"/>
              </w:rPr>
              <w:t>inconsistência</w:t>
            </w:r>
            <w:proofErr w:type="spellEnd"/>
            <w:r>
              <w:rPr>
                <w:rFonts w:ascii="Times New Roman" w:hAnsi="Times New Roman"/>
                <w:sz w:val="20"/>
              </w:rPr>
              <w:t xml:space="preserve"> e </w:t>
            </w:r>
            <w:proofErr w:type="spellStart"/>
            <w:r>
              <w:rPr>
                <w:rFonts w:ascii="Times New Roman" w:hAnsi="Times New Roman"/>
                <w:sz w:val="20"/>
              </w:rPr>
              <w:t>inelegibilidade</w:t>
            </w:r>
            <w:proofErr w:type="spellEnd"/>
          </w:p>
        </w:tc>
      </w:tr>
      <w:tr w:rsidR="00203927" w14:paraId="4FAA9B72" w14:textId="77777777" w:rsidTr="00324773">
        <w:trPr>
          <w:jc w:val="center"/>
        </w:trPr>
        <w:tc>
          <w:tcPr>
            <w:tcW w:w="4241" w:type="dxa"/>
          </w:tcPr>
          <w:p w14:paraId="0A63CAF7" w14:textId="77777777" w:rsidR="00203927" w:rsidRDefault="00000000">
            <w:pPr>
              <w:spacing w:before="20" w:after="20"/>
            </w:pPr>
            <w:proofErr w:type="spellStart"/>
            <w:r>
              <w:rPr>
                <w:rFonts w:ascii="Times New Roman" w:hAnsi="Times New Roman"/>
                <w:sz w:val="20"/>
              </w:rPr>
              <w:t>Interoperabilidade</w:t>
            </w:r>
            <w:proofErr w:type="spellEnd"/>
          </w:p>
        </w:tc>
        <w:tc>
          <w:tcPr>
            <w:tcW w:w="4241" w:type="dxa"/>
          </w:tcPr>
          <w:p w14:paraId="316E0979" w14:textId="77777777" w:rsidR="00203927" w:rsidRDefault="00000000">
            <w:pPr>
              <w:spacing w:before="20" w:after="20"/>
            </w:pPr>
            <w:r>
              <w:rPr>
                <w:rFonts w:ascii="Times New Roman" w:hAnsi="Times New Roman"/>
                <w:sz w:val="20"/>
              </w:rPr>
              <w:t>06, 19</w:t>
            </w:r>
          </w:p>
        </w:tc>
        <w:tc>
          <w:tcPr>
            <w:tcW w:w="4241" w:type="dxa"/>
          </w:tcPr>
          <w:p w14:paraId="656E3315" w14:textId="77777777" w:rsidR="00203927" w:rsidRDefault="00000000">
            <w:pPr>
              <w:spacing w:before="20" w:after="20"/>
            </w:pPr>
            <w:proofErr w:type="spellStart"/>
            <w:r>
              <w:rPr>
                <w:rFonts w:ascii="Times New Roman" w:hAnsi="Times New Roman"/>
                <w:sz w:val="20"/>
              </w:rPr>
              <w:t>Mantida</w:t>
            </w:r>
            <w:proofErr w:type="spellEnd"/>
            <w:r>
              <w:rPr>
                <w:rFonts w:ascii="Times New Roman" w:hAnsi="Times New Roman"/>
                <w:sz w:val="20"/>
              </w:rPr>
              <w:t xml:space="preserve">, com </w:t>
            </w:r>
            <w:proofErr w:type="spellStart"/>
            <w:r>
              <w:rPr>
                <w:rFonts w:ascii="Times New Roman" w:hAnsi="Times New Roman"/>
                <w:sz w:val="20"/>
              </w:rPr>
              <w:t>reconhecimento</w:t>
            </w:r>
            <w:proofErr w:type="spellEnd"/>
            <w:r>
              <w:rPr>
                <w:rFonts w:ascii="Times New Roman" w:hAnsi="Times New Roman"/>
                <w:sz w:val="20"/>
              </w:rPr>
              <w:t xml:space="preserve"> dos </w:t>
            </w:r>
            <w:proofErr w:type="spellStart"/>
            <w:r>
              <w:rPr>
                <w:rFonts w:ascii="Times New Roman" w:hAnsi="Times New Roman"/>
                <w:sz w:val="20"/>
              </w:rPr>
              <w:t>avanços</w:t>
            </w:r>
            <w:proofErr w:type="spellEnd"/>
            <w:r>
              <w:rPr>
                <w:rFonts w:ascii="Times New Roman" w:hAnsi="Times New Roman"/>
                <w:sz w:val="20"/>
              </w:rPr>
              <w:t xml:space="preserve"> </w:t>
            </w:r>
            <w:proofErr w:type="spellStart"/>
            <w:r>
              <w:rPr>
                <w:rFonts w:ascii="Times New Roman" w:hAnsi="Times New Roman"/>
                <w:sz w:val="20"/>
              </w:rPr>
              <w:t>já</w:t>
            </w:r>
            <w:proofErr w:type="spellEnd"/>
            <w:r>
              <w:rPr>
                <w:rFonts w:ascii="Times New Roman" w:hAnsi="Times New Roman"/>
                <w:sz w:val="20"/>
              </w:rPr>
              <w:t xml:space="preserve"> </w:t>
            </w:r>
            <w:proofErr w:type="spellStart"/>
            <w:r>
              <w:rPr>
                <w:rFonts w:ascii="Times New Roman" w:hAnsi="Times New Roman"/>
                <w:sz w:val="20"/>
              </w:rPr>
              <w:t>implementados</w:t>
            </w:r>
            <w:proofErr w:type="spellEnd"/>
            <w:r>
              <w:rPr>
                <w:rFonts w:ascii="Times New Roman" w:hAnsi="Times New Roman"/>
                <w:sz w:val="20"/>
              </w:rPr>
              <w:t xml:space="preserve"> (SNCR, SIGEF, </w:t>
            </w:r>
            <w:proofErr w:type="spellStart"/>
            <w:r>
              <w:rPr>
                <w:rFonts w:ascii="Times New Roman" w:hAnsi="Times New Roman"/>
                <w:sz w:val="20"/>
              </w:rPr>
              <w:t>BCadastro</w:t>
            </w:r>
            <w:proofErr w:type="spellEnd"/>
            <w:r>
              <w:rPr>
                <w:rFonts w:ascii="Times New Roman" w:hAnsi="Times New Roman"/>
                <w:sz w:val="20"/>
              </w:rPr>
              <w:t>)</w:t>
            </w:r>
          </w:p>
        </w:tc>
      </w:tr>
      <w:tr w:rsidR="00203927" w14:paraId="5191EDFC" w14:textId="77777777" w:rsidTr="00324773">
        <w:trPr>
          <w:jc w:val="center"/>
        </w:trPr>
        <w:tc>
          <w:tcPr>
            <w:tcW w:w="4241" w:type="dxa"/>
          </w:tcPr>
          <w:p w14:paraId="5F1A570E" w14:textId="77777777" w:rsidR="00203927" w:rsidRDefault="00000000">
            <w:pPr>
              <w:spacing w:before="20" w:after="20"/>
            </w:pPr>
            <w:proofErr w:type="spellStart"/>
            <w:r>
              <w:rPr>
                <w:rFonts w:ascii="Times New Roman" w:hAnsi="Times New Roman"/>
                <w:sz w:val="20"/>
              </w:rPr>
              <w:t>Qualidade</w:t>
            </w:r>
            <w:proofErr w:type="spellEnd"/>
            <w:r>
              <w:rPr>
                <w:rFonts w:ascii="Times New Roman" w:hAnsi="Times New Roman"/>
                <w:sz w:val="20"/>
              </w:rPr>
              <w:t xml:space="preserve"> </w:t>
            </w:r>
            <w:proofErr w:type="spellStart"/>
            <w:r>
              <w:rPr>
                <w:rFonts w:ascii="Times New Roman" w:hAnsi="Times New Roman"/>
                <w:sz w:val="20"/>
              </w:rPr>
              <w:t>técnica</w:t>
            </w:r>
            <w:proofErr w:type="spellEnd"/>
            <w:r>
              <w:rPr>
                <w:rFonts w:ascii="Times New Roman" w:hAnsi="Times New Roman"/>
                <w:sz w:val="20"/>
              </w:rPr>
              <w:t xml:space="preserve"> da </w:t>
            </w:r>
            <w:proofErr w:type="spellStart"/>
            <w:r>
              <w:rPr>
                <w:rFonts w:ascii="Times New Roman" w:hAnsi="Times New Roman"/>
                <w:sz w:val="20"/>
              </w:rPr>
              <w:t>digitalização</w:t>
            </w:r>
            <w:proofErr w:type="spellEnd"/>
          </w:p>
        </w:tc>
        <w:tc>
          <w:tcPr>
            <w:tcW w:w="4241" w:type="dxa"/>
          </w:tcPr>
          <w:p w14:paraId="108A8A7B" w14:textId="77777777" w:rsidR="00203927" w:rsidRDefault="00000000">
            <w:pPr>
              <w:spacing w:before="20" w:after="20"/>
            </w:pPr>
            <w:r>
              <w:rPr>
                <w:rFonts w:ascii="Times New Roman" w:hAnsi="Times New Roman"/>
                <w:sz w:val="20"/>
              </w:rPr>
              <w:t>10</w:t>
            </w:r>
          </w:p>
        </w:tc>
        <w:tc>
          <w:tcPr>
            <w:tcW w:w="4241" w:type="dxa"/>
          </w:tcPr>
          <w:p w14:paraId="2DEF54B8" w14:textId="77777777" w:rsidR="00203927" w:rsidRDefault="00000000">
            <w:pPr>
              <w:spacing w:before="20" w:after="20"/>
            </w:pPr>
            <w:proofErr w:type="spellStart"/>
            <w:r>
              <w:rPr>
                <w:rFonts w:ascii="Times New Roman" w:hAnsi="Times New Roman"/>
                <w:sz w:val="20"/>
              </w:rPr>
              <w:t>Mantida</w:t>
            </w:r>
            <w:proofErr w:type="spellEnd"/>
            <w:r>
              <w:rPr>
                <w:rFonts w:ascii="Times New Roman" w:hAnsi="Times New Roman"/>
                <w:sz w:val="20"/>
              </w:rPr>
              <w:t xml:space="preserve">, com </w:t>
            </w:r>
            <w:proofErr w:type="spellStart"/>
            <w:r>
              <w:rPr>
                <w:rFonts w:ascii="Times New Roman" w:hAnsi="Times New Roman"/>
                <w:sz w:val="20"/>
              </w:rPr>
              <w:t>acolhimento</w:t>
            </w:r>
            <w:proofErr w:type="spellEnd"/>
            <w:r>
              <w:rPr>
                <w:rFonts w:ascii="Times New Roman" w:hAnsi="Times New Roman"/>
                <w:sz w:val="20"/>
              </w:rPr>
              <w:t xml:space="preserve"> do </w:t>
            </w:r>
            <w:proofErr w:type="spellStart"/>
            <w:r>
              <w:rPr>
                <w:rFonts w:ascii="Times New Roman" w:hAnsi="Times New Roman"/>
                <w:sz w:val="20"/>
              </w:rPr>
              <w:t>caráter</w:t>
            </w:r>
            <w:proofErr w:type="spellEnd"/>
            <w:r>
              <w:rPr>
                <w:rFonts w:ascii="Times New Roman" w:hAnsi="Times New Roman"/>
                <w:sz w:val="20"/>
              </w:rPr>
              <w:t xml:space="preserve"> </w:t>
            </w:r>
            <w:proofErr w:type="spellStart"/>
            <w:r>
              <w:rPr>
                <w:rFonts w:ascii="Times New Roman" w:hAnsi="Times New Roman"/>
                <w:sz w:val="20"/>
              </w:rPr>
              <w:t>orientativo</w:t>
            </w:r>
            <w:proofErr w:type="spellEnd"/>
            <w:r>
              <w:rPr>
                <w:rFonts w:ascii="Times New Roman" w:hAnsi="Times New Roman"/>
                <w:sz w:val="20"/>
              </w:rPr>
              <w:t xml:space="preserve"> da </w:t>
            </w:r>
            <w:proofErr w:type="spellStart"/>
            <w:r>
              <w:rPr>
                <w:rFonts w:ascii="Times New Roman" w:hAnsi="Times New Roman"/>
                <w:sz w:val="20"/>
              </w:rPr>
              <w:t>Resolução</w:t>
            </w:r>
            <w:proofErr w:type="spellEnd"/>
            <w:r>
              <w:rPr>
                <w:rFonts w:ascii="Times New Roman" w:hAnsi="Times New Roman"/>
                <w:sz w:val="20"/>
              </w:rPr>
              <w:t xml:space="preserve"> </w:t>
            </w:r>
            <w:proofErr w:type="spellStart"/>
            <w:r>
              <w:rPr>
                <w:rFonts w:ascii="Times New Roman" w:hAnsi="Times New Roman"/>
                <w:sz w:val="20"/>
              </w:rPr>
              <w:t>Conarq</w:t>
            </w:r>
            <w:proofErr w:type="spellEnd"/>
          </w:p>
        </w:tc>
      </w:tr>
      <w:tr w:rsidR="00203927" w14:paraId="5711ED49" w14:textId="77777777" w:rsidTr="00324773">
        <w:trPr>
          <w:jc w:val="center"/>
        </w:trPr>
        <w:tc>
          <w:tcPr>
            <w:tcW w:w="4241" w:type="dxa"/>
          </w:tcPr>
          <w:p w14:paraId="6663BFE6" w14:textId="77777777" w:rsidR="00203927" w:rsidRDefault="00000000">
            <w:pPr>
              <w:spacing w:before="20" w:after="20"/>
            </w:pPr>
            <w:proofErr w:type="spellStart"/>
            <w:r>
              <w:rPr>
                <w:rFonts w:ascii="Times New Roman" w:hAnsi="Times New Roman"/>
                <w:sz w:val="20"/>
              </w:rPr>
              <w:t>Gestão</w:t>
            </w:r>
            <w:proofErr w:type="spellEnd"/>
            <w:r>
              <w:rPr>
                <w:rFonts w:ascii="Times New Roman" w:hAnsi="Times New Roman"/>
                <w:sz w:val="20"/>
              </w:rPr>
              <w:t xml:space="preserve"> de </w:t>
            </w:r>
            <w:proofErr w:type="spellStart"/>
            <w:r>
              <w:rPr>
                <w:rFonts w:ascii="Times New Roman" w:hAnsi="Times New Roman"/>
                <w:sz w:val="20"/>
              </w:rPr>
              <w:t>mudanças</w:t>
            </w:r>
            <w:proofErr w:type="spellEnd"/>
          </w:p>
        </w:tc>
        <w:tc>
          <w:tcPr>
            <w:tcW w:w="4241" w:type="dxa"/>
          </w:tcPr>
          <w:p w14:paraId="1BC5D537" w14:textId="77777777" w:rsidR="00203927" w:rsidRDefault="00000000">
            <w:pPr>
              <w:spacing w:before="20" w:after="20"/>
            </w:pPr>
            <w:r>
              <w:rPr>
                <w:rFonts w:ascii="Times New Roman" w:hAnsi="Times New Roman"/>
                <w:sz w:val="20"/>
              </w:rPr>
              <w:t>15, 16, 17, 20</w:t>
            </w:r>
          </w:p>
        </w:tc>
        <w:tc>
          <w:tcPr>
            <w:tcW w:w="4241" w:type="dxa"/>
          </w:tcPr>
          <w:p w14:paraId="0F915FB9" w14:textId="77777777" w:rsidR="00203927" w:rsidRDefault="00000000">
            <w:pPr>
              <w:spacing w:before="20" w:after="20"/>
            </w:pPr>
            <w:proofErr w:type="spellStart"/>
            <w:r>
              <w:rPr>
                <w:rFonts w:ascii="Times New Roman" w:hAnsi="Times New Roman"/>
                <w:sz w:val="20"/>
              </w:rPr>
              <w:t>Mantida</w:t>
            </w:r>
            <w:proofErr w:type="spellEnd"/>
            <w:r>
              <w:rPr>
                <w:rFonts w:ascii="Times New Roman" w:hAnsi="Times New Roman"/>
                <w:sz w:val="20"/>
              </w:rPr>
              <w:t xml:space="preserve">, com </w:t>
            </w:r>
            <w:proofErr w:type="spellStart"/>
            <w:r>
              <w:rPr>
                <w:rFonts w:ascii="Times New Roman" w:hAnsi="Times New Roman"/>
                <w:sz w:val="20"/>
              </w:rPr>
              <w:t>delimitação</w:t>
            </w:r>
            <w:proofErr w:type="spellEnd"/>
            <w:r>
              <w:rPr>
                <w:rFonts w:ascii="Times New Roman" w:hAnsi="Times New Roman"/>
                <w:sz w:val="20"/>
              </w:rPr>
              <w:t xml:space="preserve"> </w:t>
            </w:r>
            <w:proofErr w:type="spellStart"/>
            <w:r>
              <w:rPr>
                <w:rFonts w:ascii="Times New Roman" w:hAnsi="Times New Roman"/>
                <w:sz w:val="20"/>
              </w:rPr>
              <w:t>mais</w:t>
            </w:r>
            <w:proofErr w:type="spellEnd"/>
            <w:r>
              <w:rPr>
                <w:rFonts w:ascii="Times New Roman" w:hAnsi="Times New Roman"/>
                <w:sz w:val="20"/>
              </w:rPr>
              <w:t xml:space="preserve"> </w:t>
            </w:r>
            <w:proofErr w:type="spellStart"/>
            <w:r>
              <w:rPr>
                <w:rFonts w:ascii="Times New Roman" w:hAnsi="Times New Roman"/>
                <w:sz w:val="20"/>
              </w:rPr>
              <w:t>precisa</w:t>
            </w:r>
            <w:proofErr w:type="spellEnd"/>
            <w:r>
              <w:rPr>
                <w:rFonts w:ascii="Times New Roman" w:hAnsi="Times New Roman"/>
                <w:sz w:val="20"/>
              </w:rPr>
              <w:t xml:space="preserve"> </w:t>
            </w:r>
            <w:proofErr w:type="spellStart"/>
            <w:r>
              <w:rPr>
                <w:rFonts w:ascii="Times New Roman" w:hAnsi="Times New Roman"/>
                <w:sz w:val="20"/>
              </w:rPr>
              <w:t>como</w:t>
            </w:r>
            <w:proofErr w:type="spellEnd"/>
            <w:r>
              <w:rPr>
                <w:rFonts w:ascii="Times New Roman" w:hAnsi="Times New Roman"/>
                <w:sz w:val="20"/>
              </w:rPr>
              <w:t xml:space="preserve"> </w:t>
            </w:r>
            <w:proofErr w:type="spellStart"/>
            <w:r>
              <w:rPr>
                <w:rFonts w:ascii="Times New Roman" w:hAnsi="Times New Roman"/>
                <w:sz w:val="20"/>
              </w:rPr>
              <w:t>limitação</w:t>
            </w:r>
            <w:proofErr w:type="spellEnd"/>
            <w:r>
              <w:rPr>
                <w:rFonts w:ascii="Times New Roman" w:hAnsi="Times New Roman"/>
                <w:sz w:val="20"/>
              </w:rPr>
              <w:t xml:space="preserve"> </w:t>
            </w:r>
            <w:proofErr w:type="spellStart"/>
            <w:r>
              <w:rPr>
                <w:rFonts w:ascii="Times New Roman" w:hAnsi="Times New Roman"/>
                <w:sz w:val="20"/>
              </w:rPr>
              <w:t>geoespacial</w:t>
            </w:r>
            <w:proofErr w:type="spellEnd"/>
            <w:r>
              <w:rPr>
                <w:rFonts w:ascii="Times New Roman" w:hAnsi="Times New Roman"/>
                <w:sz w:val="20"/>
              </w:rPr>
              <w:t xml:space="preserve"> </w:t>
            </w:r>
            <w:proofErr w:type="spellStart"/>
            <w:r>
              <w:rPr>
                <w:rFonts w:ascii="Times New Roman" w:hAnsi="Times New Roman"/>
                <w:sz w:val="20"/>
              </w:rPr>
              <w:t>acumulada</w:t>
            </w:r>
            <w:proofErr w:type="spellEnd"/>
          </w:p>
        </w:tc>
      </w:tr>
      <w:tr w:rsidR="00203927" w14:paraId="4EAD79C3" w14:textId="77777777" w:rsidTr="00324773">
        <w:trPr>
          <w:jc w:val="center"/>
        </w:trPr>
        <w:tc>
          <w:tcPr>
            <w:tcW w:w="4241" w:type="dxa"/>
          </w:tcPr>
          <w:p w14:paraId="65C8E262" w14:textId="77777777" w:rsidR="00203927" w:rsidRDefault="00000000">
            <w:pPr>
              <w:spacing w:before="20" w:after="20"/>
            </w:pPr>
            <w:proofErr w:type="spellStart"/>
            <w:r>
              <w:rPr>
                <w:rFonts w:ascii="Times New Roman" w:hAnsi="Times New Roman"/>
                <w:sz w:val="20"/>
              </w:rPr>
              <w:t>Monitoramento</w:t>
            </w:r>
            <w:proofErr w:type="spellEnd"/>
            <w:r>
              <w:rPr>
                <w:rFonts w:ascii="Times New Roman" w:hAnsi="Times New Roman"/>
                <w:sz w:val="20"/>
              </w:rPr>
              <w:t xml:space="preserve"> </w:t>
            </w:r>
            <w:proofErr w:type="spellStart"/>
            <w:r>
              <w:rPr>
                <w:rFonts w:ascii="Times New Roman" w:hAnsi="Times New Roman"/>
                <w:sz w:val="20"/>
              </w:rPr>
              <w:t>por</w:t>
            </w:r>
            <w:proofErr w:type="spellEnd"/>
            <w:r>
              <w:rPr>
                <w:rFonts w:ascii="Times New Roman" w:hAnsi="Times New Roman"/>
                <w:sz w:val="20"/>
              </w:rPr>
              <w:t xml:space="preserve"> </w:t>
            </w:r>
            <w:proofErr w:type="spellStart"/>
            <w:r>
              <w:rPr>
                <w:rFonts w:ascii="Times New Roman" w:hAnsi="Times New Roman"/>
                <w:sz w:val="20"/>
              </w:rPr>
              <w:t>indicadores</w:t>
            </w:r>
            <w:proofErr w:type="spellEnd"/>
          </w:p>
        </w:tc>
        <w:tc>
          <w:tcPr>
            <w:tcW w:w="4241" w:type="dxa"/>
          </w:tcPr>
          <w:p w14:paraId="66A1B3C6" w14:textId="77777777" w:rsidR="00203927" w:rsidRDefault="00000000">
            <w:pPr>
              <w:spacing w:before="20" w:after="20"/>
            </w:pPr>
            <w:r>
              <w:rPr>
                <w:rFonts w:ascii="Times New Roman" w:hAnsi="Times New Roman"/>
                <w:sz w:val="20"/>
              </w:rPr>
              <w:t>12, 23, 24, 25</w:t>
            </w:r>
          </w:p>
        </w:tc>
        <w:tc>
          <w:tcPr>
            <w:tcW w:w="4241" w:type="dxa"/>
          </w:tcPr>
          <w:p w14:paraId="647A9B87" w14:textId="77777777" w:rsidR="00203927" w:rsidRDefault="00000000">
            <w:pPr>
              <w:spacing w:before="20" w:after="20"/>
            </w:pPr>
            <w:proofErr w:type="spellStart"/>
            <w:r>
              <w:rPr>
                <w:rFonts w:ascii="Times New Roman" w:hAnsi="Times New Roman"/>
                <w:sz w:val="20"/>
              </w:rPr>
              <w:t>Mantida</w:t>
            </w:r>
            <w:proofErr w:type="spellEnd"/>
            <w:r>
              <w:rPr>
                <w:rFonts w:ascii="Times New Roman" w:hAnsi="Times New Roman"/>
                <w:sz w:val="20"/>
              </w:rPr>
              <w:t xml:space="preserve">; </w:t>
            </w:r>
            <w:proofErr w:type="spellStart"/>
            <w:r>
              <w:rPr>
                <w:rFonts w:ascii="Times New Roman" w:hAnsi="Times New Roman"/>
                <w:sz w:val="20"/>
              </w:rPr>
              <w:t>renda</w:t>
            </w:r>
            <w:proofErr w:type="spellEnd"/>
            <w:r>
              <w:rPr>
                <w:rFonts w:ascii="Times New Roman" w:hAnsi="Times New Roman"/>
                <w:sz w:val="20"/>
              </w:rPr>
              <w:t xml:space="preserve"> e CNAE </w:t>
            </w:r>
            <w:proofErr w:type="spellStart"/>
            <w:r>
              <w:rPr>
                <w:rFonts w:ascii="Times New Roman" w:hAnsi="Times New Roman"/>
                <w:sz w:val="20"/>
              </w:rPr>
              <w:t>tratados</w:t>
            </w:r>
            <w:proofErr w:type="spellEnd"/>
            <w:r>
              <w:rPr>
                <w:rFonts w:ascii="Times New Roman" w:hAnsi="Times New Roman"/>
                <w:sz w:val="20"/>
              </w:rPr>
              <w:t xml:space="preserve"> </w:t>
            </w:r>
            <w:proofErr w:type="spellStart"/>
            <w:r>
              <w:rPr>
                <w:rFonts w:ascii="Times New Roman" w:hAnsi="Times New Roman"/>
                <w:sz w:val="20"/>
              </w:rPr>
              <w:t>como</w:t>
            </w:r>
            <w:proofErr w:type="spellEnd"/>
            <w:r>
              <w:rPr>
                <w:rFonts w:ascii="Times New Roman" w:hAnsi="Times New Roman"/>
                <w:sz w:val="20"/>
              </w:rPr>
              <w:t xml:space="preserve"> </w:t>
            </w:r>
            <w:proofErr w:type="spellStart"/>
            <w:r>
              <w:rPr>
                <w:rFonts w:ascii="Times New Roman" w:hAnsi="Times New Roman"/>
                <w:sz w:val="20"/>
              </w:rPr>
              <w:t>indícios</w:t>
            </w:r>
            <w:proofErr w:type="spellEnd"/>
            <w:r>
              <w:rPr>
                <w:rFonts w:ascii="Times New Roman" w:hAnsi="Times New Roman"/>
                <w:sz w:val="20"/>
              </w:rPr>
              <w:t xml:space="preserve"> de </w:t>
            </w:r>
            <w:proofErr w:type="spellStart"/>
            <w:r>
              <w:rPr>
                <w:rFonts w:ascii="Times New Roman" w:hAnsi="Times New Roman"/>
                <w:sz w:val="20"/>
              </w:rPr>
              <w:t>risco</w:t>
            </w:r>
            <w:proofErr w:type="spellEnd"/>
            <w:r>
              <w:rPr>
                <w:rFonts w:ascii="Times New Roman" w:hAnsi="Times New Roman"/>
                <w:sz w:val="20"/>
              </w:rPr>
              <w:t xml:space="preserve">, </w:t>
            </w:r>
            <w:proofErr w:type="spellStart"/>
            <w:r>
              <w:rPr>
                <w:rFonts w:ascii="Times New Roman" w:hAnsi="Times New Roman"/>
                <w:sz w:val="20"/>
              </w:rPr>
              <w:t>não</w:t>
            </w:r>
            <w:proofErr w:type="spellEnd"/>
            <w:r>
              <w:rPr>
                <w:rFonts w:ascii="Times New Roman" w:hAnsi="Times New Roman"/>
                <w:sz w:val="20"/>
              </w:rPr>
              <w:t xml:space="preserve"> </w:t>
            </w:r>
            <w:proofErr w:type="spellStart"/>
            <w:r>
              <w:rPr>
                <w:rFonts w:ascii="Times New Roman" w:hAnsi="Times New Roman"/>
                <w:sz w:val="20"/>
              </w:rPr>
              <w:t>como</w:t>
            </w:r>
            <w:proofErr w:type="spellEnd"/>
            <w:r>
              <w:rPr>
                <w:rFonts w:ascii="Times New Roman" w:hAnsi="Times New Roman"/>
                <w:sz w:val="20"/>
              </w:rPr>
              <w:t xml:space="preserve"> </w:t>
            </w:r>
            <w:proofErr w:type="spellStart"/>
            <w:r>
              <w:rPr>
                <w:rFonts w:ascii="Times New Roman" w:hAnsi="Times New Roman"/>
                <w:sz w:val="20"/>
              </w:rPr>
              <w:t>critérios</w:t>
            </w:r>
            <w:proofErr w:type="spellEnd"/>
            <w:r>
              <w:rPr>
                <w:rFonts w:ascii="Times New Roman" w:hAnsi="Times New Roman"/>
                <w:sz w:val="20"/>
              </w:rPr>
              <w:t xml:space="preserve"> de </w:t>
            </w:r>
            <w:proofErr w:type="spellStart"/>
            <w:r>
              <w:rPr>
                <w:rFonts w:ascii="Times New Roman" w:hAnsi="Times New Roman"/>
                <w:sz w:val="20"/>
              </w:rPr>
              <w:t>exclusão</w:t>
            </w:r>
            <w:proofErr w:type="spellEnd"/>
          </w:p>
        </w:tc>
      </w:tr>
      <w:tr w:rsidR="00203927" w14:paraId="4BCB4FD3" w14:textId="77777777" w:rsidTr="00324773">
        <w:trPr>
          <w:jc w:val="center"/>
        </w:trPr>
        <w:tc>
          <w:tcPr>
            <w:tcW w:w="4241" w:type="dxa"/>
          </w:tcPr>
          <w:p w14:paraId="70250102" w14:textId="77777777" w:rsidR="00203927" w:rsidRDefault="00000000">
            <w:pPr>
              <w:spacing w:before="20" w:after="20"/>
            </w:pPr>
            <w:proofErr w:type="spellStart"/>
            <w:r>
              <w:rPr>
                <w:rFonts w:ascii="Times New Roman" w:hAnsi="Times New Roman"/>
                <w:sz w:val="20"/>
              </w:rPr>
              <w:lastRenderedPageBreak/>
              <w:t>Gestão</w:t>
            </w:r>
            <w:proofErr w:type="spellEnd"/>
            <w:r>
              <w:rPr>
                <w:rFonts w:ascii="Times New Roman" w:hAnsi="Times New Roman"/>
                <w:sz w:val="20"/>
              </w:rPr>
              <w:t xml:space="preserve"> de </w:t>
            </w:r>
            <w:proofErr w:type="spellStart"/>
            <w:r>
              <w:rPr>
                <w:rFonts w:ascii="Times New Roman" w:hAnsi="Times New Roman"/>
                <w:sz w:val="20"/>
              </w:rPr>
              <w:t>metadados</w:t>
            </w:r>
            <w:proofErr w:type="spellEnd"/>
          </w:p>
        </w:tc>
        <w:tc>
          <w:tcPr>
            <w:tcW w:w="4241" w:type="dxa"/>
          </w:tcPr>
          <w:p w14:paraId="56A49B64" w14:textId="77777777" w:rsidR="00203927" w:rsidRDefault="00000000">
            <w:pPr>
              <w:spacing w:before="20" w:after="20"/>
            </w:pPr>
            <w:r>
              <w:rPr>
                <w:rFonts w:ascii="Times New Roman" w:hAnsi="Times New Roman"/>
                <w:sz w:val="20"/>
              </w:rPr>
              <w:t>27, 28, 29</w:t>
            </w:r>
          </w:p>
        </w:tc>
        <w:tc>
          <w:tcPr>
            <w:tcW w:w="4241" w:type="dxa"/>
          </w:tcPr>
          <w:p w14:paraId="03EA3A4D" w14:textId="77777777" w:rsidR="00203927" w:rsidRDefault="00000000">
            <w:pPr>
              <w:spacing w:before="20" w:after="20"/>
            </w:pPr>
            <w:proofErr w:type="spellStart"/>
            <w:r>
              <w:rPr>
                <w:rFonts w:ascii="Times New Roman" w:hAnsi="Times New Roman"/>
                <w:sz w:val="20"/>
              </w:rPr>
              <w:t>Mantida</w:t>
            </w:r>
            <w:proofErr w:type="spellEnd"/>
            <w:r>
              <w:rPr>
                <w:rFonts w:ascii="Times New Roman" w:hAnsi="Times New Roman"/>
                <w:sz w:val="20"/>
              </w:rPr>
              <w:t xml:space="preserve">; gestor </w:t>
            </w:r>
            <w:proofErr w:type="spellStart"/>
            <w:r>
              <w:rPr>
                <w:rFonts w:ascii="Times New Roman" w:hAnsi="Times New Roman"/>
                <w:sz w:val="20"/>
              </w:rPr>
              <w:t>acolheu</w:t>
            </w:r>
            <w:proofErr w:type="spellEnd"/>
            <w:r>
              <w:rPr>
                <w:rFonts w:ascii="Times New Roman" w:hAnsi="Times New Roman"/>
                <w:sz w:val="20"/>
              </w:rPr>
              <w:t xml:space="preserve"> a </w:t>
            </w:r>
            <w:proofErr w:type="spellStart"/>
            <w:r>
              <w:rPr>
                <w:rFonts w:ascii="Times New Roman" w:hAnsi="Times New Roman"/>
                <w:sz w:val="20"/>
              </w:rPr>
              <w:t>recomendação</w:t>
            </w:r>
            <w:proofErr w:type="spellEnd"/>
            <w:r>
              <w:rPr>
                <w:rFonts w:ascii="Times New Roman" w:hAnsi="Times New Roman"/>
                <w:sz w:val="20"/>
              </w:rPr>
              <w:t xml:space="preserve"> e </w:t>
            </w:r>
            <w:proofErr w:type="spellStart"/>
            <w:r>
              <w:rPr>
                <w:rFonts w:ascii="Times New Roman" w:hAnsi="Times New Roman"/>
                <w:sz w:val="20"/>
              </w:rPr>
              <w:t>propôs</w:t>
            </w:r>
            <w:proofErr w:type="spellEnd"/>
            <w:r>
              <w:rPr>
                <w:rFonts w:ascii="Times New Roman" w:hAnsi="Times New Roman"/>
                <w:sz w:val="20"/>
              </w:rPr>
              <w:t xml:space="preserve"> </w:t>
            </w:r>
            <w:proofErr w:type="spellStart"/>
            <w:r>
              <w:rPr>
                <w:rFonts w:ascii="Times New Roman" w:hAnsi="Times New Roman"/>
                <w:sz w:val="20"/>
              </w:rPr>
              <w:t>implementação</w:t>
            </w:r>
            <w:proofErr w:type="spellEnd"/>
            <w:r>
              <w:rPr>
                <w:rFonts w:ascii="Times New Roman" w:hAnsi="Times New Roman"/>
                <w:sz w:val="20"/>
              </w:rPr>
              <w:t xml:space="preserve"> progressiva</w:t>
            </w:r>
          </w:p>
        </w:tc>
      </w:tr>
    </w:tbl>
    <w:p w14:paraId="51C21FCD" w14:textId="018F8363" w:rsidR="00203927" w:rsidRPr="00324773" w:rsidRDefault="00000000" w:rsidP="00324773">
      <w:pPr>
        <w:pStyle w:val="Pargrafonumerado"/>
        <w:ind w:left="0"/>
        <w:rPr>
          <w:b/>
          <w:bCs/>
        </w:rPr>
      </w:pPr>
      <w:r w:rsidRPr="00324773">
        <w:rPr>
          <w:b/>
          <w:bCs/>
        </w:rPr>
        <w:t>Alterações incorporadas ao relatório em razão dos comentários</w:t>
      </w:r>
    </w:p>
    <w:p w14:paraId="1F4AE69F" w14:textId="77777777" w:rsidR="00203927" w:rsidRDefault="00000000" w:rsidP="00324773">
      <w:pPr>
        <w:pStyle w:val="Pargrafonumerado"/>
        <w:numPr>
          <w:ilvl w:val="0"/>
          <w:numId w:val="6"/>
        </w:numPr>
        <w:spacing w:after="120"/>
        <w:ind w:left="0" w:firstLine="0"/>
      </w:pPr>
      <w:r>
        <w:t>Nos termos do parágrafo 147 das Normas de Auditoria do Tribunal de Contas da União, registra-se que os comentários do gestor foram considerados na redação do relatório, que incorpora os seguintes elementos:</w:t>
      </w:r>
    </w:p>
    <w:p w14:paraId="177E31DD" w14:textId="77777777" w:rsidR="00203927" w:rsidRDefault="00000000" w:rsidP="00324773">
      <w:pPr>
        <w:pStyle w:val="Pargrafonumerado"/>
        <w:numPr>
          <w:ilvl w:val="1"/>
          <w:numId w:val="6"/>
        </w:numPr>
        <w:spacing w:after="120"/>
        <w:ind w:left="0" w:firstLine="0"/>
      </w:pPr>
      <w:r>
        <w:t xml:space="preserve">- </w:t>
      </w:r>
      <w:proofErr w:type="gramStart"/>
      <w:r>
        <w:t>adoção</w:t>
      </w:r>
      <w:proofErr w:type="gramEnd"/>
      <w:r>
        <w:t xml:space="preserve"> de tom compatível com auditoria operacional em todos os achados, sem formulações que sugiram fiscalização de regularidade;</w:t>
      </w:r>
    </w:p>
    <w:p w14:paraId="5F4BA56E" w14:textId="77777777" w:rsidR="00203927" w:rsidRDefault="00000000" w:rsidP="00324773">
      <w:pPr>
        <w:pStyle w:val="Pargrafonumerado"/>
        <w:numPr>
          <w:ilvl w:val="1"/>
          <w:numId w:val="6"/>
        </w:numPr>
        <w:spacing w:after="120"/>
        <w:ind w:left="0" w:firstLine="0"/>
      </w:pPr>
      <w:r>
        <w:t xml:space="preserve">- </w:t>
      </w:r>
      <w:proofErr w:type="gramStart"/>
      <w:r>
        <w:t>distinção</w:t>
      </w:r>
      <w:proofErr w:type="gramEnd"/>
      <w:r>
        <w:t xml:space="preserve"> entre passivo acumulado e situação corrente, reconhecendo a heterogeneidade temporal e normativa da base;</w:t>
      </w:r>
    </w:p>
    <w:p w14:paraId="74164500" w14:textId="77777777" w:rsidR="00203927" w:rsidRDefault="00000000" w:rsidP="00324773">
      <w:pPr>
        <w:pStyle w:val="Pargrafonumerado"/>
        <w:numPr>
          <w:ilvl w:val="1"/>
          <w:numId w:val="6"/>
        </w:numPr>
        <w:spacing w:after="120"/>
        <w:ind w:left="0" w:firstLine="0"/>
      </w:pPr>
      <w:r>
        <w:t xml:space="preserve">- </w:t>
      </w:r>
      <w:proofErr w:type="gramStart"/>
      <w:r>
        <w:t>reconhecimento</w:t>
      </w:r>
      <w:proofErr w:type="gramEnd"/>
      <w:r>
        <w:t xml:space="preserve"> factual dos avanços implementados pelo gestor, incluindo o CAF 3.0, as novas integrações sistêmicas, o TED/UFES e a contratação da Dataprev;</w:t>
      </w:r>
    </w:p>
    <w:p w14:paraId="1561FB40" w14:textId="77777777" w:rsidR="00203927" w:rsidRDefault="00000000" w:rsidP="00324773">
      <w:pPr>
        <w:pStyle w:val="Pargrafonumerado"/>
        <w:numPr>
          <w:ilvl w:val="1"/>
          <w:numId w:val="6"/>
        </w:numPr>
        <w:spacing w:after="120"/>
        <w:ind w:left="0" w:firstLine="0"/>
      </w:pPr>
      <w:r>
        <w:t xml:space="preserve">- </w:t>
      </w:r>
      <w:proofErr w:type="gramStart"/>
      <w:r>
        <w:t>encaminhamentos</w:t>
      </w:r>
      <w:proofErr w:type="gramEnd"/>
      <w:r>
        <w:t xml:space="preserve"> formulados com ênfase no resultado a alcançar e liberdade de meios para implementação;</w:t>
      </w:r>
    </w:p>
    <w:p w14:paraId="6AF08F74" w14:textId="77777777" w:rsidR="00203927" w:rsidRDefault="00000000" w:rsidP="00324773">
      <w:pPr>
        <w:pStyle w:val="Pargrafonumerado"/>
        <w:numPr>
          <w:ilvl w:val="1"/>
          <w:numId w:val="6"/>
        </w:numPr>
        <w:spacing w:after="120"/>
        <w:ind w:left="0" w:firstLine="0"/>
      </w:pPr>
      <w:r>
        <w:t xml:space="preserve">- </w:t>
      </w:r>
      <w:proofErr w:type="gramStart"/>
      <w:r>
        <w:t>tratamento</w:t>
      </w:r>
      <w:proofErr w:type="gramEnd"/>
      <w:r>
        <w:t xml:space="preserve"> de renda e CNAE como indícios de risco para monitoramento, e não como critérios autoexecutáveis de inelegibilidade;</w:t>
      </w:r>
    </w:p>
    <w:p w14:paraId="29BC40BD" w14:textId="77777777" w:rsidR="00203927" w:rsidRDefault="00000000" w:rsidP="00324773">
      <w:pPr>
        <w:pStyle w:val="Pargrafonumerado"/>
        <w:numPr>
          <w:ilvl w:val="1"/>
          <w:numId w:val="6"/>
        </w:numPr>
        <w:spacing w:after="120"/>
        <w:ind w:left="0" w:firstLine="0"/>
      </w:pPr>
      <w:r>
        <w:t xml:space="preserve">- </w:t>
      </w:r>
      <w:proofErr w:type="gramStart"/>
      <w:r>
        <w:t>acolhimento</w:t>
      </w:r>
      <w:proofErr w:type="gramEnd"/>
      <w:r>
        <w:t xml:space="preserve"> do caráter orientativo da Resolução </w:t>
      </w:r>
      <w:proofErr w:type="spellStart"/>
      <w:r>
        <w:t>Conarq</w:t>
      </w:r>
      <w:proofErr w:type="spellEnd"/>
      <w:r>
        <w:t xml:space="preserve"> nº 31/2010;</w:t>
      </w:r>
    </w:p>
    <w:p w14:paraId="360C6635" w14:textId="77777777" w:rsidR="00203927" w:rsidRDefault="00000000" w:rsidP="00324773">
      <w:pPr>
        <w:pStyle w:val="Pargrafonumerado"/>
        <w:numPr>
          <w:ilvl w:val="1"/>
          <w:numId w:val="6"/>
        </w:numPr>
        <w:spacing w:after="120"/>
        <w:ind w:left="0" w:firstLine="0"/>
      </w:pPr>
      <w:r>
        <w:t xml:space="preserve">- </w:t>
      </w:r>
      <w:proofErr w:type="gramStart"/>
      <w:r>
        <w:t>delimitação</w:t>
      </w:r>
      <w:proofErr w:type="gramEnd"/>
      <w:r>
        <w:t xml:space="preserve"> mais precisa do Achado II como limitação geoespacial acumulada, sem conversão automática em comprometimento da finalidade jurídica do cadastro;</w:t>
      </w:r>
    </w:p>
    <w:p w14:paraId="14B9C70A" w14:textId="77777777" w:rsidR="00203927" w:rsidRDefault="00000000" w:rsidP="00324773">
      <w:pPr>
        <w:pStyle w:val="Pargrafonumerado"/>
        <w:numPr>
          <w:ilvl w:val="1"/>
          <w:numId w:val="6"/>
        </w:numPr>
        <w:spacing w:after="120"/>
        <w:ind w:left="0" w:firstLine="0"/>
      </w:pPr>
      <w:r>
        <w:t xml:space="preserve">- </w:t>
      </w:r>
      <w:proofErr w:type="gramStart"/>
      <w:r>
        <w:t>ajuste</w:t>
      </w:r>
      <w:proofErr w:type="gramEnd"/>
      <w:r>
        <w:t xml:space="preserve"> da proporcionalidade do Achado III, com distinção entre ocorrências de alta criticidade material e situações que demandam apenas aperfeiçoamento de regras de negócio.</w:t>
      </w:r>
    </w:p>
    <w:p w14:paraId="36157E8F" w14:textId="49745B87" w:rsidR="00203927" w:rsidRPr="00324773" w:rsidRDefault="00000000" w:rsidP="00324773">
      <w:pPr>
        <w:pStyle w:val="Pargrafonumerado"/>
        <w:spacing w:before="0"/>
        <w:ind w:left="0"/>
        <w:rPr>
          <w:b/>
          <w:bCs/>
        </w:rPr>
      </w:pPr>
      <w:r w:rsidRPr="00324773">
        <w:rPr>
          <w:b/>
          <w:bCs/>
        </w:rPr>
        <w:t>Síntese</w:t>
      </w:r>
    </w:p>
    <w:p w14:paraId="71A50911" w14:textId="77777777" w:rsidR="00203927" w:rsidRDefault="00000000" w:rsidP="00324773">
      <w:pPr>
        <w:pStyle w:val="Pargrafonumerado"/>
        <w:numPr>
          <w:ilvl w:val="0"/>
          <w:numId w:val="6"/>
        </w:numPr>
        <w:spacing w:after="120"/>
        <w:ind w:left="0" w:firstLine="0"/>
      </w:pPr>
      <w:r>
        <w:t xml:space="preserve">Dos 30 argumentos substantivos examinados: os questionamentos metodológicos foram parcialmente acolhidos quanto à explicitação e à delimitação, sem alteração das estimativas estatísticas; os argumentos de legado, transição tecnológica e contexto institucional foram reconhecidos como fatores relevantes para contextualização e priorização, sem deslocamento do diagnóstico central dos achados; os argumentos normativos sobre renda e CNAE foram acolhidos no plano da precisão de linguagem e alcance; as críticas à </w:t>
      </w:r>
      <w:proofErr w:type="spellStart"/>
      <w:r>
        <w:t>prescritividade</w:t>
      </w:r>
      <w:proofErr w:type="spellEnd"/>
      <w:r>
        <w:t xml:space="preserve"> dos encaminhamentos foram integralmente acolhidas na reformulação das propostas; as providências institucionais em curso foram valorizadas como contexto, sem equivaler a superação das fragilidades documentadas; e a concordância expressa do gestor com a insuficiência da governança de dados (peça 150, p. 53) e com a recomendação sobre gestão de metadados (peça 150, p. 71) reforça a pertinência do diagnóstico.</w:t>
      </w:r>
    </w:p>
    <w:p w14:paraId="6359B833" w14:textId="77777777" w:rsidR="00203927" w:rsidRDefault="00000000" w:rsidP="00324773">
      <w:pPr>
        <w:pStyle w:val="Pargrafonumerado"/>
        <w:numPr>
          <w:ilvl w:val="0"/>
          <w:numId w:val="6"/>
        </w:numPr>
        <w:spacing w:after="120"/>
        <w:ind w:left="0" w:firstLine="0"/>
      </w:pPr>
      <w:r>
        <w:t>Nenhum dos argumentos apresentados, isoladamente ou em conjunto, afasta a substância dos quatro achados nem a necessidade de resposta institucional estruturada. O que os comentários do gestor produziram — e o relatório incorporou — foi precisão de tom, de alcance, de proporcionalidade e de forma dos encaminhamentos, preservando o diagnóstico de que a qualidade dos dados do CAF requer aperfeiçoamento compatível com a escala e a criticidade do cadastro para as políticas públicas de agricultura familiar.</w:t>
      </w:r>
    </w:p>
    <w:sectPr w:rsidR="00203927" w:rsidSect="00324773">
      <w:footnotePr>
        <w:numRestart w:val="eachSect"/>
      </w:footnotePr>
      <w:pgSz w:w="12240" w:h="15840"/>
      <w:pgMar w:top="1701" w:right="1417" w:bottom="1417" w:left="141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5C3D9" w14:textId="77777777" w:rsidR="00017BD1" w:rsidRDefault="00017BD1" w:rsidP="00F33B55">
      <w:pPr>
        <w:spacing w:after="0"/>
      </w:pPr>
      <w:r>
        <w:separator/>
      </w:r>
    </w:p>
  </w:endnote>
  <w:endnote w:type="continuationSeparator" w:id="0">
    <w:p w14:paraId="63F828D2" w14:textId="77777777" w:rsidR="00017BD1" w:rsidRDefault="00017BD1" w:rsidP="00F33B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0276D" w14:textId="77777777" w:rsidR="00017BD1" w:rsidRDefault="00017BD1" w:rsidP="00F33B55">
      <w:pPr>
        <w:spacing w:after="0"/>
      </w:pPr>
      <w:r>
        <w:separator/>
      </w:r>
    </w:p>
  </w:footnote>
  <w:footnote w:type="continuationSeparator" w:id="0">
    <w:p w14:paraId="21C4C9C6" w14:textId="77777777" w:rsidR="00017BD1" w:rsidRDefault="00017BD1" w:rsidP="00F33B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F84F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2603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E1C20CB"/>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9274995"/>
    <w:multiLevelType w:val="multilevel"/>
    <w:tmpl w:val="38AA26D0"/>
    <w:lvl w:ilvl="0">
      <w:start w:val="2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3A2B6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25B4D22"/>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52700217">
    <w:abstractNumId w:val="0"/>
  </w:num>
  <w:num w:numId="2" w16cid:durableId="2120493404">
    <w:abstractNumId w:val="1"/>
  </w:num>
  <w:num w:numId="3" w16cid:durableId="682703834">
    <w:abstractNumId w:val="2"/>
  </w:num>
  <w:num w:numId="4" w16cid:durableId="1441994411">
    <w:abstractNumId w:val="5"/>
  </w:num>
  <w:num w:numId="5" w16cid:durableId="1066300155">
    <w:abstractNumId w:val="3"/>
  </w:num>
  <w:num w:numId="6" w16cid:durableId="3587753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1B0"/>
    <w:rsid w:val="00017BD1"/>
    <w:rsid w:val="00042153"/>
    <w:rsid w:val="00166492"/>
    <w:rsid w:val="001D181F"/>
    <w:rsid w:val="00203927"/>
    <w:rsid w:val="00324773"/>
    <w:rsid w:val="003F1C91"/>
    <w:rsid w:val="004D4AD2"/>
    <w:rsid w:val="006101B0"/>
    <w:rsid w:val="006516CB"/>
    <w:rsid w:val="00662A93"/>
    <w:rsid w:val="00753D92"/>
    <w:rsid w:val="00887804"/>
    <w:rsid w:val="00942B60"/>
    <w:rsid w:val="00C32F1C"/>
    <w:rsid w:val="00C6246C"/>
    <w:rsid w:val="00C923EF"/>
    <w:rsid w:val="00E7216B"/>
    <w:rsid w:val="00F33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2A809"/>
  <w15:docId w15:val="{E11A79A3-C51F-2145-B4F2-323CC154C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endnote reference" w:uiPriority="99"/>
    <w:lsdException w:name="endnote text"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qFormat/>
    <w:rsid w:val="00A10FD9"/>
    <w:pPr>
      <w:keepNext/>
      <w:keepLines/>
      <w:spacing w:before="360" w:after="80"/>
      <w:outlineLvl w:val="0"/>
    </w:pPr>
    <w:rPr>
      <w:rFonts w:asciiTheme="majorHAnsi" w:eastAsiaTheme="majorEastAsia" w:hAnsiTheme="majorHAnsi" w:cstheme="majorBidi"/>
      <w:b/>
      <w:color w:val="0F4761" w:themeColor="accent1" w:themeShade="BF"/>
      <w:sz w:val="28"/>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b/>
      <w:color w:val="0F4761" w:themeColor="accent1" w:themeShade="BF"/>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argrafonumerado">
    <w:name w:val="Parágrafo numerado"/>
    <w:basedOn w:val="Normal"/>
    <w:link w:val="PargrafonumeradoChar"/>
    <w:qFormat/>
    <w:rsid w:val="00F33B55"/>
    <w:pPr>
      <w:tabs>
        <w:tab w:val="left" w:pos="1134"/>
      </w:tabs>
      <w:spacing w:before="120" w:after="0"/>
      <w:ind w:left="2487"/>
      <w:jc w:val="both"/>
    </w:pPr>
    <w:rPr>
      <w:rFonts w:ascii="Times New Roman" w:eastAsia="Times New Roman" w:hAnsi="Times New Roman" w:cs="Times New Roman"/>
      <w:lang w:val="pt-BR" w:eastAsia="pt-BR"/>
    </w:rPr>
  </w:style>
  <w:style w:type="character" w:customStyle="1" w:styleId="PargrafonumeradoChar">
    <w:name w:val="Parágrafo numerado Char"/>
    <w:basedOn w:val="Fontepargpadro"/>
    <w:link w:val="Pargrafonumerado"/>
    <w:rsid w:val="00F33B55"/>
    <w:rPr>
      <w:rFonts w:ascii="Times New Roman" w:eastAsia="Times New Roman" w:hAnsi="Times New Roman" w:cs="Times New Roman"/>
      <w:lang w:val="pt-BR" w:eastAsia="pt-BR"/>
    </w:rPr>
  </w:style>
  <w:style w:type="paragraph" w:customStyle="1" w:styleId="Pargrafosubnumerado">
    <w:name w:val="Parágrafo subnumerado"/>
    <w:basedOn w:val="Pargrafonumerado"/>
    <w:qFormat/>
    <w:rsid w:val="00F33B55"/>
    <w:pPr>
      <w:ind w:left="2352" w:hanging="792"/>
    </w:pPr>
  </w:style>
  <w:style w:type="paragraph" w:customStyle="1" w:styleId="Pargrafosubsubnumerado">
    <w:name w:val="Parágrafo sub subnumerado"/>
    <w:basedOn w:val="Pargrafosubnumerado"/>
    <w:qFormat/>
    <w:rsid w:val="00F33B55"/>
    <w:pPr>
      <w:ind w:left="2642" w:hanging="504"/>
    </w:pPr>
  </w:style>
  <w:style w:type="paragraph" w:styleId="Textodenotadefim">
    <w:name w:val="endnote text"/>
    <w:basedOn w:val="Normal"/>
    <w:link w:val="TextodenotadefimChar"/>
    <w:uiPriority w:val="99"/>
    <w:unhideWhenUsed/>
    <w:rsid w:val="00F33B55"/>
    <w:pPr>
      <w:spacing w:after="0"/>
    </w:pPr>
    <w:rPr>
      <w:rFonts w:ascii="Times New Roman" w:eastAsia="Times New Roman" w:hAnsi="Times New Roman" w:cs="Times New Roman"/>
      <w:sz w:val="20"/>
      <w:szCs w:val="20"/>
      <w:lang w:val="pt-BR" w:eastAsia="pt-BR"/>
    </w:rPr>
  </w:style>
  <w:style w:type="character" w:customStyle="1" w:styleId="TextodenotadefimChar">
    <w:name w:val="Texto de nota de fim Char"/>
    <w:basedOn w:val="Fontepargpadro"/>
    <w:link w:val="Textodenotadefim"/>
    <w:uiPriority w:val="99"/>
    <w:rsid w:val="00F33B55"/>
    <w:rPr>
      <w:rFonts w:ascii="Times New Roman" w:eastAsia="Times New Roman" w:hAnsi="Times New Roman" w:cs="Times New Roman"/>
      <w:sz w:val="20"/>
      <w:szCs w:val="20"/>
      <w:lang w:val="pt-BR" w:eastAsia="pt-BR"/>
    </w:rPr>
  </w:style>
  <w:style w:type="character" w:styleId="Refdenotadefim">
    <w:name w:val="endnote reference"/>
    <w:basedOn w:val="Fontepargpadro"/>
    <w:uiPriority w:val="99"/>
    <w:unhideWhenUsed/>
    <w:rsid w:val="00F33B55"/>
    <w:rPr>
      <w:vertAlign w:val="superscript"/>
    </w:rPr>
  </w:style>
  <w:style w:type="paragraph" w:styleId="PargrafodaLista">
    <w:name w:val="List Paragraph"/>
    <w:basedOn w:val="Normal"/>
    <w:rsid w:val="006516CB"/>
    <w:pPr>
      <w:ind w:left="720"/>
      <w:contextualSpacing/>
    </w:pPr>
  </w:style>
  <w:style w:type="paragraph" w:styleId="NormalWeb">
    <w:name w:val="Normal (Web)"/>
    <w:basedOn w:val="Normal"/>
    <w:uiPriority w:val="99"/>
    <w:unhideWhenUsed/>
    <w:rsid w:val="001D181F"/>
    <w:pPr>
      <w:spacing w:before="100" w:beforeAutospacing="1" w:after="100" w:afterAutospacing="1"/>
    </w:pPr>
    <w:rPr>
      <w:rFonts w:ascii="Times New Roman" w:eastAsia="Times New Roman" w:hAnsi="Times New Roman" w:cs="Times New Roman"/>
      <w:lang w:val="pt-BR" w:eastAsia="pt-BR"/>
    </w:rPr>
  </w:style>
  <w:style w:type="character" w:styleId="Forte">
    <w:name w:val="Strong"/>
    <w:basedOn w:val="Fontepargpadro"/>
    <w:uiPriority w:val="22"/>
    <w:qFormat/>
    <w:rsid w:val="001D18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28</Pages>
  <Words>14036</Words>
  <Characters>81270</Characters>
  <Application>Microsoft Office Word</Application>
  <DocSecurity>0</DocSecurity>
  <Lines>1195</Lines>
  <Paragraphs>389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Fernando Lima Gama Júnior</dc:creator>
  <cp:keywords/>
  <cp:lastModifiedBy>Fernando Lima Gama Júnior</cp:lastModifiedBy>
  <cp:revision>8</cp:revision>
  <dcterms:created xsi:type="dcterms:W3CDTF">2026-03-20T18:35:00Z</dcterms:created>
  <dcterms:modified xsi:type="dcterms:W3CDTF">2026-03-26T15:17:00Z</dcterms:modified>
</cp:coreProperties>
</file>