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4D35"/>
          <w:sz w:val="40"/>
        </w:rPr>
        <w:t>Skillable Intelligence Platform</w:t>
      </w:r>
    </w:p>
    <w:p>
      <w:pPr>
        <w:spacing w:before="0" w:after="60"/>
      </w:pPr>
      <w:r>
        <w:rPr>
          <w:rFonts w:ascii="Calibri" w:hAnsi="Calibri"/>
          <w:color w:val="606060"/>
          <w:sz w:val="20"/>
        </w:rPr>
        <w:t>Executive Briefing — Security Operations &amp; Revenue Operations  ·  March 2026</w:t>
      </w:r>
    </w:p>
    <w:p>
      <w:pPr>
        <w:spacing w:before="0" w:after="140"/>
        <w:pBdr>
          <w:bottom w:val="single" w:sz="10" w:space="1" w:color="1A4D35"/>
        </w:pBdr>
      </w:pPr>
      <w:r>
        <w:rPr>
          <w:sz w:val="4"/>
        </w:rPr>
      </w:r>
    </w:p>
    <w:p>
      <w:pPr>
        <w:spacing w:before="180" w:after="60"/>
        <w:pBdr>
          <w:bottom w:val="single" w:sz="6" w:space="1" w:color="1A4D35"/>
        </w:pBdr>
      </w:pPr>
      <w:r>
        <w:rPr>
          <w:rFonts w:ascii="Calibri" w:hAnsi="Calibri"/>
          <w:b/>
          <w:i w:val="0"/>
          <w:color w:val="1A4D35"/>
          <w:sz w:val="24"/>
        </w:rPr>
        <w:t>1.  Why We Built This — Problems Being Solved</w:t>
      </w:r>
    </w:p>
    <w:p>
      <w:pPr>
        <w:spacing w:before="0" w:after="60"/>
      </w:pPr>
      <w:r>
        <w:rPr>
          <w:rFonts w:ascii="Calibri" w:hAnsi="Calibri"/>
          <w:b w:val="0"/>
          <w:i w:val="0"/>
          <w:color w:val="1A1A1A"/>
          <w:sz w:val="20"/>
        </w:rPr>
        <w:t>The revenue and partnerships teams face three concrete friction points today:</w:t>
      </w:r>
    </w:p>
    <w:p>
      <w:pPr>
        <w:pStyle w:val="ListBullet"/>
        <w:spacing w:before="0" w:after="60"/>
      </w:pPr>
      <w:r>
        <w:rPr>
          <w:rFonts w:ascii="Calibri" w:hAnsi="Calibri"/>
          <w:b w:val="0"/>
          <w:i w:val="0"/>
          <w:color w:val="1A1A1A"/>
          <w:sz w:val="20"/>
        </w:rPr>
        <w:t>No fast way to qualify a company for a lab conversation. SEs and AMs spend hours researching whether a prospect’s products are technically buildable as Skillable labs — time that compounds across every territory.</w:t>
      </w:r>
    </w:p>
    <w:p>
      <w:pPr>
        <w:pStyle w:val="ListBullet"/>
        <w:spacing w:before="0" w:after="60"/>
      </w:pPr>
      <w:r>
        <w:rPr>
          <w:rFonts w:ascii="Calibri" w:hAnsi="Calibri"/>
          <w:b w:val="0"/>
          <w:i w:val="0"/>
          <w:color w:val="1A1A1A"/>
          <w:sz w:val="20"/>
        </w:rPr>
        <w:t>No scalable way to build target lists. Identifying companies with the right training ecosystems, partner programs, and technical products for a Skillable partnership currently requires manual research at every stage.</w:t>
      </w:r>
    </w:p>
    <w:p>
      <w:pPr>
        <w:pStyle w:val="ListBullet"/>
        <w:spacing w:before="0" w:after="60"/>
      </w:pPr>
      <w:r>
        <w:rPr>
          <w:rFonts w:ascii="Calibri" w:hAnsi="Calibri"/>
          <w:b w:val="0"/>
          <w:i w:val="0"/>
          <w:color w:val="1A1A1A"/>
          <w:sz w:val="20"/>
        </w:rPr>
        <w:t>No starting point for lab program design. When an SE wants to propose a lab program to a prospect, they start from a blank page — no structure, no connection to the research already done on the company.</w:t>
      </w:r>
    </w:p>
    <w:p>
      <w:pPr>
        <w:spacing w:before="40" w:after="100"/>
      </w:pPr>
      <w:r>
        <w:rPr>
          <w:rFonts w:ascii="Calibri" w:hAnsi="Calibri"/>
          <w:b/>
          <w:i w:val="0"/>
          <w:color w:val="1A1A1A"/>
          <w:sz w:val="20"/>
        </w:rPr>
        <w:t>Skillable Intelligence addresses all three.</w:t>
      </w:r>
    </w:p>
    <w:p>
      <w:pPr>
        <w:spacing w:before="180" w:after="60"/>
        <w:pBdr>
          <w:bottom w:val="single" w:sz="6" w:space="1" w:color="1A4D35"/>
        </w:pBdr>
      </w:pPr>
      <w:r>
        <w:rPr>
          <w:rFonts w:ascii="Calibri" w:hAnsi="Calibri"/>
          <w:b/>
          <w:i w:val="0"/>
          <w:color w:val="1A4D35"/>
          <w:sz w:val="24"/>
        </w:rPr>
        <w:t>2.  What It Is — Platform Elements</w:t>
      </w:r>
    </w:p>
    <w:p>
      <w:pPr>
        <w:spacing w:before="0" w:after="60"/>
      </w:pPr>
      <w:r>
        <w:rPr>
          <w:rFonts w:ascii="Calibri" w:hAnsi="Calibri"/>
          <w:b w:val="0"/>
          <w:i w:val="0"/>
          <w:color w:val="1A1A1A"/>
          <w:sz w:val="20"/>
        </w:rPr>
        <w:t>Three tools forming a pipeline from target identification through lab program design:</w:t>
      </w:r>
    </w:p>
    <w:p>
      <w:pPr>
        <w:pStyle w:val="ListBullet"/>
        <w:spacing w:before="0" w:after="60"/>
      </w:pPr>
      <w:r>
        <w:rPr>
          <w:rFonts w:ascii="Calibri" w:hAnsi="Calibri"/>
          <w:b/>
          <w:i w:val="0"/>
          <w:color w:val="1A1A1A"/>
          <w:sz w:val="20"/>
        </w:rPr>
        <w:t>Inspector — Single-Company Deep Analysis.</w:t>
      </w:r>
      <w:r>
        <w:rPr>
          <w:rFonts w:ascii="Calibri" w:hAnsi="Calibri"/>
          <w:b w:val="0"/>
          <w:i w:val="0"/>
          <w:color w:val="1A1A1A"/>
          <w:sz w:val="20"/>
        </w:rPr>
        <w:t xml:space="preserve"> Scores a company’s products for labability (0–100) across four dimensions; produces a lab maturity score, opportunity composite, recommended Skillable path (VM / Cloud Slice / Simulation), estimated annual ACV, and named contacts for training/enablement outreach. Used by SEs and AMs for pre-call research.</w:t>
      </w:r>
    </w:p>
    <w:p>
      <w:pPr>
        <w:pStyle w:val="ListBullet"/>
        <w:spacing w:before="0" w:after="60"/>
      </w:pPr>
      <w:r>
        <w:rPr>
          <w:rFonts w:ascii="Calibri" w:hAnsi="Calibri"/>
          <w:b/>
          <w:i w:val="0"/>
          <w:color w:val="1A1A1A"/>
          <w:sz w:val="20"/>
        </w:rPr>
        <w:t>Prospector — Batch Territory Scoring.</w:t>
      </w:r>
      <w:r>
        <w:rPr>
          <w:rFonts w:ascii="Calibri" w:hAnsi="Calibri"/>
          <w:b w:val="0"/>
          <w:i w:val="0"/>
          <w:color w:val="1A1A1A"/>
          <w:sz w:val="20"/>
        </w:rPr>
        <w:t xml:space="preserve"> Runs a lightweight Inspector analysis on a full ZoomInfo export simultaneously — returns a ranked, scored table with labability/lab maturity/composite scores, a path label (Labable / Simulations / Do Not Pursue / Academic / Not a Fit), and top two contacts per company with LinkedIn and Excel export. Used by RevOps and field sales for account-based targeting.</w:t>
      </w:r>
    </w:p>
    <w:p>
      <w:pPr>
        <w:pStyle w:val="ListBullet"/>
        <w:spacing w:before="0" w:after="60"/>
      </w:pPr>
      <w:r>
        <w:rPr>
          <w:rFonts w:ascii="Calibri" w:hAnsi="Calibri"/>
          <w:b/>
          <w:i w:val="0"/>
          <w:color w:val="1A1A1A"/>
          <w:sz w:val="20"/>
        </w:rPr>
        <w:t>Designer — Lab Program Scaffolding.</w:t>
      </w:r>
      <w:r>
        <w:rPr>
          <w:rFonts w:ascii="Calibri" w:hAnsi="Calibri"/>
          <w:b w:val="0"/>
          <w:i w:val="0"/>
          <w:color w:val="1A1A1A"/>
          <w:sz w:val="20"/>
        </w:rPr>
        <w:t xml:space="preserve"> A four-phase wizard that designs a complete lab program for a specific company — from audience and objectives through program architecture, draft lab instructions, and Skillable Studio export. Used by SEs building a proof of concept or proposal after Inspector identifies a strong opportunity.</w:t>
      </w:r>
    </w:p>
    <w:p>
      <w:pPr>
        <w:spacing w:before="180" w:after="60"/>
        <w:pBdr>
          <w:bottom w:val="single" w:sz="6" w:space="1" w:color="1A4D35"/>
        </w:pBdr>
      </w:pPr>
      <w:r>
        <w:rPr>
          <w:rFonts w:ascii="Calibri" w:hAnsi="Calibri"/>
          <w:b/>
          <w:i w:val="0"/>
          <w:color w:val="1A4D35"/>
          <w:sz w:val="24"/>
        </w:rPr>
        <w:t>3.  How They Work Together</w:t>
      </w:r>
    </w:p>
    <w:p>
      <w:pPr>
        <w:spacing w:before="0" w:after="0"/>
      </w:pPr>
      <w:r>
        <w:rPr>
          <w:sz w:val="8"/>
        </w:rPr>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96"/>
        <w:gridCol w:w="4896"/>
      </w:tblGrid>
      <w:tr>
        <w:tc>
          <w:tcPr>
            <w:tcW w:type="dxa" w:w="2160"/>
            <w:tcBorders>
              <w:top w:val="none" w:sz="0" w:space="0" w:color="auto"/>
              <w:left w:val="none" w:sz="0" w:space="0" w:color="auto"/>
              <w:bottom w:val="none" w:sz="0" w:space="0" w:color="auto"/>
              <w:right w:val="none" w:sz="0" w:space="0" w:color="auto"/>
            </w:tcBorders>
          </w:tcPr>
          <w:p>
            <w:pPr>
              <w:spacing w:before="0" w:after="60"/>
            </w:pPr>
            <w:r>
              <w:rPr>
                <w:rFonts w:ascii="Calibri" w:hAnsi="Calibri"/>
                <w:b/>
                <w:color w:val="606060"/>
                <w:sz w:val="16"/>
              </w:rPr>
              <w:t>Pipeline Flow</w:t>
            </w:r>
          </w:p>
          <w:p>
            <w:pPr>
              <w:jc w:val="left"/>
              <w:spacing w:before="20" w:after="20"/>
              <w:shd w:val="clear" w:color="auto" w:fill="D0E8DA"/>
              <w:ind w:left="120" w:right="120"/>
            </w:pPr>
            <w:r>
              <w:rPr>
                <w:rFonts w:ascii="Calibri" w:hAnsi="Calibri"/>
                <w:b/>
                <w:color w:val="1A1A1A"/>
                <w:sz w:val="16"/>
              </w:rPr>
              <w:t>ZoomInfo Export</w:t>
            </w:r>
          </w:p>
          <w:p>
            <w:pPr>
              <w:jc w:val="left"/>
              <w:spacing w:before="0" w:after="0"/>
              <w:ind w:left="160"/>
            </w:pPr>
            <w:r>
              <w:rPr>
                <w:rFonts w:ascii="Calibri" w:hAnsi="Calibri"/>
                <w:b/>
                <w:color w:val="1A4D35"/>
                <w:sz w:val="16"/>
              </w:rPr>
              <w:t>↓</w:t>
            </w:r>
          </w:p>
          <w:p>
            <w:pPr>
              <w:jc w:val="left"/>
              <w:spacing w:before="20" w:after="20"/>
              <w:shd w:val="clear" w:color="auto" w:fill="1A4D35"/>
              <w:ind w:left="120" w:right="120"/>
            </w:pPr>
            <w:r>
              <w:rPr>
                <w:rFonts w:ascii="Calibri" w:hAnsi="Calibri"/>
                <w:b/>
                <w:color w:val="FFFFFF"/>
                <w:sz w:val="16"/>
              </w:rPr>
              <w:t>PROSPECTOR</w:t>
            </w:r>
          </w:p>
          <w:p>
            <w:pPr>
              <w:jc w:val="left"/>
              <w:spacing w:before="0" w:after="0"/>
              <w:ind w:left="160"/>
            </w:pPr>
            <w:r>
              <w:rPr>
                <w:rFonts w:ascii="Calibri" w:hAnsi="Calibri"/>
                <w:b/>
                <w:color w:val="1A4D35"/>
                <w:sz w:val="16"/>
              </w:rPr>
              <w:t>↓</w:t>
            </w:r>
          </w:p>
          <w:p>
            <w:pPr>
              <w:jc w:val="left"/>
              <w:spacing w:before="20" w:after="20"/>
              <w:shd w:val="clear" w:color="auto" w:fill="1A4D35"/>
              <w:ind w:left="120" w:right="120"/>
            </w:pPr>
            <w:r>
              <w:rPr>
                <w:rFonts w:ascii="Calibri" w:hAnsi="Calibri"/>
                <w:b/>
                <w:color w:val="FFFFFF"/>
                <w:sz w:val="16"/>
              </w:rPr>
              <w:t>INSPECTOR  →  HubSpot</w:t>
            </w:r>
          </w:p>
          <w:p>
            <w:pPr>
              <w:jc w:val="left"/>
              <w:spacing w:before="0" w:after="0"/>
              <w:ind w:left="160"/>
            </w:pPr>
            <w:r>
              <w:rPr>
                <w:rFonts w:ascii="Calibri" w:hAnsi="Calibri"/>
                <w:b/>
                <w:color w:val="1A4D35"/>
                <w:sz w:val="16"/>
              </w:rPr>
              <w:t>↓</w:t>
            </w:r>
          </w:p>
          <w:p>
            <w:pPr>
              <w:jc w:val="left"/>
              <w:spacing w:before="20" w:after="20"/>
              <w:shd w:val="clear" w:color="auto" w:fill="1A4D35"/>
              <w:ind w:left="120" w:right="120"/>
            </w:pPr>
            <w:r>
              <w:rPr>
                <w:rFonts w:ascii="Calibri" w:hAnsi="Calibri"/>
                <w:b/>
                <w:color w:val="FFFFFF"/>
                <w:sz w:val="16"/>
              </w:rPr>
              <w:t>DESIGNER</w:t>
            </w:r>
          </w:p>
          <w:p>
            <w:pPr>
              <w:jc w:val="left"/>
              <w:spacing w:before="0" w:after="0"/>
              <w:ind w:left="160"/>
            </w:pPr>
            <w:r>
              <w:rPr>
                <w:rFonts w:ascii="Calibri" w:hAnsi="Calibri"/>
                <w:b/>
                <w:color w:val="1A4D35"/>
                <w:sz w:val="16"/>
              </w:rPr>
              <w:t>↓</w:t>
            </w:r>
          </w:p>
          <w:p>
            <w:pPr>
              <w:jc w:val="left"/>
              <w:spacing w:before="20" w:after="20"/>
              <w:shd w:val="clear" w:color="auto" w:fill="D0E8DA"/>
              <w:ind w:left="120" w:right="120"/>
            </w:pPr>
            <w:r>
              <w:rPr>
                <w:rFonts w:ascii="Calibri" w:hAnsi="Calibri"/>
                <w:b/>
                <w:color w:val="1A1A1A"/>
                <w:sz w:val="16"/>
              </w:rPr>
              <w:t>Skillable Studio</w:t>
            </w:r>
          </w:p>
        </w:tc>
        <w:tc>
          <w:tcPr>
            <w:tcW w:type="dxa" w:w="7632"/>
            <w:tcBorders>
              <w:top w:val="none" w:sz="0" w:space="0" w:color="auto"/>
              <w:left w:val="none" w:sz="0" w:space="0" w:color="auto"/>
              <w:bottom w:val="none" w:sz="0" w:space="0" w:color="auto"/>
              <w:right w:val="none" w:sz="0" w:space="0" w:color="auto"/>
            </w:tcBorders>
          </w:tcPr>
          <w:p>
            <w:pPr>
              <w:spacing w:before="0" w:after="60"/>
            </w:pPr>
            <w:r>
              <w:rPr>
                <w:rFonts w:ascii="Calibri" w:hAnsi="Calibri"/>
                <w:b/>
                <w:color w:val="606060"/>
                <w:sz w:val="16"/>
              </w:rPr>
              <w:t>External Dependencies</w:t>
            </w:r>
          </w:p>
          <w:tbl>
            <w:tblPr>
              <w:tblW w:type="auto" w:w="0"/>
              <w:jc w:val="left"/>
              <w:tblLook w:firstColumn="1" w:firstRow="1" w:lastColumn="0" w:lastRow="0" w:noHBand="0" w:noVBand="1" w:val="04A0"/>
            </w:tblPr>
            <w:tblGrid>
              <w:gridCol w:w="2544"/>
              <w:gridCol w:w="2544"/>
              <w:gridCol w:w="2544"/>
            </w:tblGrid>
            <w:tr>
              <w:tc>
                <w:tcPr>
                  <w:tcW w:type="dxa" w:w="2200"/>
                  <w:shd w:val="clear" w:color="auto" w:fill="1A4D35"/>
                  <w:tcBorders>
                    <w:top w:val="single" w:sz="4" w:space="0" w:color="1A4D35"/>
                    <w:left w:val="single" w:sz="4" w:space="0" w:color="1A4D35"/>
                    <w:bottom w:val="single" w:sz="4" w:space="0" w:color="1A4D35"/>
                    <w:right w:val="single" w:sz="4" w:space="0" w:color="1A4D35"/>
                  </w:tcBorders>
                  <w:tcMar>
                    <w:top w:w="80" w:type="dxa"/>
                    <w:left w:w="80" w:type="dxa"/>
                    <w:bottom w:w="80" w:type="dxa"/>
                    <w:right w:w="80" w:type="dxa"/>
                  </w:tcMar>
                </w:tcPr>
                <w:p>
                  <w:r>
                    <w:rPr>
                      <w:rFonts w:ascii="Calibri" w:hAnsi="Calibri"/>
                      <w:b/>
                      <w:color w:val="FFFFFF"/>
                      <w:sz w:val="16"/>
                    </w:rPr>
                    <w:t>Dependency</w:t>
                  </w:r>
                </w:p>
              </w:tc>
              <w:tc>
                <w:tcPr>
                  <w:tcW w:type="dxa" w:w="3832"/>
                  <w:shd w:val="clear" w:color="auto" w:fill="1A4D35"/>
                  <w:tcBorders>
                    <w:top w:val="single" w:sz="4" w:space="0" w:color="1A4D35"/>
                    <w:left w:val="single" w:sz="4" w:space="0" w:color="1A4D35"/>
                    <w:bottom w:val="single" w:sz="4" w:space="0" w:color="1A4D35"/>
                    <w:right w:val="single" w:sz="4" w:space="0" w:color="1A4D35"/>
                  </w:tcBorders>
                  <w:tcMar>
                    <w:top w:w="80" w:type="dxa"/>
                    <w:left w:w="80" w:type="dxa"/>
                    <w:bottom w:w="80" w:type="dxa"/>
                    <w:right w:w="80" w:type="dxa"/>
                  </w:tcMar>
                </w:tcPr>
                <w:p>
                  <w:r>
                    <w:rPr>
                      <w:rFonts w:ascii="Calibri" w:hAnsi="Calibri"/>
                      <w:b/>
                      <w:color w:val="FFFFFF"/>
                      <w:sz w:val="16"/>
                    </w:rPr>
                    <w:t>Purpose</w:t>
                  </w:r>
                </w:p>
              </w:tc>
              <w:tc>
                <w:tcPr>
                  <w:tcW w:type="dxa" w:w="1600"/>
                  <w:shd w:val="clear" w:color="auto" w:fill="1A4D35"/>
                  <w:tcBorders>
                    <w:top w:val="single" w:sz="4" w:space="0" w:color="1A4D35"/>
                    <w:left w:val="single" w:sz="4" w:space="0" w:color="1A4D35"/>
                    <w:bottom w:val="single" w:sz="4" w:space="0" w:color="1A4D35"/>
                    <w:right w:val="single" w:sz="4" w:space="0" w:color="1A4D35"/>
                  </w:tcBorders>
                  <w:tcMar>
                    <w:top w:w="80" w:type="dxa"/>
                    <w:left w:w="80" w:type="dxa"/>
                    <w:bottom w:w="80" w:type="dxa"/>
                    <w:right w:w="80" w:type="dxa"/>
                  </w:tcMar>
                </w:tcPr>
                <w:p>
                  <w:r>
                    <w:rPr>
                      <w:rFonts w:ascii="Calibri" w:hAnsi="Calibri"/>
                      <w:b/>
                      <w:color w:val="FFFFFF"/>
                      <w:sz w:val="16"/>
                    </w:rPr>
                    <w:t>Owner</w:t>
                  </w:r>
                </w:p>
              </w:tc>
            </w:tr>
            <w:tr>
              <w:tc>
                <w:tcPr>
                  <w:tcW w:type="dxa" w:w="2200"/>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Anthropic Claude API</w:t>
                  </w:r>
                </w:p>
              </w:tc>
              <w:tc>
                <w:tcPr>
                  <w:tcW w:type="dxa" w:w="3832"/>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AI research &amp; scoring — all three tools</w:t>
                  </w:r>
                </w:p>
              </w:tc>
              <w:tc>
                <w:tcPr>
                  <w:tcW w:type="dxa" w:w="1600"/>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Platform (Key Vault)</w:t>
                  </w:r>
                </w:p>
              </w:tc>
            </w:tr>
            <w:tr>
              <w:tc>
                <w:tcPr>
                  <w:tcW w:type="dxa" w:w="2200"/>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Serper.dev (Google Search)</w:t>
                  </w:r>
                </w:p>
              </w:tc>
              <w:tc>
                <w:tcPr>
                  <w:tcW w:type="dxa" w:w="3832"/>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Web research for company/product data</w:t>
                  </w:r>
                </w:p>
              </w:tc>
              <w:tc>
                <w:tcPr>
                  <w:tcW w:type="dxa" w:w="1600"/>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Platform (Key Vault)</w:t>
                  </w:r>
                </w:p>
              </w:tc>
            </w:tr>
            <w:tr>
              <w:tc>
                <w:tcPr>
                  <w:tcW w:type="dxa" w:w="2200"/>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ZoomInfo</w:t>
                  </w:r>
                </w:p>
              </w:tc>
              <w:tc>
                <w:tcPr>
                  <w:tcW w:type="dxa" w:w="3832"/>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Source of company lists for Prospector</w:t>
                  </w:r>
                </w:p>
              </w:tc>
              <w:tc>
                <w:tcPr>
                  <w:tcW w:type="dxa" w:w="1600"/>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Revenue Operations</w:t>
                  </w:r>
                </w:p>
              </w:tc>
            </w:tr>
            <w:tr>
              <w:tc>
                <w:tcPr>
                  <w:tcW w:type="dxa" w:w="2200"/>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HubSpot</w:t>
                  </w:r>
                </w:p>
              </w:tc>
              <w:tc>
                <w:tcPr>
                  <w:tcW w:type="dxa" w:w="3832"/>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Destination for qualified leads &amp; opportunity data</w:t>
                  </w:r>
                </w:p>
              </w:tc>
              <w:tc>
                <w:tcPr>
                  <w:tcW w:type="dxa" w:w="1600"/>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Revenue Operations</w:t>
                  </w:r>
                </w:p>
              </w:tc>
            </w:tr>
          </w:tbl>
          <w:p/>
        </w:tc>
      </w:tr>
    </w:tbl>
    <w:p>
      <w:pPr>
        <w:spacing w:before="0" w:after="0"/>
      </w:pPr>
      <w:r>
        <w:rPr>
          <w:sz w:val="12"/>
        </w:rPr>
      </w:r>
    </w:p>
    <w:p>
      <w:pPr>
        <w:spacing w:before="180" w:after="60"/>
        <w:pBdr>
          <w:bottom w:val="single" w:sz="6" w:space="1" w:color="1A4D35"/>
        </w:pBdr>
      </w:pPr>
      <w:r>
        <w:rPr>
          <w:rFonts w:ascii="Calibri" w:hAnsi="Calibri"/>
          <w:b/>
          <w:i w:val="0"/>
          <w:color w:val="1A4D35"/>
          <w:sz w:val="24"/>
        </w:rPr>
        <w:t>4.  Security — What SecOps Needs to Know</w:t>
      </w:r>
    </w:p>
    <w:p>
      <w:pPr>
        <w:pStyle w:val="ListBullet"/>
        <w:spacing w:before="0" w:after="60"/>
      </w:pPr>
      <w:r>
        <w:rPr>
          <w:rFonts w:ascii="Calibri" w:hAnsi="Calibri"/>
          <w:b/>
          <w:i w:val="0"/>
          <w:color w:val="1A1A1A"/>
          <w:sz w:val="20"/>
        </w:rPr>
        <w:t>Credential Handling:</w:t>
      </w:r>
      <w:r>
        <w:rPr>
          <w:rFonts w:ascii="Calibri" w:hAnsi="Calibri"/>
          <w:b w:val="0"/>
          <w:i w:val="0"/>
          <w:color w:val="1A1A1A"/>
          <w:sz w:val="20"/>
        </w:rPr>
        <w:t xml:space="preserve"> API keys (Anthropic, Serper) live server-side in a .env file — never in browser storage or source code. All client-side API calls were eliminated in the most recent build cycle.</w:t>
      </w:r>
    </w:p>
    <w:p>
      <w:pPr>
        <w:pStyle w:val="ListBullet"/>
        <w:spacing w:before="0" w:after="60"/>
      </w:pPr>
      <w:r>
        <w:rPr>
          <w:rFonts w:ascii="Calibri" w:hAnsi="Calibri"/>
          <w:b/>
          <w:i w:val="0"/>
          <w:color w:val="1A1A1A"/>
          <w:sz w:val="20"/>
        </w:rPr>
        <w:t>Data Touched:</w:t>
      </w:r>
      <w:r>
        <w:rPr>
          <w:rFonts w:ascii="Calibri" w:hAnsi="Calibri"/>
          <w:b w:val="0"/>
          <w:i w:val="0"/>
          <w:color w:val="1A1A1A"/>
          <w:sz w:val="20"/>
        </w:rPr>
        <w:t xml:space="preserve"> Company names, URLs, and product descriptions (public, AI-synthesized). Contact names, titles, and LinkedIn URLs sourced from public web search — equivalent to a manual Google search. No customer data, financial data, or internal Skillable systems data flows through the platform.</w:t>
      </w:r>
    </w:p>
    <w:p>
      <w:pPr>
        <w:pStyle w:val="ListBullet"/>
        <w:spacing w:before="0" w:after="60"/>
      </w:pPr>
      <w:r>
        <w:rPr>
          <w:rFonts w:ascii="Calibri" w:hAnsi="Calibri"/>
          <w:b/>
          <w:i w:val="0"/>
          <w:color w:val="1A1A1A"/>
          <w:sz w:val="20"/>
        </w:rPr>
        <w:t>Current State:</w:t>
      </w:r>
      <w:r>
        <w:rPr>
          <w:rFonts w:ascii="Calibri" w:hAnsi="Calibri"/>
          <w:b w:val="0"/>
          <w:i w:val="0"/>
          <w:color w:val="1A1A1A"/>
          <w:sz w:val="20"/>
        </w:rPr>
        <w:t xml:space="preserve"> No user authentication today — runs locally on a developer machine. Must be resolved before any shared deployment. No database; results stored as flat JSON on local filesystem.</w:t>
      </w:r>
    </w:p>
    <w:p>
      <w:pPr>
        <w:pStyle w:val="ListBullet"/>
        <w:spacing w:before="0" w:after="60"/>
      </w:pPr>
      <w:r>
        <w:rPr>
          <w:rFonts w:ascii="Calibri" w:hAnsi="Calibri"/>
          <w:b/>
          <w:i w:val="0"/>
          <w:color w:val="1A1A1A"/>
          <w:sz w:val="20"/>
        </w:rPr>
        <w:t>Risks:</w:t>
      </w:r>
      <w:r>
        <w:rPr>
          <w:rFonts w:ascii="Calibri" w:hAnsi="Calibri"/>
          <w:b w:val="0"/>
          <w:i w:val="0"/>
          <w:color w:val="1A1A1A"/>
          <w:sz w:val="20"/>
        </w:rPr>
        <w:t xml:space="preserve"> API key exposure (low risk today, needs Azure Key Vault in production). Unauthenticated access (needs Entra ID/SSO before deployment). Data residency: AI calls to Anthropic (US), web search through Serper/Google, no internal data egress. GitHub repo currently on personal account — needs to move to corporate Skillable GitHub with proper access controls.</w:t>
      </w:r>
    </w:p>
    <w:p>
      <w:pPr>
        <w:spacing w:before="180" w:after="60"/>
        <w:pBdr>
          <w:bottom w:val="single" w:sz="6" w:space="1" w:color="1A4D35"/>
        </w:pBdr>
      </w:pPr>
      <w:r>
        <w:rPr>
          <w:rFonts w:ascii="Calibri" w:hAnsi="Calibri"/>
          <w:b/>
          <w:i w:val="0"/>
          <w:color w:val="1A4D35"/>
          <w:sz w:val="24"/>
        </w:rPr>
        <w:t>5.  How We’re Going to Do This</w:t>
      </w:r>
    </w:p>
    <w:p>
      <w:pPr>
        <w:pStyle w:val="ListBullet"/>
        <w:spacing w:before="0" w:after="60"/>
      </w:pPr>
      <w:r>
        <w:rPr>
          <w:rFonts w:ascii="Calibri" w:hAnsi="Calibri"/>
          <w:b/>
          <w:i w:val="0"/>
          <w:color w:val="1A1A1A"/>
          <w:sz w:val="20"/>
        </w:rPr>
        <w:t>Phase 1 — Secure the Foundation (SecOps + Engineering):</w:t>
      </w:r>
      <w:r>
        <w:rPr>
          <w:rFonts w:ascii="Calibri" w:hAnsi="Calibri"/>
          <w:b w:val="0"/>
          <w:i w:val="0"/>
          <w:color w:val="1A1A1A"/>
          <w:sz w:val="20"/>
        </w:rPr>
        <w:t xml:space="preserve"> Move repo to corporate GitHub. Add Azure Key Vault (replace .env). Add Entra ID/SSO. Define App Service environment (region, SKU, internal-only). Deploy and confirm HTTPS + access controls.</w:t>
      </w:r>
    </w:p>
    <w:p>
      <w:pPr>
        <w:pStyle w:val="ListBullet"/>
        <w:spacing w:before="0" w:after="60"/>
      </w:pPr>
      <w:r>
        <w:rPr>
          <w:rFonts w:ascii="Calibri" w:hAnsi="Calibri"/>
          <w:b/>
          <w:i w:val="0"/>
          <w:color w:val="1A1A1A"/>
          <w:sz w:val="20"/>
        </w:rPr>
        <w:t>Phase 2 — Connect Revenue Workflows (RevOps + Engineering):</w:t>
      </w:r>
      <w:r>
        <w:rPr>
          <w:rFonts w:ascii="Calibri" w:hAnsi="Calibri"/>
          <w:b w:val="0"/>
          <w:i w:val="0"/>
          <w:color w:val="1A1A1A"/>
          <w:sz w:val="20"/>
        </w:rPr>
        <w:t xml:space="preserve"> Define ZoomInfo export → Prospector import spec. Define what Prospector and Inspector push to HubSpot: Products card (product name, labability tier, link to product detail page), Lab Maturity score, composite score, and top contacts. Build HubSpot integration (Excel import as MVP, API as next step). Run pilot: one territory through Prospector → HubSpot.</w:t>
      </w:r>
    </w:p>
    <w:p>
      <w:pPr>
        <w:pStyle w:val="ListBullet"/>
        <w:spacing w:before="0" w:after="60"/>
      </w:pPr>
      <w:r>
        <w:rPr>
          <w:rFonts w:ascii="Calibri" w:hAnsi="Calibri"/>
          <w:b/>
          <w:i w:val="0"/>
          <w:color w:val="1A1A1A"/>
          <w:sz w:val="20"/>
        </w:rPr>
        <w:t>Phase 3 — Expand and Iterate:</w:t>
      </w:r>
      <w:r>
        <w:rPr>
          <w:rFonts w:ascii="Calibri" w:hAnsi="Calibri"/>
          <w:b w:val="0"/>
          <w:i w:val="0"/>
          <w:color w:val="1A1A1A"/>
          <w:sz w:val="20"/>
        </w:rPr>
        <w:t xml:space="preserve"> Instrument usage (companies analyzed, score distributions, pipeline conversion). Complete Designer Phase 2 and 3 prompts and Studio handoff format. Upgrade search API once usage exceeds ~50 Inspector analyses/month. Expand customer benchmarks as new logos close.</w:t>
      </w:r>
    </w:p>
    <w:p>
      <w:pPr>
        <w:spacing w:before="180" w:after="60"/>
        <w:pBdr>
          <w:bottom w:val="single" w:sz="6" w:space="1" w:color="1A4D35"/>
        </w:pBdr>
      </w:pPr>
      <w:r>
        <w:rPr>
          <w:rFonts w:ascii="Calibri" w:hAnsi="Calibri"/>
          <w:b/>
          <w:i w:val="0"/>
          <w:color w:val="1A4D35"/>
          <w:sz w:val="24"/>
        </w:rPr>
        <w:t>6.  Open Questions</w:t>
      </w:r>
    </w:p>
    <w:p>
      <w:pPr>
        <w:spacing w:before="0" w:after="0"/>
      </w:pPr>
      <w:r>
        <w:rPr>
          <w:sz w:val="8"/>
        </w:rPr>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96"/>
        <w:gridCol w:w="4896"/>
      </w:tblGrid>
      <w:tr>
        <w:tc>
          <w:tcPr>
            <w:tcW w:type="dxa" w:w="4500"/>
            <w:tcBorders>
              <w:top w:val="none" w:sz="0" w:space="0" w:color="auto"/>
              <w:left w:val="none" w:sz="0" w:space="0" w:color="auto"/>
              <w:bottom w:val="none" w:sz="0" w:space="0" w:color="auto"/>
              <w:right w:val="none" w:sz="0" w:space="0" w:color="auto"/>
            </w:tcBorders>
            <w:tcMar>
              <w:top w:w="0" w:type="dxa"/>
              <w:left w:w="0" w:type="dxa"/>
              <w:bottom w:w="0" w:type="dxa"/>
              <w:right w:w="0" w:type="dxa"/>
            </w:tcMar>
          </w:tcPr>
          <w:p>
            <w:pPr>
              <w:spacing w:before="0" w:after="60"/>
            </w:pPr>
            <w:r>
              <w:rPr>
                <w:rFonts w:ascii="Calibri" w:hAnsi="Calibri"/>
                <w:b/>
                <w:color w:val="1A4D35"/>
                <w:sz w:val="20"/>
              </w:rPr>
              <w:t>SecOps</w:t>
            </w:r>
          </w:p>
          <w:p>
            <w:pPr>
              <w:pStyle w:val="ListBullet"/>
              <w:spacing w:before="0" w:after="50"/>
            </w:pPr>
            <w:r>
              <w:rPr>
                <w:rFonts w:ascii="Calibri" w:hAnsi="Calibri"/>
                <w:color w:val="1A1A1A"/>
                <w:sz w:val="18"/>
              </w:rPr>
              <w:t>Process for moving repo to corporate GitHub? Who approves access?</w:t>
            </w:r>
          </w:p>
          <w:p>
            <w:pPr>
              <w:pStyle w:val="ListBullet"/>
              <w:spacing w:before="0" w:after="50"/>
            </w:pPr>
            <w:r>
              <w:rPr>
                <w:rFonts w:ascii="Calibri" w:hAnsi="Calibri"/>
                <w:color w:val="1A1A1A"/>
                <w:sz w:val="18"/>
              </w:rPr>
              <w:t>Which Azure subscription and resource group for App Service?</w:t>
            </w:r>
          </w:p>
          <w:p>
            <w:pPr>
              <w:pStyle w:val="ListBullet"/>
              <w:spacing w:before="0" w:after="50"/>
            </w:pPr>
            <w:r>
              <w:rPr>
                <w:rFonts w:ascii="Calibri" w:hAnsi="Calibri"/>
                <w:color w:val="1A1A1A"/>
                <w:sz w:val="18"/>
              </w:rPr>
              <w:t>Standard approach for Entra ID app registration for internal tools?</w:t>
            </w:r>
          </w:p>
          <w:p>
            <w:pPr>
              <w:pStyle w:val="ListBullet"/>
              <w:spacing w:before="0" w:after="50"/>
            </w:pPr>
            <w:r>
              <w:rPr>
                <w:rFonts w:ascii="Calibri" w:hAnsi="Calibri"/>
                <w:color w:val="1A1A1A"/>
                <w:sz w:val="18"/>
              </w:rPr>
              <w:t>Data classification for JSON analysis files (public info + LinkedIn URLs)?</w:t>
            </w:r>
          </w:p>
          <w:p>
            <w:pPr>
              <w:pStyle w:val="ListBullet"/>
              <w:spacing w:before="0" w:after="50"/>
            </w:pPr>
            <w:r>
              <w:rPr>
                <w:rFonts w:ascii="Calibri" w:hAnsi="Calibri"/>
                <w:color w:val="1A1A1A"/>
                <w:sz w:val="18"/>
              </w:rPr>
              <w:t>DLP or egress controls affecting calls to Anthropic or Serper APIs?</w:t>
            </w:r>
          </w:p>
        </w:tc>
        <w:tc>
          <w:tcPr>
            <w:tcW w:type="dxa" w:w="4860"/>
            <w:tcBorders>
              <w:top w:val="none" w:sz="0" w:space="0" w:color="auto"/>
              <w:left w:val="none" w:sz="0" w:space="0" w:color="auto"/>
              <w:bottom w:val="none" w:sz="0" w:space="0" w:color="auto"/>
              <w:right w:val="none" w:sz="0" w:space="0" w:color="auto"/>
            </w:tcBorders>
            <w:tcMar>
              <w:top w:w="0" w:type="dxa"/>
              <w:left w:w="0" w:type="dxa"/>
              <w:bottom w:w="0" w:type="dxa"/>
              <w:right w:w="0" w:type="dxa"/>
            </w:tcMar>
          </w:tcPr>
          <w:p>
            <w:pPr>
              <w:spacing w:before="0" w:after="60"/>
            </w:pPr>
            <w:r>
              <w:rPr>
                <w:rFonts w:ascii="Calibri" w:hAnsi="Calibri"/>
                <w:b/>
                <w:color w:val="1A4D35"/>
                <w:sz w:val="20"/>
              </w:rPr>
              <w:t>RevOps</w:t>
            </w:r>
          </w:p>
          <w:p>
            <w:pPr>
              <w:pStyle w:val="ListBullet"/>
              <w:spacing w:before="0" w:after="50"/>
            </w:pPr>
            <w:r>
              <w:rPr>
                <w:rFonts w:ascii="Calibri" w:hAnsi="Calibri"/>
                <w:b/>
                <w:color w:val="1A1A1A"/>
                <w:sz w:val="18"/>
              </w:rPr>
              <w:t>Recommended:</w:t>
            </w:r>
            <w:r>
              <w:rPr>
                <w:rFonts w:ascii="Calibri" w:hAnsi="Calibri"/>
                <w:color w:val="1A1A1A"/>
                <w:sz w:val="18"/>
              </w:rPr>
              <w:t xml:space="preserve"> Add a “Products” card to the HubSpot Company record listing each scored product as a link to its Inspector detail page, labeled Highly Labable / Likely Labable / Not Labable.</w:t>
            </w:r>
          </w:p>
          <w:p>
            <w:pPr>
              <w:pStyle w:val="ListBullet"/>
              <w:spacing w:before="0" w:after="50"/>
            </w:pPr>
            <w:r>
              <w:rPr>
                <w:rFonts w:ascii="Calibri" w:hAnsi="Calibri"/>
                <w:b/>
                <w:color w:val="1A1A1A"/>
                <w:sz w:val="18"/>
              </w:rPr>
              <w:t>Recommended:</w:t>
            </w:r>
            <w:r>
              <w:rPr>
                <w:rFonts w:ascii="Calibri" w:hAnsi="Calibri"/>
                <w:color w:val="1A1A1A"/>
                <w:sz w:val="18"/>
              </w:rPr>
              <w:t xml:space="preserve"> Add a “Lab Maturity Signals” link on the Company record pointing to the Inspector Lab Maturity Signals card for that company.</w:t>
            </w:r>
          </w:p>
          <w:p>
            <w:pPr>
              <w:pStyle w:val="ListBullet"/>
              <w:spacing w:before="0" w:after="50"/>
            </w:pPr>
            <w:r>
              <w:rPr>
                <w:rFonts w:ascii="Calibri" w:hAnsi="Calibri"/>
                <w:color w:val="1A1A1A"/>
                <w:sz w:val="18"/>
              </w:rPr>
              <w:t>Standard ZoomInfo export format? Which filters before feeding Prospector?</w:t>
            </w:r>
          </w:p>
          <w:p>
            <w:pPr>
              <w:pStyle w:val="ListBullet"/>
              <w:spacing w:before="0" w:after="50"/>
            </w:pPr>
            <w:r>
              <w:rPr>
                <w:rFonts w:ascii="Calibri" w:hAnsi="Calibri"/>
                <w:color w:val="1A1A1A"/>
                <w:sz w:val="18"/>
              </w:rPr>
              <w:t>Should Prospector results create new HubSpot Contacts, update existing, or feed a separate object?</w:t>
            </w:r>
          </w:p>
          <w:p>
            <w:pPr>
              <w:pStyle w:val="ListBullet"/>
              <w:spacing w:before="0" w:after="50"/>
            </w:pPr>
            <w:r>
              <w:rPr>
                <w:rFonts w:ascii="Calibri" w:hAnsi="Calibri"/>
                <w:color w:val="1A1A1A"/>
                <w:sz w:val="18"/>
              </w:rPr>
              <w:t>Who owns the HubSpot integration build — RevOps, engineering, or third party?</w:t>
            </w:r>
          </w:p>
          <w:p>
            <w:pPr>
              <w:pStyle w:val="ListBullet"/>
              <w:spacing w:before="0" w:after="50"/>
            </w:pPr>
            <w:r>
              <w:rPr>
                <w:rFonts w:ascii="Calibri" w:hAnsi="Calibri"/>
                <w:color w:val="1A1A1A"/>
                <w:sz w:val="18"/>
              </w:rPr>
              <w:t>How do we track whether an Inspector analysis influenced a pipeline opportunity?</w:t>
            </w:r>
          </w:p>
        </w:tc>
      </w:tr>
    </w:tbl>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szCs w:val="16"/>
        <w:color w:val="888888"/>
      </w:rPr>
      <w:t xml:space="preserve">Page </w:t>
    </w:r>
    <w:r>
      <w:rPr>
        <w:rFonts w:ascii="Arial" w:hAnsi="Arial"/>
        <w:sz w:val="18"/>
        <w:szCs w:val="18"/>
        <w:color w:val="888888"/>
      </w:rPr>
      <w:fldChar w:fldCharType="begin"/>
    </w:r>
    <w:r>
      <w:rPr>
        <w:rFonts w:ascii="Arial" w:hAnsi="Arial"/>
        <w:sz w:val="18"/>
        <w:szCs w:val="18"/>
        <w:color w:val="888888"/>
      </w:rPr>
      <w:instrText xml:space="preserve"> PAGE </w:instrText>
    </w:r>
    <w:r>
      <w:rPr>
        <w:rFonts w:ascii="Arial" w:hAnsi="Arial"/>
        <w:sz w:val="18"/>
        <w:szCs w:val="18"/>
        <w:color w:val="888888"/>
      </w:rPr>
      <w:fldChar w:fldCharType="end"/>
    </w:r>
    <w:r>
      <w:rPr>
        <w:rFonts w:ascii="Calibri" w:hAnsi="Calibri"/>
        <w:sz w:val="16"/>
        <w:szCs w:val="16"/>
        <w:color w:val="888888"/>
      </w:rPr>
      <w:t xml:space="preserve"> of </w:t>
    </w:r>
    <w:r>
      <w:rPr>
        <w:rFonts w:ascii="Arial" w:hAnsi="Arial"/>
        <w:sz w:val="18"/>
        <w:szCs w:val="18"/>
        <w:color w:val="888888"/>
      </w:rPr>
      <w:fldChar w:fldCharType="begin"/>
    </w:r>
    <w:r>
      <w:rPr>
        <w:rFonts w:ascii="Arial" w:hAnsi="Arial"/>
        <w:sz w:val="18"/>
        <w:szCs w:val="18"/>
        <w:color w:val="888888"/>
      </w:rPr>
      <w:instrText xml:space="preserve"> NUMPAGES </w:instrText>
    </w:r>
    <w:r>
      <w:rPr>
        <w:rFonts w:ascii="Arial" w:hAnsi="Arial"/>
        <w:sz w:val="18"/>
        <w:szCs w:val="18"/>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4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05840" cy="334541"/>
                  </a:xfrm>
                  <a:prstGeom prst="rect"/>
                </pic:spPr>
              </pic:pic>
            </a:graphicData>
          </a:graphic>
        </wp:inline>
      </w:drawing>
    </w:r>
  </w:p>
  <w:p>
    <w:pPr>
      <w:spacing w:before="0" w:after="0"/>
      <w:pBdr>
        <w:bottom w:val="single" w:sz="6" w:space="1" w:color="1A4D35"/>
      </w:pBdr>
    </w:pPr>
    <w:r>
      <w:rPr>
        <w:sz w:val="4"/>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