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color w:val="606060"/>
          <w:sz w:val="22"/>
        </w:rPr>
        <w:t>Briefing for Skillable executive leadership</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 or does it signal our opportunity to shatter a few glass ceilings? It’s the latter.</w:t>
      </w:r>
    </w:p>
    <w:p>
      <w:pPr>
        <w:pStyle w:val="ListBullet"/>
        <w:spacing w:before="0" w:after="40"/>
      </w:pPr>
      <w:r>
        <w:rPr>
          <w:rFonts w:ascii="Calibri" w:hAnsi="Calibri"/>
          <w:b w:val="0"/>
          <w:i w:val="0"/>
          <w:color w:val="1A1A1A"/>
          <w:sz w:val="20"/>
        </w:rPr>
        <w:t>Identifying companies in our ICP</w:t>
      </w:r>
    </w:p>
    <w:p>
      <w:pPr>
        <w:pStyle w:val="ListBullet"/>
        <w:spacing w:before="0" w:after="40"/>
      </w:pPr>
      <w:r>
        <w:rPr>
          <w:rFonts w:ascii="Calibri" w:hAnsi="Calibri"/>
          <w:b w:val="0"/>
          <w:i w:val="0"/>
          <w:color w:val="1A1A1A"/>
          <w:sz w:val="20"/>
        </w:rPr>
        <w:t>Proving labability and lab impact</w:t>
      </w:r>
    </w:p>
    <w:p>
      <w:pPr>
        <w:pStyle w:val="ListBullet"/>
        <w:spacing w:before="0" w:after="60"/>
      </w:pP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a product that runs in their cloud. Their buyers interact with it through a browser. The product is the same for every customer.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infrastructure that makes that possible.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technically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firmographic data. They require a different kind of analysis entirely. That is what Intelligence provides.</w:t>
      </w:r>
    </w:p>
    <w:p>
      <w:pPr>
        <w:spacing w:before="100" w:after="30"/>
      </w:pPr>
      <w:r>
        <w:rPr>
          <w:rFonts w:ascii="Calibri" w:hAnsi="Calibri"/>
          <w:b/>
          <w:i w:val="0"/>
          <w:color w:val="136945"/>
          <w:sz w:val="22"/>
        </w:rPr>
        <w:t>Knowing exactly who’s in our ICP — before we spend a dollar</w:t>
      </w:r>
    </w:p>
    <w:p>
      <w:pPr>
        <w:spacing w:before="0" w:after="60"/>
      </w:pPr>
      <w:r>
        <w:rPr>
          <w:rFonts w:ascii="Calibri" w:hAnsi="Calibri"/>
          <w:b w:val="0"/>
          <w:i w:val="0"/>
          <w:color w:val="1A1A1A"/>
          <w:sz w:val="20"/>
        </w:rPr>
        <w:t>Platform companies cannot qualify prospects the way product companies do. The tools Marketing uses — ZoomInfo, 6sense, HubSpot, LinkedIn Sales Navigator —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pStyle w:val="ListBullet"/>
        <w:spacing w:before="0" w:after="40"/>
      </w:pP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pStyle w:val="ListBullet"/>
        <w:spacing w:before="0" w:after="40"/>
      </w:pPr>
      <w:r>
        <w:rPr>
          <w:rFonts w:ascii="Calibri" w:hAnsi="Calibri"/>
          <w:b/>
          <w:i w:val="0"/>
          <w:color w:val="1A1A1A"/>
          <w:sz w:val="20"/>
        </w:rPr>
        <w:t xml:space="preserve">Is the product technically complex enough for labs to create real value? </w:t>
      </w:r>
      <w:r>
        <w:rPr>
          <w:rFonts w:ascii="Calibri" w:hAnsi="Calibri"/>
          <w:b w:val="0"/>
          <w:i w:val="0"/>
          <w:color w:val="1A1A1A"/>
          <w:sz w:val="20"/>
        </w:rPr>
        <w:t>Simple products with shallow workflows do not benefit enough from hands-on practice to justify the investment. Products with deep administrative workflows, meaningful configuration decisions, and real consequence of error — those are where labs change what learners can actually do.</w:t>
      </w:r>
    </w:p>
    <w:p>
      <w:pPr>
        <w:pStyle w:val="ListBullet"/>
        <w:spacing w:before="0" w:after="60"/>
      </w:pP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programs regardless of product fit.</w:t>
      </w:r>
    </w:p>
    <w:p>
      <w:pPr>
        <w:spacing w:before="0" w:after="60"/>
      </w:pPr>
      <w:r>
        <w:rPr>
          <w:rFonts w:ascii="Calibri" w:hAnsi="Calibri"/>
          <w:b w:val="0"/>
          <w:i w:val="0"/>
          <w:color w:val="1A1A1A"/>
          <w:sz w:val="20"/>
        </w:rPr>
        <w:t>The Workday pattern illustrates what happens when this analysis does not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60"/>
      </w:pPr>
      <w:r>
        <w:rPr>
          <w:rFonts w:ascii="Calibri" w:hAnsi="Calibri"/>
          <w:b/>
          <w:i w:val="0"/>
          <w:color w:val="1A1A1A"/>
          <w:sz w:val="20"/>
        </w:rPr>
        <w:t xml:space="preserve">No deployment model —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That fact is findable in public documentation before a single sales conversation begins. Workday was not a bad lead. It was motivated, capable people who invested significant time before hitting a wall that was always there. The Workday pattern repeats whenever product-level technical fit is evaluated late — or not at all.</w:t>
      </w:r>
    </w:p>
    <w:p>
      <w:pPr>
        <w:spacing w:before="0" w:after="60"/>
      </w:pPr>
      <w:r>
        <w:rPr>
          <w:rFonts w:ascii="Calibri" w:hAnsi="Calibri"/>
          <w:b w:val="0"/>
          <w:i w:val="0"/>
          <w:color w:val="1A1A1A"/>
          <w:sz w:val="20"/>
        </w:rPr>
        <w:t>The same logic runs in the other direction. When Fortinet is a strong fit, it is not because Fortinet resembles other good customers as a company. It is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100" w:after="30"/>
      </w:pPr>
      <w:r>
        <w:rPr>
          <w:rFonts w:ascii="Calibri" w:hAnsi="Calibri"/>
          <w:b/>
          <w:i w:val="0"/>
          <w:color w:val="136945"/>
          <w:sz w:val="22"/>
        </w:rPr>
        <w:t>Proving labability and impact — with SE-level depth at scale</w:t>
      </w:r>
    </w:p>
    <w:p>
      <w:pPr>
        <w:spacing w:before="0" w:after="60"/>
      </w:pPr>
      <w:r>
        <w:rPr>
          <w:rFonts w:ascii="Calibri" w:hAnsi="Calibri"/>
          <w:b w:val="0"/>
          <w:i w:val="0"/>
          <w:color w:val="1A1A1A"/>
          <w:sz w:val="20"/>
        </w:rPr>
        <w:t>Proving that a Skillable lab program will work for a specific customer’s products requires deep technical analysis. Which delivery path is right for this product — standard virtual machine, cloud environment slice, containerized workload, custom integration?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exactly the kind of work a skilled Solutions Engineer does well. It requires knowing Skillable’s platform deeply — delivery paths, technical constraints, feature availability, scoring feasibility — and applying that knowledge to a specific product’s architecture and deployment model. That synthesis takes hours per company, in a live conversation, with access to documentation and a customer contact who can fill in the gaps.</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 before marketing dollars are spent, before SE time is committed — often go unasked until it is too late.</w:t>
      </w:r>
    </w:p>
    <w:p>
      <w:pPr>
        <w:spacing w:before="100" w:after="30"/>
      </w:pPr>
      <w:r>
        <w:rPr>
          <w:rFonts w:ascii="Calibri" w:hAnsi="Calibri"/>
          <w:b/>
          <w:i w:val="0"/>
          <w:color w:val="136945"/>
          <w:sz w:val="22"/>
        </w:rPr>
        <w:t>Jump-starting customer adoption — accelerate the shift to expansion</w:t>
      </w:r>
    </w:p>
    <w:p>
      <w:pPr>
        <w:spacing w:before="0" w:after="60"/>
      </w:pPr>
      <w:r>
        <w:rPr>
          <w:rFonts w:ascii="Calibri" w:hAnsi="Calibri"/>
          <w:b w:val="0"/>
          <w:i w:val="0"/>
          <w:color w:val="1A1A1A"/>
          <w:sz w:val="20"/>
        </w:rPr>
        <w:t>A signed contract is not an adopted customer. The gap between ‘we want to build labs’ and ‘we have a running program’ is wide, and most customers cannot cross it without structured guidance.</w:t>
      </w:r>
    </w:p>
    <w:p>
      <w:pPr>
        <w:spacing w:before="0" w:after="60"/>
      </w:pPr>
      <w:r>
        <w:rPr>
          <w:rFonts w:ascii="Calibri" w:hAnsi="Calibri"/>
          <w:b w:val="0"/>
          <w:i w:val="0"/>
          <w:color w:val="1A1A1A"/>
          <w:sz w:val="20"/>
        </w:rPr>
        <w:t>Program design is a specialized skill. Most buyers — even technically sophisticated ones with strong content teams — have never designed a hands-on lab curriculum. They have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 it is a churn risk. A customer who has not built a program has not realized value. A customer who has not realized value does not renew.</w:t>
      </w:r>
    </w:p>
    <w:p>
      <w:pPr>
        <w:spacing w:before="0" w:after="0"/>
      </w:pPr>
      <w:r>
        <w:br w:type="page"/>
      </w:r>
    </w:p>
    <w:p>
      <w:pPr>
        <w:spacing w:before="120" w:after="40"/>
      </w:pPr>
      <w:r>
        <w:rPr>
          <w:rFonts w:ascii="Calibri" w:hAnsi="Calibri"/>
          <w:b/>
          <w:i w:val="0"/>
          <w:color w:val="136945"/>
          <w:sz w:val="26"/>
        </w:rPr>
        <w:t>Three tools. One platform.</w:t>
      </w:r>
    </w:p>
    <w:p>
      <w:pPr>
        <w:spacing w:before="0" w:after="60"/>
      </w:pPr>
      <w:r>
        <w:rPr>
          <w:rFonts w:ascii="Calibri" w:hAnsi="Calibri"/>
          <w:b w:val="0"/>
          <w:i w:val="0"/>
          <w:color w:val="1A1A1A"/>
          <w:sz w:val="20"/>
        </w:rPr>
        <w:t>Each tool in Skillable Intelligence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 Closing the Adoption Gap</w:t>
      </w:r>
    </w:p>
    <w:p>
      <w:pPr>
        <w:spacing w:before="0" w:after="60"/>
      </w:pPr>
      <w:r>
        <w:rPr>
          <w:rFonts w:ascii="Calibri" w:hAnsi="Calibri"/>
          <w:b w:val="0"/>
          <w:i w:val="0"/>
          <w:color w:val="1A1A1A"/>
          <w:sz w:val="20"/>
        </w:rPr>
        <w:t>Designer takes an Inspector analysis and guides program owners, instructional designers, and subject matter experts through the full process of designing a lab program. From goals and audience definition through a complete approved outline, activity-level content, and a Skillable Studio-ready export package.</w:t>
      </w:r>
    </w:p>
    <w:p>
      <w:pPr>
        <w:spacing w:before="0" w:after="60"/>
      </w:pPr>
      <w:r>
        <w:rPr>
          <w:rFonts w:ascii="Calibri" w:hAnsi="Calibri"/>
          <w:b w:val="0"/>
          <w:i w:val="0"/>
          <w:color w:val="1A1A1A"/>
          <w:sz w:val="20"/>
        </w:rPr>
        <w:t>The process is structured. It does not require the customer to know how to design a lab program — that is the point. Designer asks the right questions, sequences the decisions correctly, and generates a complete program architecture that a contracted lab developer can build against immediately.</w:t>
      </w:r>
    </w:p>
    <w:p>
      <w:pPr>
        <w:spacing w:before="0" w:after="60"/>
      </w:pPr>
      <w:r>
        <w:rPr>
          <w:rFonts w:ascii="Calibri" w:hAnsi="Calibri"/>
          <w:color w:val="1A1A1A"/>
          <w:sz w:val="20"/>
        </w:rPr>
        <w:t xml:space="preserve">The output is not just a plan. Designer generates a </w:t>
      </w:r>
      <w:r>
        <w:rPr>
          <w:rFonts w:ascii="Calibri" w:hAnsi="Calibri"/>
          <w:color w:val="7000FF"/>
          <w:sz w:val="20"/>
        </w:rPr>
        <w:t>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before the technical environment is ready. Program design and environment build run as parallel workstreams. Day one is productive for the program owner. The adoption gap closes before it has a chance to form.</w:t>
      </w:r>
    </w:p>
    <w:p>
      <w:pPr>
        <w:spacing w:before="100" w:after="30"/>
      </w:pPr>
      <w:r>
        <w:rPr>
          <w:rFonts w:ascii="Calibri" w:hAnsi="Calibri"/>
          <w:b/>
          <w:i w:val="0"/>
          <w:color w:val="136945"/>
          <w:sz w:val="22"/>
        </w:rPr>
        <w:t>Inspector — Proving Labability and Impact</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a company’s products, ranked by labability, with competitive pairings, company-level signals, and an overall fit score. The foundation document for any seller or SE entering a conversation with this account.</w:t>
      </w:r>
    </w:p>
    <w:p>
      <w:pPr>
        <w:pStyle w:val="ListBullet"/>
        <w:spacing w:before="0" w:after="6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technical orchestrability evidence, delivery path recommendation with rationale, scoring approach, consumption potential estimate, and program scope.</w:t>
      </w:r>
    </w:p>
    <w:p>
      <w:pPr>
        <w:spacing w:before="0" w:after="60"/>
      </w:pPr>
      <w:r>
        <w:rPr>
          <w:rFonts w:ascii="Calibri" w:hAnsi="Calibri"/>
          <w:color w:val="1A1A1A"/>
          <w:sz w:val="20"/>
        </w:rPr>
        <w:t xml:space="preserve">A seller walking into a conversation with a Stage 2 Inspector report knows what the customer’s products can and cannot do on the Skillable platform, which delivery path makes sense and why, and what the estimated consumption potential is. That is not a discovery conversation. It is a </w:t>
      </w:r>
      <w:r>
        <w:rPr>
          <w:rFonts w:ascii="Calibri" w:hAnsi="Calibri"/>
          <w:color w:val="7000FF"/>
          <w:sz w:val="20"/>
        </w:rPr>
        <w:t>solution conversation.</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 applied automatically, to every product, before the first meeting.</w:t>
      </w:r>
    </w:p>
    <w:p>
      <w:pPr>
        <w:spacing w:before="100" w:after="30"/>
      </w:pPr>
      <w:r>
        <w:rPr>
          <w:rFonts w:ascii="Calibri" w:hAnsi="Calibri"/>
          <w:b/>
          <w:i w:val="0"/>
          <w:color w:val="136945"/>
          <w:sz w:val="22"/>
        </w:rPr>
        <w:t>Prospector — Finding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color w:val="1A1A1A"/>
          <w:sz w:val="20"/>
        </w:rPr>
        <w:t xml:space="preserve">Marketing has never had access to </w:t>
      </w:r>
      <w:r>
        <w:rPr>
          <w:rFonts w:ascii="Calibri" w:hAnsi="Calibri"/>
          <w:color w:val="7000FF"/>
          <w:sz w:val="20"/>
        </w:rPr>
        <w:t>product-level qualification</w:t>
      </w:r>
      <w:r>
        <w:rPr>
          <w:rFonts w:ascii="Calibri" w:hAnsi="Calibri"/>
          <w:color w:val="1A1A1A"/>
          <w:sz w:val="20"/>
        </w:rPr>
        <w:t xml:space="preserve"> data at the point of list building. Prospector makes it possible to screen a ZoomInfo export of 500 companies for technical orchestrability, product complexity, and organizational readiness before a sequence is written, a dollar is spent, or an SDR makes a call. Companies that clear all three dimensions go into outreach. Workday patterns come off the list — with specific, documented technical reasons on the Company record.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buyers ready to expand.</w:t>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0"/>
      </w:pPr>
      <w:r>
        <w:br w:type="page"/>
      </w:r>
    </w:p>
    <w:p>
      <w:pPr>
        <w:spacing w:before="120" w:after="40"/>
      </w:pPr>
      <w:r>
        <w:rPr>
          <w:rFonts w:ascii="Calibri" w:hAnsi="Calibri"/>
          <w:b/>
          <w:i w:val="0"/>
          <w:color w:val="136945"/>
          <w:sz w:val="26"/>
        </w:rPr>
        <w:t>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 seller and SE-driven</w:t>
      </w:r>
    </w:p>
    <w:p>
      <w:pPr>
        <w:spacing w:before="0" w:after="60"/>
      </w:pPr>
      <w:r>
        <w:rPr>
          <w:rFonts w:ascii="Calibri" w:hAnsi="Calibri"/>
          <w:b w:val="0"/>
          <w:i w:val="0"/>
          <w:color w:val="1A1A1A"/>
          <w:sz w:val="20"/>
        </w:rPr>
        <w:t>Company and Deal records in HubSpot surface a ‘Run Inspector’ link. Clicking it opens Inspector at the Stage 1 Company Report. The full Inspector experience runs in Intelligence — HubSpot is only the trigger.</w:t>
      </w:r>
    </w:p>
    <w:p>
      <w:pPr>
        <w:spacing w:before="0" w:after="60"/>
      </w:pPr>
      <w:r>
        <w:rPr>
          <w:rFonts w:ascii="Calibri" w:hAnsi="Calibri"/>
          <w:b w:val="0"/>
          <w:i w:val="0"/>
          <w:color w:val="1A1A1A"/>
          <w:sz w:val="20"/>
        </w:rPr>
        <w:t>Stage 1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gives every seller account intelligence they currently do not have before the first conversation.</w:t>
      </w:r>
    </w:p>
    <w:p>
      <w:pPr>
        <w:pStyle w:val="ListBullet"/>
        <w:spacing w:before="0" w:after="6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Program design and environment build run as parallel workstreams.</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