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40"/>
        </w:rPr>
        <w:t>Skillable Intelligence Platform</w:t>
      </w:r>
    </w:p>
    <w:p>
      <w:pPr>
        <w:spacing w:before="0" w:after="100"/>
        <w:pBdr>
          <w:bottom w:val="single" w:sz="8" w:space="1" w:color="136945"/>
        </w:pBdr>
      </w:pPr>
      <w:r>
        <w:rPr>
          <w:rFonts w:ascii="Calibri" w:hAnsi="Calibri"/>
          <w:b w:val="0"/>
          <w:i w:val="0"/>
          <w:color w:val="606060"/>
          <w:sz w:val="20"/>
        </w:rPr>
        <w:t>Executive Leadership Team Brief</w:t>
      </w:r>
    </w:p>
    <w:p>
      <w:pPr>
        <w:spacing w:before="180" w:after="50"/>
        <w:keepWithNext w:val="1"/>
        <w:pBdr>
          <w:bottom w:val="single" w:sz="4" w:space="1" w:color="136945"/>
        </w:pBdr>
      </w:pPr>
      <w:r>
        <w:rPr>
          <w:rFonts w:ascii="Calibri" w:hAnsi="Calibri"/>
          <w:b/>
          <w:i w:val="0"/>
          <w:color w:val="136945"/>
          <w:sz w:val="26"/>
        </w:rPr>
        <w:t>Three problems worth solving</w:t>
      </w:r>
    </w:p>
    <w:p>
      <w:pPr>
        <w:spacing w:before="0" w:after="72" w:line="264" w:lineRule="auto"/>
      </w:pPr>
      <w:r>
        <w:rPr>
          <w:rFonts w:ascii="Calibri" w:hAnsi="Calibri"/>
          <w:b w:val="0"/>
          <w:i w:val="0"/>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pPr>
        <w:spacing w:before="0" w:after="40"/>
        <w:ind w:left="480" w:hanging="240"/>
      </w:pPr>
      <w:r>
        <w:rPr>
          <w:rFonts w:ascii="Calibri" w:hAnsi="Calibri"/>
          <w:color w:val="1A1A1A"/>
          <w:sz w:val="14"/>
        </w:rPr>
        <w:t xml:space="preserve">• </w:t>
      </w:r>
      <w:r>
        <w:rPr>
          <w:rFonts w:ascii="Calibri" w:hAnsi="Calibri"/>
          <w:b w:val="0"/>
          <w:i w:val="0"/>
          <w:color w:val="1A1A1A"/>
          <w:sz w:val="20"/>
        </w:rPr>
        <w:t>Identifying companies in our ICP</w:t>
      </w:r>
    </w:p>
    <w:p>
      <w:pPr>
        <w:spacing w:before="0" w:after="40"/>
        <w:ind w:left="480" w:hanging="240"/>
      </w:pPr>
      <w:r>
        <w:rPr>
          <w:rFonts w:ascii="Calibri" w:hAnsi="Calibri"/>
          <w:color w:val="1A1A1A"/>
          <w:sz w:val="14"/>
        </w:rPr>
        <w:t xml:space="preserve">• </w:t>
      </w:r>
      <w:r>
        <w:rPr>
          <w:rFonts w:ascii="Calibri" w:hAnsi="Calibri"/>
          <w:b w:val="0"/>
          <w:i w:val="0"/>
          <w:color w:val="1A1A1A"/>
          <w:sz w:val="20"/>
        </w:rPr>
        <w:t>Proving labability and lab impact</w:t>
      </w:r>
    </w:p>
    <w:p>
      <w:pPr>
        <w:spacing w:before="0" w:after="60"/>
        <w:ind w:left="480" w:hanging="240"/>
      </w:pPr>
      <w:r>
        <w:rPr>
          <w:rFonts w:ascii="Calibri" w:hAnsi="Calibri"/>
          <w:color w:val="1A1A1A"/>
          <w:sz w:val="14"/>
        </w:rPr>
        <w:t xml:space="preserve">• </w:t>
      </w:r>
      <w:r>
        <w:rPr>
          <w:rFonts w:ascii="Calibri" w:hAnsi="Calibri"/>
          <w:b w:val="0"/>
          <w:i w:val="0"/>
          <w:color w:val="1A1A1A"/>
          <w:sz w:val="20"/>
        </w:rPr>
        <w:t>Enabling bought-in customers to adopt labs</w:t>
      </w:r>
    </w:p>
    <w:p>
      <w:pPr>
        <w:spacing w:before="140" w:after="40"/>
        <w:keepWithNext w:val="1"/>
      </w:pPr>
      <w:r>
        <w:rPr>
          <w:rFonts w:ascii="Calibri" w:hAnsi="Calibri"/>
          <w:b/>
          <w:i w:val="0"/>
          <w:color w:val="136945"/>
          <w:sz w:val="22"/>
        </w:rPr>
        <w:t>The PaaS Difference</w:t>
      </w:r>
    </w:p>
    <w:p>
      <w:pPr>
        <w:spacing w:before="0" w:after="72" w:line="264" w:lineRule="auto"/>
      </w:pPr>
      <w:r>
        <w:rPr>
          <w:rFonts w:ascii="Calibri" w:hAnsi="Calibri"/>
          <w:b w:val="0"/>
          <w:i w:val="0"/>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pPr>
        <w:spacing w:before="0" w:after="72" w:line="264" w:lineRule="auto"/>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pPr>
        <w:spacing w:before="0" w:after="72" w:line="264" w:lineRule="auto"/>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pPr>
        <w:spacing w:before="0" w:after="72" w:line="264" w:lineRule="auto"/>
      </w:pPr>
      <w:r>
        <w:rPr>
          <w:rFonts w:ascii="Calibri" w:hAnsi="Calibri"/>
          <w:b w:val="0"/>
          <w:i w:val="0"/>
          <w:color w:val="1A1A1A"/>
          <w:sz w:val="20"/>
        </w:rPr>
        <w:t>These questions cannot be answered with the exhaustive-but-typical data provided by leading Marketing account intelligence software. They require a different kind of analysis entirely. That is what Intelligence provides.</w:t>
      </w:r>
    </w:p>
    <w:p>
      <w:pPr>
        <w:spacing w:before="180" w:after="50"/>
        <w:keepWithNext w:val="1"/>
        <w:pBdr>
          <w:bottom w:val="single" w:sz="4" w:space="1" w:color="136945"/>
        </w:pBdr>
      </w:pPr>
      <w:r>
        <w:rPr>
          <w:rFonts w:ascii="Calibri" w:hAnsi="Calibri"/>
          <w:b/>
          <w:i w:val="0"/>
          <w:color w:val="136945"/>
          <w:sz w:val="26"/>
        </w:rPr>
        <w:t>Three challenges. Three tools. One platform.</w:t>
      </w:r>
    </w:p>
    <w:p>
      <w:pPr>
        <w:spacing w:before="0" w:after="72" w:line="264" w:lineRule="auto"/>
      </w:pPr>
      <w:r>
        <w:rPr>
          <w:rFonts w:ascii="Calibri" w:hAnsi="Calibri"/>
          <w:b w:val="0"/>
          <w:i w:val="0"/>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40" w:after="40"/>
        <w:keepWithNext w:val="1"/>
      </w:pPr>
      <w:r>
        <w:rPr>
          <w:rFonts w:ascii="Calibri" w:hAnsi="Calibri"/>
          <w:b/>
          <w:i w:val="0"/>
          <w:color w:val="136945"/>
          <w:sz w:val="22"/>
        </w:rPr>
        <w:t>Designer: Closing the adoption gap</w:t>
      </w:r>
    </w:p>
    <w:p>
      <w:pPr>
        <w:spacing w:before="0" w:after="72" w:line="264" w:lineRule="auto"/>
      </w:pPr>
      <w:r>
        <w:rPr>
          <w:rFonts w:ascii="Calibri" w:hAnsi="Calibri"/>
          <w:b w:val="0"/>
          <w:i w:val="0"/>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pPr>
        <w:spacing w:before="0" w:after="72" w:line="264" w:lineRule="auto"/>
      </w:pPr>
      <w:r>
        <w:rPr>
          <w:rFonts w:ascii="Calibri" w:hAnsi="Calibri"/>
          <w:b w:val="0"/>
          <w:i w:val="0"/>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72" w:line="264" w:lineRule="auto"/>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it is a churn risk. A customer who has not built a program has not realized value. A customer who has not realized value does not renew.</w:t>
      </w:r>
    </w:p>
    <w:p>
      <w:pPr>
        <w:spacing w:before="90" w:after="90"/>
      </w:pPr>
      <w:r>
        <w:rPr>
          <w:rFonts w:ascii="Calibri" w:hAnsi="Calibri"/>
          <w:b/>
          <w:i w:val="0"/>
          <w:color w:val="136945"/>
          <w:sz w:val="22"/>
        </w:rPr>
        <w:t>Designer closes that gap.</w:t>
      </w:r>
    </w:p>
    <w:p>
      <w:pPr>
        <w:spacing w:before="0" w:after="72" w:line="264" w:lineRule="auto"/>
      </w:pPr>
      <w:r>
        <w:rPr>
          <w:rFonts w:ascii="Calibri" w:hAnsi="Calibri"/>
          <w:b w:val="0"/>
          <w:i w:val="0"/>
          <w:color w:val="1A1A1A"/>
          <w:sz w:val="20"/>
        </w:rPr>
        <w:t>Designer guides program owners, instructional designers, and subject matter experts through the full process — from learning objectives and intended audience through every decision a program requires. It doesn’t require the customer to know how to design a lab program. Designer asks the right questions and sequences the decisions correctly. Every program produces:</w:t>
      </w:r>
    </w:p>
    <w:p>
      <w:pPr>
        <w:spacing w:before="0" w:after="40"/>
        <w:ind w:left="480" w:hanging="240"/>
      </w:pPr>
      <w:r>
        <w:rPr>
          <w:rFonts w:ascii="Calibri" w:hAnsi="Calibri"/>
          <w:color w:val="1A1A1A"/>
          <w:sz w:val="14"/>
        </w:rPr>
        <w:t xml:space="preserve">• </w:t>
      </w:r>
      <w:r>
        <w:rPr>
          <w:rFonts w:ascii="Calibri" w:hAnsi="Calibri"/>
          <w:b w:val="0"/>
          <w:i w:val="0"/>
          <w:color w:val="1A1A1A"/>
          <w:sz w:val="20"/>
        </w:rPr>
        <w:t>A structured program outline</w:t>
      </w:r>
    </w:p>
    <w:p>
      <w:pPr>
        <w:spacing w:before="0" w:after="40"/>
        <w:ind w:left="480" w:hanging="240"/>
      </w:pPr>
      <w:r>
        <w:rPr>
          <w:rFonts w:ascii="Calibri" w:hAnsi="Calibri"/>
          <w:color w:val="1A1A1A"/>
          <w:sz w:val="14"/>
        </w:rPr>
        <w:t xml:space="preserve">• </w:t>
      </w:r>
      <w:r>
        <w:rPr>
          <w:rFonts w:ascii="Calibri" w:hAnsi="Calibri"/>
          <w:b w:val="0"/>
          <w:i w:val="0"/>
          <w:color w:val="1A1A1A"/>
          <w:sz w:val="20"/>
        </w:rPr>
        <w:t>Draft lab instructions for every lab in the program</w:t>
      </w:r>
    </w:p>
    <w:p>
      <w:pPr>
        <w:spacing w:before="0" w:after="40"/>
        <w:ind w:left="480" w:hanging="240"/>
      </w:pPr>
      <w:r>
        <w:rPr>
          <w:rFonts w:ascii="Calibri" w:hAnsi="Calibri"/>
          <w:color w:val="1A1A1A"/>
          <w:sz w:val="14"/>
        </w:rPr>
        <w:t xml:space="preserve">• </w:t>
      </w:r>
      <w:r>
        <w:rPr>
          <w:rFonts w:ascii="Calibri" w:hAnsi="Calibri"/>
          <w:b w:val="0"/>
          <w:i w:val="0"/>
          <w:color w:val="1A1A1A"/>
          <w:sz w:val="20"/>
        </w:rPr>
        <w:t>Learner activities for progress tracking</w:t>
      </w:r>
    </w:p>
    <w:p>
      <w:pPr>
        <w:spacing w:before="0" w:after="60"/>
        <w:ind w:left="480" w:hanging="240"/>
      </w:pPr>
      <w:r>
        <w:rPr>
          <w:rFonts w:ascii="Calibri" w:hAnsi="Calibri"/>
          <w:color w:val="1A1A1A"/>
          <w:sz w:val="14"/>
        </w:rPr>
        <w:t xml:space="preserve">• </w:t>
      </w:r>
      <w:r>
        <w:rPr>
          <w:rFonts w:ascii="Calibri" w:hAnsi="Calibri"/>
          <w:b w:val="0"/>
          <w:i w:val="0"/>
          <w:color w:val="1A1A1A"/>
          <w:sz w:val="20"/>
        </w:rPr>
        <w:t>Scoring methodology recommendations</w:t>
      </w:r>
    </w:p>
    <w:p>
      <w:pPr>
        <w:spacing w:before="0" w:after="72" w:line="264" w:lineRule="auto"/>
      </w:pPr>
      <w:r>
        <w:rPr>
          <w:rFonts w:ascii="Calibri" w:hAnsi="Calibri"/>
          <w:b/>
          <w:color w:val="7000FF"/>
          <w:sz w:val="20"/>
        </w:rPr>
        <w:t>Designer generates a complete Bill of Materials</w:t>
      </w:r>
      <w:r>
        <w:rPr>
          <w:rFonts w:ascii="Calibri" w:hAnsi="Calibri"/>
          <w:b w:val="0"/>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while the technical folks are working to get the technical details sorted. Program design and environment build run in parallel. Day one is productive for the program owner. The adoption gap closes before it has a chance to form.</w:t>
      </w:r>
    </w:p>
    <w:p>
      <w:pPr>
        <w:spacing w:before="140" w:after="40"/>
        <w:keepWithNext w:val="1"/>
      </w:pPr>
      <w:r>
        <w:rPr>
          <w:rFonts w:ascii="Calibri" w:hAnsi="Calibri"/>
          <w:b/>
          <w:i w:val="0"/>
          <w:color w:val="136945"/>
          <w:sz w:val="22"/>
        </w:rPr>
        <w:t>Inspector: Proving labability and impact</w:t>
      </w:r>
    </w:p>
    <w:p>
      <w:pPr>
        <w:spacing w:before="0" w:after="72" w:line="264" w:lineRule="auto"/>
      </w:pPr>
      <w:r>
        <w:rPr>
          <w:rFonts w:ascii="Calibri" w:hAnsi="Calibri"/>
          <w:b w:val="0"/>
          <w:i w:val="0"/>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pPr>
        <w:spacing w:before="0" w:after="72" w:line="264" w:lineRule="auto"/>
      </w:pPr>
      <w:r>
        <w:rPr>
          <w:rFonts w:ascii="Calibri" w:hAnsi="Calibri"/>
          <w:b w:val="0"/>
          <w:i w:val="0"/>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pPr>
        <w:spacing w:before="0" w:after="72" w:line="264" w:lineRule="auto"/>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pPr>
        <w:spacing w:before="90" w:after="90"/>
      </w:pPr>
      <w:r>
        <w:rPr>
          <w:rFonts w:ascii="Calibri" w:hAnsi="Calibri"/>
          <w:b/>
          <w:i w:val="0"/>
          <w:color w:val="136945"/>
          <w:sz w:val="22"/>
        </w:rPr>
        <w:t>Inspector proves labability and impact.</w:t>
      </w:r>
    </w:p>
    <w:p>
      <w:pPr>
        <w:spacing w:before="0" w:after="72" w:line="264" w:lineRule="auto"/>
      </w:pPr>
      <w:r>
        <w:rPr>
          <w:rFonts w:ascii="Calibri" w:hAnsi="Calibri"/>
          <w:b w:val="0"/>
          <w:i w:val="0"/>
          <w:color w:val="1A1A1A"/>
          <w:sz w:val="20"/>
        </w:rPr>
        <w:t>Inspector performs a deep product-level analysis of a specific company.</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The Case Board. </w:t>
      </w:r>
      <w:r>
        <w:rPr>
          <w:rFonts w:ascii="Calibri" w:hAnsi="Calibri"/>
          <w:b w:val="0"/>
          <w:i w:val="0"/>
          <w:color w:val="1A1A1A"/>
          <w:sz w:val="20"/>
        </w:rPr>
        <w:t>A broad scan that surfaces all of a company’s products, ranked by labability, with competitive pairings, company-level signals, and an overall fit score. You walk in the room and get the picture at a glance.</w:t>
      </w:r>
    </w:p>
    <w:p>
      <w:pPr>
        <w:spacing w:before="0" w:after="60"/>
        <w:ind w:left="480" w:hanging="240"/>
      </w:pPr>
      <w:r>
        <w:rPr>
          <w:rFonts w:ascii="Calibri" w:hAnsi="Calibri"/>
          <w:color w:val="1A1A1A"/>
          <w:sz w:val="14"/>
        </w:rPr>
        <w:t xml:space="preserve">• </w:t>
      </w:r>
      <w:r>
        <w:rPr>
          <w:rFonts w:ascii="Calibri" w:hAnsi="Calibri"/>
          <w:b/>
          <w:i w:val="0"/>
          <w:color w:val="1A1A1A"/>
          <w:sz w:val="20"/>
        </w:rPr>
        <w:t xml:space="preserve">The Dossier. </w:t>
      </w:r>
      <w:r>
        <w:rPr>
          <w:rFonts w:ascii="Calibri" w:hAnsi="Calibri"/>
          <w:b w:val="0"/>
          <w:i w:val="0"/>
          <w:color w:val="1A1A1A"/>
          <w:sz w:val="20"/>
        </w:rPr>
        <w:t>The seller or SE selects three to four products from the Case Board for exhaustive analysis — full technical orchestrability evidence, delivery path recommendation with rationale, scoring approach, consumption potential estimate, and program scope.</w:t>
      </w:r>
    </w:p>
    <w:p>
      <w:pPr>
        <w:spacing w:before="0" w:after="72" w:line="264" w:lineRule="auto"/>
      </w:pPr>
      <w:r>
        <w:rPr>
          <w:rFonts w:ascii="Calibri" w:hAnsi="Calibri"/>
          <w:b/>
          <w:color w:val="7000FF"/>
          <w:sz w:val="20"/>
        </w:rPr>
        <w:t>Inspector turns every sales conversation into a solution conversation.</w:t>
      </w:r>
      <w:r>
        <w:rPr>
          <w:rFonts w:ascii="Calibri" w:hAnsi="Calibri"/>
          <w:b w:val="0"/>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val="0"/>
          <w:i w:val="0"/>
          <w:color w:val="1A1A1A"/>
          <w:sz w:val="20"/>
        </w:rPr>
        <w:t>Inspector also surfaces the competitive map for every analyzed company, which feeds directly into Prospector’s lookalike targeting.</w:t>
      </w:r>
    </w:p>
    <w:p>
      <w:pPr>
        <w:spacing w:before="0" w:after="72" w:line="264" w:lineRule="auto"/>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applied automatically to every product before the first meeting.</w:t>
      </w:r>
    </w:p>
    <w:p>
      <w:pPr>
        <w:spacing w:before="140" w:after="40"/>
        <w:keepWithNext w:val="1"/>
      </w:pPr>
      <w:r>
        <w:rPr>
          <w:rFonts w:ascii="Calibri" w:hAnsi="Calibri"/>
          <w:b/>
          <w:i w:val="0"/>
          <w:color w:val="136945"/>
          <w:sz w:val="22"/>
        </w:rPr>
        <w:t>Prospector: Finding the right companies</w:t>
      </w:r>
    </w:p>
    <w:p>
      <w:pPr>
        <w:spacing w:before="0" w:after="72" w:line="264" w:lineRule="auto"/>
      </w:pPr>
      <w:r>
        <w:rPr>
          <w:rFonts w:ascii="Calibri" w:hAnsi="Calibri"/>
          <w:b w:val="0"/>
          <w:i w:val="0"/>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pPr>
        <w:spacing w:before="0" w:after="72" w:line="264" w:lineRule="auto"/>
      </w:pPr>
      <w:r>
        <w:rPr>
          <w:rFonts w:ascii="Calibri" w:hAnsi="Calibri"/>
          <w:b w:val="0"/>
          <w:i w:val="0"/>
          <w:color w:val="1A1A1A"/>
          <w:sz w:val="20"/>
        </w:rPr>
        <w:t>We evaluate every prospect across three dimensions:</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Is the product complex enough for labs to create real value? </w:t>
      </w:r>
      <w:r>
        <w:rPr>
          <w:rFonts w:ascii="Calibri" w:hAnsi="Calibri"/>
          <w:b w:val="0"/>
          <w:i w:val="0"/>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pPr>
        <w:spacing w:before="0" w:after="60"/>
        <w:ind w:left="480" w:hanging="240"/>
      </w:pPr>
      <w:r>
        <w:rPr>
          <w:rFonts w:ascii="Calibri" w:hAnsi="Calibri"/>
          <w:color w:val="1A1A1A"/>
          <w:sz w:val="14"/>
        </w:rPr>
        <w:t xml:space="preserve">• </w:t>
      </w: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pPr>
        <w:spacing w:before="0" w:after="72" w:line="264" w:lineRule="auto"/>
      </w:pPr>
      <w:r>
        <w:rPr>
          <w:rFonts w:ascii="Calibri" w:hAnsi="Calibri"/>
          <w:b w:val="0"/>
          <w:i w:val="0"/>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Pure multi-tenant architecture: </w:t>
      </w:r>
      <w:r>
        <w:rPr>
          <w:rFonts w:ascii="Calibri" w:hAnsi="Calibri"/>
          <w:b w:val="0"/>
          <w:i w:val="0"/>
          <w:color w:val="1A1A1A"/>
          <w:sz w:val="20"/>
        </w:rPr>
        <w:t>Every customer shares the same cloud environment. There is no Workday instance to give a learner.</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No provisioning API: </w:t>
      </w:r>
      <w:r>
        <w:rPr>
          <w:rFonts w:ascii="Calibri" w:hAnsi="Calibri"/>
          <w:b w:val="0"/>
          <w:i w:val="0"/>
          <w:color w:val="1A1A1A"/>
          <w:sz w:val="20"/>
        </w:rPr>
        <w:t>No mechanism to spin up an individual environment programmatically. Skillable’s entire delivery model depends on this capability.</w:t>
      </w:r>
    </w:p>
    <w:p>
      <w:pPr>
        <w:spacing w:before="0" w:after="60"/>
        <w:ind w:left="480" w:hanging="240"/>
      </w:pPr>
      <w:r>
        <w:rPr>
          <w:rFonts w:ascii="Calibri" w:hAnsi="Calibri"/>
          <w:color w:val="1A1A1A"/>
          <w:sz w:val="14"/>
        </w:rPr>
        <w:t xml:space="preserve">• </w:t>
      </w:r>
      <w:r>
        <w:rPr>
          <w:rFonts w:ascii="Calibri" w:hAnsi="Calibri"/>
          <w:b/>
          <w:i w:val="0"/>
          <w:color w:val="1A1A1A"/>
          <w:sz w:val="20"/>
        </w:rPr>
        <w:t xml:space="preserve">No deployment model: </w:t>
      </w:r>
      <w:r>
        <w:rPr>
          <w:rFonts w:ascii="Calibri" w:hAnsi="Calibri"/>
          <w:b w:val="0"/>
          <w:i w:val="0"/>
          <w:color w:val="1A1A1A"/>
          <w:sz w:val="20"/>
        </w:rPr>
        <w:t>Nothing to install, containerize, or slice.</w:t>
      </w:r>
    </w:p>
    <w:p>
      <w:pPr>
        <w:spacing w:before="0" w:after="72" w:line="264" w:lineRule="auto"/>
      </w:pPr>
      <w:r>
        <w:rPr>
          <w:rFonts w:ascii="Calibri" w:hAnsi="Calibri"/>
          <w:b w:val="0"/>
          <w:i w:val="0"/>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pPr>
        <w:spacing w:before="0" w:after="72" w:line="264" w:lineRule="auto"/>
      </w:pPr>
      <w:r>
        <w:rPr>
          <w:rFonts w:ascii="Calibri" w:hAnsi="Calibri"/>
          <w:b w:val="0"/>
          <w:i w:val="0"/>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90" w:after="90"/>
      </w:pPr>
      <w:r>
        <w:rPr>
          <w:rFonts w:ascii="Calibri" w:hAnsi="Calibri"/>
          <w:b/>
          <w:i w:val="0"/>
          <w:color w:val="136945"/>
          <w:sz w:val="22"/>
        </w:rPr>
        <w:t>Prospector finds the right companies.</w:t>
      </w:r>
    </w:p>
    <w:p>
      <w:pPr>
        <w:spacing w:before="0" w:after="72" w:line="264" w:lineRule="auto"/>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72" w:line="264" w:lineRule="auto"/>
      </w:pPr>
      <w:r>
        <w:rPr>
          <w:rFonts w:ascii="Calibri" w:hAnsi="Calibri"/>
          <w:b/>
          <w:color w:val="7000FF"/>
          <w:sz w:val="20"/>
        </w:rPr>
        <w:t>Prospector qualifies every company on product-level fit</w:t>
      </w:r>
      <w:r>
        <w:rPr>
          <w:rFonts w:ascii="Calibri" w:hAnsi="Calibri"/>
          <w:b w:val="0"/>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72" w:line="264" w:lineRule="auto"/>
      </w:pPr>
      <w:r>
        <w:rPr>
          <w:rFonts w:ascii="Calibri" w:hAnsi="Calibri"/>
          <w:b w:val="0"/>
          <w:i w:val="0"/>
          <w:color w:val="1A1A1A"/>
          <w:sz w:val="20"/>
        </w:rPr>
        <w:t>Fit scores, product signals, delivery path recommendations, key contacts — all of it needs to reach the right people at the right moment. That is what the HubSpot integration is built to do.</w:t>
      </w:r>
    </w:p>
    <w:p>
      <w:pPr>
        <w:spacing w:before="180" w:after="50"/>
        <w:keepWithNext w:val="1"/>
        <w:pBdr>
          <w:bottom w:val="single" w:sz="4" w:space="1" w:color="136945"/>
        </w:pBdr>
      </w:pPr>
      <w:r>
        <w:rPr>
          <w:rFonts w:ascii="Calibri" w:hAnsi="Calibri"/>
          <w:b/>
          <w:i w:val="0"/>
          <w:color w:val="136945"/>
          <w:sz w:val="26"/>
        </w:rPr>
        <w:t>Surfacing the data. Right place. Right time. Right context.</w:t>
      </w:r>
    </w:p>
    <w:p>
      <w:pPr>
        <w:spacing w:before="0" w:after="72" w:line="264" w:lineRule="auto"/>
      </w:pPr>
      <w:r>
        <w:rPr>
          <w:rFonts w:ascii="Calibri" w:hAnsi="Calibri"/>
          <w:b w:val="0"/>
          <w:i w:val="0"/>
          <w:color w:val="1A1A1A"/>
          <w:sz w:val="20"/>
        </w:rPr>
        <w:t>The balance of this document outlines the decisions for RevOps to make with Marketing and Security. It includes more context, several recommendations, and a list of decisions to be made. If you’re not in one of those groups, feel free to stop reading if you so choose.</w:t>
      </w:r>
    </w:p>
    <w:p>
      <w:pPr>
        <w:spacing w:before="140" w:after="40"/>
        <w:keepWithNext w:val="1"/>
      </w:pPr>
      <w:r>
        <w:rPr>
          <w:rFonts w:ascii="Calibri" w:hAnsi="Calibri"/>
          <w:b/>
          <w:i w:val="0"/>
          <w:color w:val="136945"/>
          <w:sz w:val="22"/>
        </w:rPr>
        <w:t>The Integration Principle</w:t>
      </w:r>
    </w:p>
    <w:p>
      <w:pPr>
        <w:spacing w:before="0" w:after="72" w:line="264" w:lineRule="auto"/>
      </w:pPr>
      <w:r>
        <w:rPr>
          <w:rFonts w:ascii="Calibri" w:hAnsi="Calibri"/>
          <w:b w:val="0"/>
          <w:i w:val="0"/>
          <w:color w:val="1A1A1A"/>
          <w:sz w:val="20"/>
        </w:rPr>
        <w:t>HubSpot is the seller and marketer’s workspace. Intelligence is the specialist workspace. The integration surfaces the right intelligence, to the right people, in the right places, with the right context — without requiring sellers to live in another tool or RevOps to build a parallel system.</w:t>
      </w:r>
    </w:p>
    <w:p>
      <w:pPr>
        <w:spacing w:before="140" w:after="40"/>
        <w:keepWithNext w:val="1"/>
      </w:pPr>
      <w:r>
        <w:rPr>
          <w:rFonts w:ascii="Calibri" w:hAnsi="Calibri"/>
          <w:b/>
          <w:i w:val="0"/>
          <w:color w:val="136945"/>
          <w:sz w:val="22"/>
        </w:rPr>
        <w:t>Prospector ↔ HubSpot: Bidirectional, marketing-driven</w:t>
      </w:r>
    </w:p>
    <w:p>
      <w:pPr>
        <w:spacing w:before="0" w:after="72" w:line="264" w:lineRule="auto"/>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72" w:line="264" w:lineRule="auto"/>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72" w:line="264" w:lineRule="auto"/>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40" w:after="40"/>
        <w:keepWithNext w:val="1"/>
      </w:pPr>
      <w:r>
        <w:rPr>
          <w:rFonts w:ascii="Calibri" w:hAnsi="Calibri"/>
          <w:b/>
          <w:i w:val="0"/>
          <w:color w:val="136945"/>
          <w:sz w:val="22"/>
        </w:rPr>
        <w:t>Inspector → HubSpot: Seller and SE-driven</w:t>
      </w:r>
    </w:p>
    <w:p>
      <w:pPr>
        <w:spacing w:before="0" w:after="72" w:line="264" w:lineRule="auto"/>
      </w:pPr>
      <w:r>
        <w:rPr>
          <w:rFonts w:ascii="Calibri" w:hAnsi="Calibri"/>
          <w:b w:val="0"/>
          <w:i w:val="0"/>
          <w:color w:val="1A1A1A"/>
          <w:sz w:val="20"/>
        </w:rPr>
        <w:t>Company and Deal records in HubSpot surface a ‘Run Inspector’ link. Clicking it opens Inspector at the Case Board. The full Inspector experience runs in Intelligence — HubSpot is only the trigger.</w:t>
      </w:r>
    </w:p>
    <w:p>
      <w:pPr>
        <w:spacing w:before="0" w:after="72" w:line="264" w:lineRule="auto"/>
      </w:pPr>
      <w:r>
        <w:rPr>
          <w:rFonts w:ascii="Calibri" w:hAnsi="Calibri"/>
          <w:b w:val="0"/>
          <w:i w:val="0"/>
          <w:color w:val="1A1A1A"/>
          <w:sz w:val="20"/>
        </w:rPr>
        <w:t>Case Board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72" w:line="264" w:lineRule="auto"/>
      </w:pPr>
      <w:r>
        <w:rPr>
          <w:rFonts w:ascii="Calibri" w:hAnsi="Calibri"/>
          <w:b w:val="0"/>
          <w:i w:val="0"/>
          <w:color w:val="1A1A1A"/>
          <w:sz w:val="20"/>
        </w:rPr>
        <w:t>Dossier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Link to full Inspector Dossier</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Full context one click away</w:t>
            </w:r>
          </w:p>
        </w:tc>
      </w:tr>
    </w:tbl>
    <w:p>
      <w:pPr>
        <w:spacing w:before="0" w:after="60"/>
      </w:pPr>
    </w:p>
    <w:p>
      <w:pPr>
        <w:spacing w:before="140" w:after="40"/>
        <w:keepWithNext w:val="1"/>
      </w:pPr>
      <w:r>
        <w:rPr>
          <w:rFonts w:ascii="Calibri" w:hAnsi="Calibri"/>
          <w:b/>
          <w:i w:val="0"/>
          <w:color w:val="136945"/>
          <w:sz w:val="22"/>
        </w:rPr>
        <w:t>Designer → HubSpot: Read-only visibility</w:t>
      </w:r>
    </w:p>
    <w:p>
      <w:pPr>
        <w:spacing w:before="0" w:after="72" w:line="264" w:lineRule="auto"/>
      </w:pPr>
      <w:r>
        <w:rPr>
          <w:rFonts w:ascii="Calibri" w:hAnsi="Calibri"/>
          <w:b w:val="0"/>
          <w:i w:val="0"/>
          <w:color w:val="1A1A1A"/>
          <w:sz w:val="20"/>
        </w:rPr>
        <w:t>Program owners and IDs go directly to Designer. HubSpot plays no role in triggering Designer’s workflow.</w:t>
      </w:r>
    </w:p>
    <w:p>
      <w:pPr>
        <w:spacing w:before="0" w:after="72" w:line="264" w:lineRule="auto"/>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80" w:after="50"/>
        <w:keepWithNext w:val="1"/>
        <w:pBdr>
          <w:bottom w:val="single" w:sz="4" w:space="1" w:color="136945"/>
        </w:pBdr>
      </w:pPr>
      <w:r>
        <w:rPr>
          <w:rFonts w:ascii="Calibri" w:hAnsi="Calibri"/>
          <w:b/>
          <w:i w:val="0"/>
          <w:color w:val="136945"/>
          <w:sz w:val="26"/>
        </w:rPr>
        <w:t>Recommendations &amp; open decisions</w:t>
      </w:r>
    </w:p>
    <w:p>
      <w:pPr>
        <w:spacing w:before="140" w:after="40"/>
        <w:keepWithNext w:val="1"/>
      </w:pPr>
      <w:r>
        <w:rPr>
          <w:rFonts w:ascii="Calibri" w:hAnsi="Calibri"/>
          <w:b/>
          <w:i w:val="0"/>
          <w:color w:val="136945"/>
          <w:sz w:val="22"/>
        </w:rPr>
        <w:t>What we are recommending</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The Inspector Case Board as the standard pre-call research tool for all sellers and SEs. </w:t>
      </w:r>
      <w:r>
        <w:rPr>
          <w:rFonts w:ascii="Calibri" w:hAnsi="Calibri"/>
          <w:b w:val="0"/>
          <w:i w:val="0"/>
          <w:color w:val="1A1A1A"/>
          <w:sz w:val="20"/>
        </w:rPr>
        <w:t>The ‘Run Inspector’ link on every Company and Deal record makes it a one-click motion. The Case Board gives every seller account intelligence they currently do not have before the first conversation.</w:t>
      </w:r>
    </w:p>
    <w:p>
      <w:pPr>
        <w:spacing w:before="0" w:after="60"/>
        <w:ind w:left="480" w:hanging="240"/>
      </w:pPr>
      <w:r>
        <w:rPr>
          <w:rFonts w:ascii="Calibri" w:hAnsi="Calibri"/>
          <w:color w:val="1A1A1A"/>
          <w:sz w:val="14"/>
        </w:rPr>
        <w:t xml:space="preserve">• </w:t>
      </w: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while the technical folks are working to get the technical details sorted. Program design and environment build run in parallel.</w:t>
      </w:r>
    </w:p>
    <w:p>
      <w:pPr>
        <w:spacing w:before="140" w:after="40"/>
        <w:keepWithNext w:val="1"/>
      </w:pPr>
      <w:r>
        <w:rPr>
          <w:rFonts w:ascii="Calibri" w:hAnsi="Calibri"/>
          <w:b/>
          <w:i w:val="0"/>
          <w:color w:val="136945"/>
          <w:sz w:val="22"/>
        </w:rPr>
        <w:t>Decisions required from RevOps and Marketing</w:t>
      </w:r>
    </w:p>
    <w:p>
      <w:pPr>
        <w:spacing w:before="0" w:after="72" w:line="264" w:lineRule="auto"/>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Dossier multi-product question</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