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A4D35"/>
          <w:sz w:val="36"/>
        </w:rPr>
        <w:t>Skillable Intelligence Platform</w:t>
      </w:r>
    </w:p>
    <w:p>
      <w:pPr>
        <w:spacing w:before="0" w:after="80"/>
        <w:pBdr>
          <w:bottom w:val="single" w:sz="8" w:space="1" w:color="1A4D35"/>
        </w:pBdr>
      </w:pPr>
      <w:r>
        <w:rPr>
          <w:rFonts w:ascii="Calibri" w:hAnsi="Calibri"/>
          <w:b w:val="0"/>
          <w:i/>
          <w:color w:val="606060"/>
          <w:sz w:val="22"/>
        </w:rPr>
        <w:t>Briefing for Skillable Executive Leadership</w:t>
      </w:r>
    </w:p>
    <w:p>
      <w:pPr>
        <w:spacing w:before="120" w:after="40"/>
      </w:pPr>
      <w:r>
        <w:rPr>
          <w:rFonts w:ascii="Calibri" w:hAnsi="Calibri"/>
          <w:b/>
          <w:i w:val="0"/>
          <w:color w:val="1A4D35"/>
          <w:sz w:val="26"/>
        </w:rPr>
        <w:t>WHY — The Problem No Other Tool Solves</w:t>
      </w:r>
    </w:p>
    <w:p>
      <w:pPr>
        <w:spacing w:before="100" w:after="30"/>
      </w:pPr>
      <w:r>
        <w:rPr>
          <w:rFonts w:ascii="Calibri" w:hAnsi="Calibri"/>
          <w:b/>
          <w:i w:val="0"/>
          <w:color w:val="1A4D35"/>
          <w:sz w:val="22"/>
        </w:rPr>
        <w:t>We Are a Platform, Not a Product</w:t>
      </w:r>
    </w:p>
    <w:p>
      <w:pPr>
        <w:spacing w:before="0" w:after="60"/>
      </w:pPr>
      <w:r>
        <w:rPr>
          <w:rFonts w:ascii="Calibri" w:hAnsi="Calibri"/>
          <w:b w:val="0"/>
          <w:i w:val="0"/>
          <w:color w:val="1A1A1A"/>
          <w:sz w:val="20"/>
        </w:rPr>
        <w:t>Most B2B companies sell a product. Their go-to-market challenge is identifying organizations that have the budget, the pain point, and the authority to buy. Firmographic signals — company size, industry, growth stage, technology stack — are meaningful proxies. A company that fits the profile is a prospect.</w:t>
      </w:r>
    </w:p>
    <w:p>
      <w:pPr>
        <w:spacing w:before="0" w:after="60"/>
      </w:pPr>
      <w:r>
        <w:rPr>
          <w:rFonts w:ascii="Calibri" w:hAnsi="Calibri"/>
          <w:b w:val="0"/>
          <w:i w:val="0"/>
          <w:color w:val="1A1A1A"/>
          <w:sz w:val="20"/>
        </w:rPr>
        <w:t>Skillable sells a platform. That changes the qualification question entirely.</w:t>
      </w:r>
    </w:p>
    <w:p>
      <w:pPr>
        <w:spacing w:before="0" w:after="60"/>
      </w:pPr>
      <w:r>
        <w:rPr>
          <w:rFonts w:ascii="Calibri" w:hAnsi="Calibri"/>
          <w:b w:val="0"/>
          <w:i w:val="0"/>
          <w:color w:val="1A1A1A"/>
          <w:sz w:val="20"/>
        </w:rPr>
        <w:t>We are not asking whether a company values training. We are asking whether a company’s products can be orchestrated into hands-on labs — whether Skillable can technically deliver for them, whether their products are complex enough that labs create genuine skill-building value, and whether their organization has the maturity to build and sustain a lab program.</w:t>
      </w:r>
    </w:p>
    <w:p>
      <w:pPr>
        <w:spacing w:before="0" w:after="60"/>
      </w:pPr>
      <w:r>
        <w:rPr>
          <w:rFonts w:ascii="Calibri" w:hAnsi="Calibri"/>
          <w:b w:val="0"/>
          <w:i w:val="0"/>
          <w:color w:val="1A1A1A"/>
          <w:sz w:val="20"/>
        </w:rPr>
        <w:t>These are not questions about the company. They are questions about the product. And they cannot be answered with firmographic data.</w:t>
      </w:r>
    </w:p>
    <w:p>
      <w:pPr>
        <w:spacing w:before="0" w:after="60"/>
      </w:pPr>
      <w:r>
        <w:rPr>
          <w:rFonts w:ascii="Calibri" w:hAnsi="Calibri"/>
          <w:b w:val="0"/>
          <w:i w:val="0"/>
          <w:color w:val="1A1A1A"/>
          <w:sz w:val="20"/>
        </w:rPr>
        <w:t xml:space="preserve">This is the gap Intelligence fills. Every other tool in our stack — ZoomInfo, 6sense, HubSpot, LinkedIn Sales Navigator — evaluates companies. </w:t>
      </w:r>
      <w:r>
        <w:rPr>
          <w:rFonts w:ascii="Calibri" w:hAnsi="Calibri"/>
          <w:b/>
          <w:i w:val="0"/>
          <w:color w:val="1A1A1A"/>
          <w:sz w:val="20"/>
        </w:rPr>
        <w:t>Intelligence evaluates products.</w:t>
      </w:r>
      <w:r>
        <w:rPr>
          <w:rFonts w:ascii="Calibri" w:hAnsi="Calibri"/>
          <w:b w:val="0"/>
          <w:i w:val="0"/>
          <w:color w:val="1A1A1A"/>
          <w:sz w:val="20"/>
        </w:rPr>
        <w:t xml:space="preserve"> It is the only platform in our stack capable of answering the question that actually determines whether a prospect can become a Skillable customer.</w:t>
      </w:r>
    </w:p>
    <w:p>
      <w:pPr>
        <w:spacing w:before="100" w:after="30"/>
      </w:pPr>
      <w:r>
        <w:rPr>
          <w:rFonts w:ascii="Calibri" w:hAnsi="Calibri"/>
          <w:b/>
          <w:i w:val="0"/>
          <w:color w:val="1A4D35"/>
          <w:sz w:val="22"/>
        </w:rPr>
        <w:t>The Three Gates</w:t>
      </w:r>
    </w:p>
    <w:p>
      <w:pPr>
        <w:spacing w:before="0" w:after="60"/>
      </w:pPr>
      <w:r>
        <w:rPr>
          <w:rFonts w:ascii="Calibri" w:hAnsi="Calibri"/>
          <w:b w:val="0"/>
          <w:i w:val="0"/>
          <w:color w:val="1A1A1A"/>
          <w:sz w:val="20"/>
        </w:rPr>
        <w:t>Intelligence evaluates every company and product against three qualification gates. All three must clear for a prospect to be genuinely purseable.</w:t>
      </w:r>
    </w:p>
    <w:p>
      <w:pPr>
        <w:pStyle w:val="ListBullet"/>
        <w:spacing w:before="0" w:after="40"/>
      </w:pPr>
      <w:r>
        <w:rPr>
          <w:rFonts w:ascii="Calibri" w:hAnsi="Calibri"/>
          <w:b/>
          <w:i w:val="0"/>
          <w:color w:val="1A1A1A"/>
          <w:sz w:val="20"/>
        </w:rPr>
        <w:t xml:space="preserve">Gate 1 — Technical Orchestrability: </w:t>
      </w:r>
      <w:r>
        <w:rPr>
          <w:rFonts w:ascii="Calibri" w:hAnsi="Calibri"/>
          <w:b w:val="0"/>
          <w:i w:val="0"/>
          <w:color w:val="1A1A1A"/>
          <w:sz w:val="20"/>
        </w:rPr>
        <w:t>Can Skillable deliver a lab for this company’s products? This is the primary gate. If the answer is no, the composite score is limited regardless of everything else. Gate 1 failure means the company is not a Skillable prospect — period.</w:t>
      </w:r>
    </w:p>
    <w:p>
      <w:pPr>
        <w:pStyle w:val="ListBullet"/>
        <w:spacing w:before="0" w:after="40"/>
      </w:pPr>
      <w:r>
        <w:rPr>
          <w:rFonts w:ascii="Calibri" w:hAnsi="Calibri"/>
          <w:b/>
          <w:i w:val="0"/>
          <w:color w:val="1A1A1A"/>
          <w:sz w:val="20"/>
        </w:rPr>
        <w:t xml:space="preserve">Gate 2 — Product Complexity: </w:t>
      </w:r>
      <w:r>
        <w:rPr>
          <w:rFonts w:ascii="Calibri" w:hAnsi="Calibri"/>
          <w:b w:val="0"/>
          <w:i w:val="0"/>
          <w:color w:val="1A1A1A"/>
          <w:sz w:val="20"/>
        </w:rPr>
        <w:t>Is the product technically rich enough that hands-on labs create genuine skill-building value? Simple products with shallow workflows don’t benefit enough from labs to justify the investment. High Gate 2 scores mean learners get dramatically better at something that matters — and they can prove it.</w:t>
      </w:r>
    </w:p>
    <w:p>
      <w:pPr>
        <w:pStyle w:val="ListBullet"/>
        <w:spacing w:before="0" w:after="40"/>
      </w:pPr>
      <w:r>
        <w:rPr>
          <w:rFonts w:ascii="Calibri" w:hAnsi="Calibri"/>
          <w:b/>
          <w:i w:val="0"/>
          <w:color w:val="1A1A1A"/>
          <w:sz w:val="20"/>
        </w:rPr>
        <w:t xml:space="preserve">Gate 3 — Organizational Readiness: </w:t>
      </w:r>
      <w:r>
        <w:rPr>
          <w:rFonts w:ascii="Calibri" w:hAnsi="Calibri"/>
          <w:b w:val="0"/>
          <w:i w:val="0"/>
          <w:color w:val="1A1A1A"/>
          <w:sz w:val="20"/>
        </w:rPr>
        <w:t>Does the company have the content team skills, technical enablement maturity, and program leadership to build and sustain a lab program? Gate 3 uses a two-question model: does the organization have this capability today, and do they have the organizational DNA to build it if absent?</w:t>
      </w:r>
    </w:p>
    <w:p>
      <w:pPr>
        <w:spacing w:before="0" w:after="60"/>
      </w:pPr>
      <w:r>
        <w:rPr>
          <w:rFonts w:ascii="Calibri" w:hAnsi="Calibri"/>
          <w:b w:val="0"/>
          <w:i w:val="0"/>
          <w:color w:val="1A1A1A"/>
          <w:sz w:val="20"/>
        </w:rPr>
        <w:t>A company must clear all three gates for a successful lab program to be achievable. Intelligence flags what’s missing — and surfaces what it would take to get there.</w:t>
      </w:r>
    </w:p>
    <w:p>
      <w:pPr>
        <w:spacing w:before="100" w:after="30"/>
      </w:pPr>
      <w:r>
        <w:rPr>
          <w:rFonts w:ascii="Calibri" w:hAnsi="Calibri"/>
          <w:b/>
          <w:i w:val="0"/>
          <w:color w:val="1A4D35"/>
          <w:sz w:val="22"/>
        </w:rPr>
        <w:t>The Workday Pattern — Knowing When to Stop Before We Start</w:t>
      </w:r>
    </w:p>
    <w:p>
      <w:pPr>
        <w:spacing w:before="0" w:after="60"/>
      </w:pPr>
      <w:r>
        <w:rPr>
          <w:rFonts w:ascii="Calibri" w:hAnsi="Calibri"/>
          <w:b/>
          <w:i w:val="0"/>
          <w:color w:val="1A1A1A"/>
          <w:sz w:val="20"/>
        </w:rPr>
        <w:t>The goal of Intelligence is to surface the specific technical reasons a company cannot be a Skillable customer — before we spend a single dollar marketing to them.</w:t>
      </w:r>
    </w:p>
    <w:p>
      <w:pPr>
        <w:spacing w:before="0" w:after="60"/>
      </w:pPr>
      <w:r>
        <w:rPr>
          <w:rFonts w:ascii="Calibri" w:hAnsi="Calibri"/>
          <w:b w:val="0"/>
          <w:i w:val="0"/>
          <w:color w:val="1A1A1A"/>
          <w:sz w:val="20"/>
        </w:rPr>
        <w:t>Workday is the clearest illustration. On every traditional marketing signal, Workday looks like an ideal prospect: world-class training organization, deep content ecosystem, strong technical enablement culture, massive install base. Gate 3 passes with distinction. Gate 2 passes too — configuring Workday HCM or Financials is genuinely complex. Workday’s own content teams wanted to build labs.</w:t>
      </w:r>
    </w:p>
    <w:p>
      <w:pPr>
        <w:spacing w:before="0" w:after="60"/>
      </w:pPr>
      <w:r>
        <w:rPr>
          <w:rFonts w:ascii="Calibri" w:hAnsi="Calibri"/>
          <w:b w:val="0"/>
          <w:i w:val="0"/>
          <w:color w:val="1A1A1A"/>
          <w:sz w:val="20"/>
        </w:rPr>
        <w:t>Gate 1 is where the analysis ends. The specific technical reasons are articulable and discoverable from public documentation: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Workday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40"/>
      </w:pPr>
      <w:r>
        <w:rPr>
          <w:rFonts w:ascii="Calibri" w:hAnsi="Calibri"/>
          <w:b/>
          <w:i w:val="0"/>
          <w:color w:val="1A1A1A"/>
          <w:sz w:val="20"/>
        </w:rPr>
        <w:t xml:space="preserve">No deployment model — </w:t>
      </w:r>
      <w:r>
        <w:rPr>
          <w:rFonts w:ascii="Calibri" w:hAnsi="Calibri"/>
          <w:b w:val="0"/>
          <w:i w:val="0"/>
          <w:color w:val="1A1A1A"/>
          <w:sz w:val="20"/>
        </w:rPr>
        <w:t>nothing to install, nothing to containerize, nothing to slice. The product lives entirely in Workday’s cloud and cannot be replicated outside it.</w:t>
      </w:r>
    </w:p>
    <w:p>
      <w:pPr>
        <w:spacing w:before="0" w:after="60"/>
      </w:pPr>
      <w:r>
        <w:rPr>
          <w:rFonts w:ascii="Calibri" w:hAnsi="Calibri"/>
          <w:b w:val="0"/>
          <w:i w:val="0"/>
          <w:color w:val="1A1A1A"/>
          <w:sz w:val="20"/>
        </w:rPr>
        <w:t>These are not hunches. They are specific, technical facts — findable in public documentation before a single sales conversation begins.</w:t>
      </w:r>
    </w:p>
    <w:p>
      <w:pPr>
        <w:spacing w:before="0" w:after="60"/>
      </w:pPr>
      <w:r>
        <w:rPr>
          <w:rFonts w:ascii="Calibri" w:hAnsi="Calibri"/>
          <w:b w:val="0"/>
          <w:i w:val="0"/>
          <w:color w:val="1A1A1A"/>
          <w:sz w:val="20"/>
        </w:rPr>
        <w:t>The most important version of this story: Workday wasn’t a bad lead. It was motivated, capable people inside a well-run organization who invested significant time before hitting a wall that was always there — because Gate 1 was never evaluated before the pursuit began.</w:t>
      </w:r>
    </w:p>
    <w:p>
      <w:pPr>
        <w:spacing w:before="0" w:after="60"/>
      </w:pPr>
      <w:r>
        <w:rPr>
          <w:rFonts w:ascii="Calibri" w:hAnsi="Calibri"/>
          <w:b/>
          <w:i w:val="0"/>
          <w:color w:val="1A1A1A"/>
          <w:sz w:val="20"/>
        </w:rPr>
        <w:t xml:space="preserve">Products that work like Workday are not a fit — and Intelligence surfaces that before any marketing motion begins. </w:t>
      </w:r>
      <w:r>
        <w:rPr>
          <w:rFonts w:ascii="Calibri" w:hAnsi="Calibri"/>
          <w:b w:val="0"/>
          <w:i w:val="0"/>
          <w:color w:val="1A1A1A"/>
          <w:sz w:val="20"/>
        </w:rPr>
        <w:t>The HubSpot verdict is Do Not Pursue — with the specific technical reasons documented on the Company record so any seller or marketer who asks gets a clear, defensible answer.</w:t>
      </w:r>
    </w:p>
    <w:p>
      <w:pPr>
        <w:spacing w:before="100" w:after="30"/>
      </w:pPr>
      <w:r>
        <w:rPr>
          <w:rFonts w:ascii="Calibri" w:hAnsi="Calibri"/>
          <w:b/>
          <w:i w:val="0"/>
          <w:color w:val="1A4D35"/>
          <w:sz w:val="22"/>
        </w:rPr>
        <w:t>Lookalike Is Causation, Not Correlation</w:t>
      </w:r>
    </w:p>
    <w:p>
      <w:pPr>
        <w:spacing w:before="0" w:after="60"/>
      </w:pPr>
      <w:r>
        <w:rPr>
          <w:rFonts w:ascii="Calibri" w:hAnsi="Calibri"/>
          <w:b w:val="0"/>
          <w:i w:val="0"/>
          <w:color w:val="1A1A1A"/>
          <w:sz w:val="20"/>
        </w:rPr>
        <w:t>Standard lookalike analysis finds companies that resemble existing customers — same size, same industry, same growth profile. That is firmographic correlation. It is useful, and it has limits.</w:t>
      </w:r>
    </w:p>
    <w:p>
      <w:pPr>
        <w:spacing w:before="0" w:after="60"/>
      </w:pPr>
      <w:r>
        <w:rPr>
          <w:rFonts w:ascii="Calibri" w:hAnsi="Calibri"/>
          <w:b w:val="0"/>
          <w:i w:val="0"/>
          <w:color w:val="1A1A1A"/>
          <w:sz w:val="20"/>
        </w:rPr>
        <w:t>For Skillable, lookalike analysis works differently — and more powerfully.</w:t>
      </w:r>
    </w:p>
    <w:p>
      <w:pPr>
        <w:spacing w:before="0" w:after="60"/>
      </w:pPr>
      <w:r>
        <w:rPr>
          <w:rFonts w:ascii="Calibri" w:hAnsi="Calibri"/>
          <w:b w:val="0"/>
          <w:i w:val="0"/>
          <w:color w:val="1A1A1A"/>
          <w:sz w:val="20"/>
        </w:rPr>
        <w:t>When Fortinet is a strong fit, it is not because Fortinet resembles other good customers as a company. It is because Fortinet’s products have specific technical characteristics — multi-VM topology, deep admin workflows, real consequence of error, strong API surface — that make them labable. Those characteristics are determined by what Fortinet sells, not by how large they are.</w:t>
      </w:r>
    </w:p>
    <w:p>
      <w:pPr>
        <w:spacing w:before="0" w:after="60"/>
      </w:pPr>
      <w:r>
        <w:rPr>
          <w:rFonts w:ascii="Calibri" w:hAnsi="Calibri"/>
          <w:b/>
          <w:i w:val="0"/>
          <w:color w:val="1A1A1A"/>
          <w:sz w:val="20"/>
        </w:rPr>
        <w:t>Every company selling products with those same technical characteristics is labable for the same reasons.</w:t>
      </w:r>
      <w:r>
        <w:rPr>
          <w:rFonts w:ascii="Calibri" w:hAnsi="Calibri"/>
          <w:b w:val="0"/>
          <w:i w:val="0"/>
          <w:color w:val="1A1A1A"/>
          <w:sz w:val="20"/>
        </w:rPr>
        <w:t xml:space="preserve"> The fit is not approximate. It transfers directly.</w:t>
      </w:r>
    </w:p>
    <w:p>
      <w:pPr>
        <w:pStyle w:val="ListBullet"/>
        <w:spacing w:before="0" w:after="40"/>
      </w:pPr>
      <w:r>
        <w:rPr>
          <w:rFonts w:ascii="Calibri" w:hAnsi="Calibri"/>
          <w:b w:val="0"/>
          <w:i w:val="0"/>
          <w:color w:val="1A1A1A"/>
          <w:sz w:val="20"/>
        </w:rPr>
        <w:t>A company selling network security products will almost always clear Gates 1 and 2 — for the same reasons Fortinet, Palo Alto, and Cisco do.</w:t>
      </w:r>
    </w:p>
    <w:p>
      <w:pPr>
        <w:pStyle w:val="ListBullet"/>
        <w:spacing w:before="0" w:after="40"/>
      </w:pPr>
      <w:r>
        <w:rPr>
          <w:rFonts w:ascii="Calibri" w:hAnsi="Calibri"/>
          <w:b w:val="0"/>
          <w:i w:val="0"/>
          <w:color w:val="1A1A1A"/>
          <w:sz w:val="20"/>
        </w:rPr>
        <w:t>A company selling SIEM, EDR, or identity management will almost always clear Gates 1 and 2 — for the same reasons CrowdStrike, Splunk, and SentinelOne do.</w:t>
      </w:r>
    </w:p>
    <w:p>
      <w:pPr>
        <w:pStyle w:val="ListBullet"/>
        <w:spacing w:before="0" w:after="40"/>
      </w:pPr>
      <w:r>
        <w:rPr>
          <w:rFonts w:ascii="Calibri" w:hAnsi="Calibri"/>
          <w:b w:val="0"/>
          <w:i w:val="0"/>
          <w:color w:val="1A1A1A"/>
          <w:sz w:val="20"/>
        </w:rPr>
        <w:t>A company selling data pipeline or ML infrastructure will almost always clear Gates 1 and 2 — for the same reasons Databricks, dbt Labs, and Snowflake do.</w:t>
      </w:r>
    </w:p>
    <w:p>
      <w:pPr>
        <w:spacing w:before="0" w:after="60"/>
      </w:pPr>
      <w:r>
        <w:rPr>
          <w:rFonts w:ascii="Calibri" w:hAnsi="Calibri"/>
          <w:b/>
          <w:i w:val="0"/>
          <w:color w:val="1A1A1A"/>
          <w:sz w:val="20"/>
        </w:rPr>
        <w:t xml:space="preserve">The competitive map is the lookalike list. </w:t>
      </w:r>
      <w:r>
        <w:rPr>
          <w:rFonts w:ascii="Calibri" w:hAnsi="Calibri"/>
          <w:b w:val="0"/>
          <w:i w:val="0"/>
          <w:color w:val="1A1A1A"/>
          <w:sz w:val="20"/>
        </w:rPr>
        <w:t>Every time Intelligence analyzes a strong-fit customer, it surfaces that company’s direct competitors — pre-qualified lookalike candidates, identified automatically, without additional research. And it compounds: every new Skillable customer proves another product category.</w:t>
      </w:r>
    </w:p>
    <w:p>
      <w:pPr>
        <w:spacing w:before="0" w:after="60"/>
      </w:pPr>
      <w:r>
        <w:rPr>
          <w:rFonts w:ascii="Calibri" w:hAnsi="Calibri"/>
          <w:b w:val="0"/>
          <w:i w:val="0"/>
          <w:color w:val="1A1A1A"/>
          <w:sz w:val="20"/>
        </w:rPr>
        <w:t xml:space="preserve">We are not looking for companies that look like our customers. </w:t>
      </w:r>
      <w:r>
        <w:rPr>
          <w:rFonts w:ascii="Calibri" w:hAnsi="Calibri"/>
          <w:b/>
          <w:i w:val="0"/>
          <w:color w:val="1A1A1A"/>
          <w:sz w:val="20"/>
        </w:rPr>
        <w:t>We are looking for companies whose products behave like our customers’ products.</w:t>
      </w:r>
      <w:r>
        <w:rPr>
          <w:rFonts w:ascii="Calibri" w:hAnsi="Calibri"/>
          <w:b w:val="0"/>
          <w:i w:val="0"/>
          <w:color w:val="1A1A1A"/>
          <w:sz w:val="20"/>
        </w:rPr>
        <w:t xml:space="preserve"> That is a fundamentally more defensible, more precise, and more scalable approach to ICP targeting.</w:t>
      </w:r>
    </w:p>
    <w:p>
      <w:pPr>
        <w:spacing w:before="100" w:after="30"/>
      </w:pPr>
      <w:r>
        <w:rPr>
          <w:rFonts w:ascii="Calibri" w:hAnsi="Calibri"/>
          <w:b/>
          <w:i w:val="0"/>
          <w:color w:val="1A4D35"/>
          <w:sz w:val="22"/>
        </w:rPr>
        <w:t>AI Moments — Capability Unlocks, Not Efficiency Gains</w:t>
      </w:r>
    </w:p>
    <w:p>
      <w:pPr>
        <w:spacing w:before="0" w:after="60"/>
      </w:pPr>
      <w:r>
        <w:rPr>
          <w:rFonts w:ascii="Calibri" w:hAnsi="Calibri"/>
          <w:b w:val="0"/>
          <w:i w:val="0"/>
          <w:color w:val="1A1A1A"/>
          <w:sz w:val="20"/>
        </w:rPr>
        <w:t>Intelligence uses AI to do things that were not previously possible — not faster versions of existing work, but work that simply did not happen before because the human cost made it impractical.</w:t>
      </w:r>
    </w:p>
    <w:p>
      <w:pPr>
        <w:spacing w:before="0" w:after="60"/>
      </w:pPr>
      <w:r>
        <w:rPr>
          <w:rFonts w:ascii="Calibri" w:hAnsi="Calibri"/>
          <w:b/>
          <w:i w:val="0"/>
          <w:color w:val="1A1A1A"/>
          <w:sz w:val="20"/>
        </w:rPr>
        <w:t xml:space="preserve">AI Moment: Product-level research at scale. </w:t>
      </w:r>
      <w:r>
        <w:rPr>
          <w:rFonts w:ascii="Calibri" w:hAnsi="Calibri"/>
          <w:b w:val="0"/>
          <w:i w:val="0"/>
          <w:color w:val="1A1A1A"/>
          <w:sz w:val="20"/>
        </w:rPr>
        <w:t>Assessing whether a company’s products have the deployment model, API surface, marketplace presence, and technical architecture that Skillable can orchestrate takes an experienced SE hours per company. Intelligence does it in minutes, across a list of hundreds — researching marketplace listings, API documentation, GitHub repositories, Docker images, and partner ecosystem signals automatically. Every company on a ZoomInfo list gets a real technical evaluation, not just a firmographic score.</w:t>
      </w:r>
    </w:p>
    <w:p>
      <w:pPr>
        <w:spacing w:before="0" w:after="60"/>
      </w:pPr>
      <w:r>
        <w:rPr>
          <w:rFonts w:ascii="Calibri" w:hAnsi="Calibri"/>
          <w:b/>
          <w:i w:val="0"/>
          <w:color w:val="1A1A1A"/>
          <w:sz w:val="20"/>
        </w:rPr>
        <w:t xml:space="preserve">AI Moment: Applying Skillable’s platform knowledge to every product it touches. </w:t>
      </w:r>
      <w:r>
        <w:rPr>
          <w:rFonts w:ascii="Calibri" w:hAnsi="Calibri"/>
          <w:b w:val="0"/>
          <w:i w:val="0"/>
          <w:color w:val="1A1A1A"/>
          <w:sz w:val="20"/>
        </w:rPr>
        <w:t>Skillable has deep, specific knowledge about how its platform works — delivery paths, technical blockers, feature availability, Gate 1 disqualifiers, scoring feasibility signals. A human SE applies it to one company at a time, in a live conversation. Intelligence applies that entire body of knowledge to every product it researches, automatically — reasoning through the specific technical characteristics of a product against the specific capabilities and constraints of the Skillable platform, and producing a judgment that reflects reality rather than optimism. Intelligence knows Skillable as well as your best SE, and applies that knowledge to every company it touches.</w:t>
      </w:r>
    </w:p>
    <w:p>
      <w:pPr>
        <w:spacing w:before="0" w:after="60"/>
      </w:pPr>
      <w:r>
        <w:rPr>
          <w:rFonts w:ascii="Calibri" w:hAnsi="Calibri"/>
          <w:b/>
          <w:i w:val="0"/>
          <w:color w:val="1A1A1A"/>
          <w:sz w:val="20"/>
        </w:rPr>
        <w:t xml:space="preserve">AI Moment: Surfacing the Workday pattern before the pursuit begins. </w:t>
      </w:r>
      <w:r>
        <w:rPr>
          <w:rFonts w:ascii="Calibri" w:hAnsi="Calibri"/>
          <w:b w:val="0"/>
          <w:i w:val="0"/>
          <w:color w:val="1A1A1A"/>
          <w:sz w:val="20"/>
        </w:rPr>
        <w:t>Identifying that a product has no provisioning API, no deployment model, and pure multi-tenant architecture — from public documentation, before any human conversation — is not a filter. It is a research and reasoning task. The technical reasons a company cannot be a Skillable customer are documented before the first marketing dollar is spent.</w:t>
      </w:r>
    </w:p>
    <w:p>
      <w:pPr>
        <w:spacing w:before="0" w:after="60"/>
      </w:pPr>
      <w:r>
        <w:rPr>
          <w:rFonts w:ascii="Calibri" w:hAnsi="Calibri"/>
          <w:b/>
          <w:i w:val="0"/>
          <w:color w:val="1A1A1A"/>
          <w:sz w:val="20"/>
        </w:rPr>
        <w:t xml:space="preserve">AI Moment: Lookalike by product behavior, not firmographic resemblance. </w:t>
      </w:r>
      <w:r>
        <w:rPr>
          <w:rFonts w:ascii="Calibri" w:hAnsi="Calibri"/>
          <w:b w:val="0"/>
          <w:i w:val="0"/>
          <w:color w:val="1A1A1A"/>
          <w:sz w:val="20"/>
        </w:rPr>
        <w:t>Finding companies whose products behave like known strong-fit customers requires understanding what makes a product technically orchestrable and applying that reasoning across the internet. The competitive map of every analyzed customer becomes an automatically updated list of pre-qualified lookalike candidates.</w:t>
      </w:r>
    </w:p>
    <w:p>
      <w:pPr>
        <w:spacing w:before="0" w:after="0"/>
      </w:pPr>
      <w:r>
        <w:br w:type="page"/>
      </w:r>
    </w:p>
    <w:p>
      <w:pPr>
        <w:spacing w:before="120" w:after="40"/>
      </w:pPr>
      <w:r>
        <w:rPr>
          <w:rFonts w:ascii="Calibri" w:hAnsi="Calibri"/>
          <w:b/>
          <w:i w:val="0"/>
          <w:color w:val="1A4D35"/>
          <w:sz w:val="26"/>
        </w:rPr>
        <w:t>WHAT — The Intelligence Platform</w:t>
      </w:r>
    </w:p>
    <w:p>
      <w:pPr>
        <w:spacing w:before="100" w:after="30"/>
      </w:pPr>
      <w:r>
        <w:rPr>
          <w:rFonts w:ascii="Calibri" w:hAnsi="Calibri"/>
          <w:b/>
          <w:i w:val="0"/>
          <w:color w:val="1A4D35"/>
          <w:sz w:val="22"/>
        </w:rPr>
        <w:t>Three Tools, One Intelligence Layer</w:t>
      </w:r>
    </w:p>
    <w:p>
      <w:pPr>
        <w:spacing w:before="0" w:after="60"/>
      </w:pPr>
      <w:r>
        <w:rPr>
          <w:rFonts w:ascii="Calibri" w:hAnsi="Calibri"/>
          <w:b w:val="0"/>
          <w:i w:val="0"/>
          <w:color w:val="1A1A1A"/>
          <w:sz w:val="20"/>
        </w:rPr>
        <w:t>Skillable Intelligence is a platform of three connected tools — Prospector, Inspector, and Designer — all powered by a shared research and scoring engine. The intelligence layer accumulates, stores, and maintains company and product knowledge. Each tool contextualizes that intelligence for a specific person doing a specific job.</w:t>
      </w:r>
    </w:p>
    <w:p>
      <w:pPr>
        <w:spacing w:before="0" w:after="60"/>
      </w:pPr>
      <w:r>
        <w:rPr>
          <w:rFonts w:ascii="Calibri" w:hAnsi="Calibri"/>
          <w:b/>
          <w:i w:val="0"/>
          <w:color w:val="1A1A1A"/>
          <w:sz w:val="20"/>
        </w:rPr>
        <w:t xml:space="preserve">Improving the intelligence layer improves all three tools simultaneously. </w:t>
      </w:r>
      <w:r>
        <w:rPr>
          <w:rFonts w:ascii="Calibri" w:hAnsi="Calibri"/>
          <w:b w:val="0"/>
          <w:i w:val="0"/>
          <w:color w:val="1A1A1A"/>
          <w:sz w:val="20"/>
        </w:rPr>
        <w:t>Every research improvement makes Prospector rankings more accurate, Inspector analyses more complete, and Designer recommendations more specific — at the same time. The platform gets smarter with every analysis, and every tool benefits.</w:t>
      </w:r>
    </w:p>
    <w:p>
      <w:pPr>
        <w:spacing w:before="100" w:after="30"/>
      </w:pPr>
      <w:r>
        <w:rPr>
          <w:rFonts w:ascii="Calibri" w:hAnsi="Calibri"/>
          <w:b/>
          <w:i w:val="0"/>
          <w:color w:val="1A4D35"/>
          <w:sz w:val="22"/>
        </w:rPr>
        <w:t>Prospector — ICP Outbound at Scale</w:t>
      </w:r>
    </w:p>
    <w:p>
      <w:pPr>
        <w:spacing w:before="0" w:after="60"/>
      </w:pPr>
      <w:r>
        <w:rPr>
          <w:rFonts w:ascii="Calibri" w:hAnsi="Calibri"/>
          <w:b w:val="0"/>
          <w:i w:val="0"/>
          <w:color w:val="1A1A1A"/>
          <w:sz w:val="20"/>
        </w:rPr>
        <w:t>Prospector is the go-to-market tool for Marketing and RevOps. It takes a list of companies and returns a ranked assessment of how well each one fits Skillable’s ICP — with product-level evidence, composite scores, verdicts, delivery path signals, and key contacts for every company on the list.</w:t>
      </w:r>
    </w:p>
    <w:p>
      <w:pPr>
        <w:spacing w:before="0" w:after="60"/>
      </w:pPr>
      <w:r>
        <w:rPr>
          <w:rFonts w:ascii="Calibri" w:hAnsi="Calibri"/>
          <w:b/>
          <w:i w:val="0"/>
          <w:color w:val="1A1A1A"/>
          <w:sz w:val="20"/>
        </w:rPr>
        <w:t xml:space="preserve">What it unlocks: </w:t>
      </w:r>
      <w:r>
        <w:rPr>
          <w:rFonts w:ascii="Calibri" w:hAnsi="Calibri"/>
          <w:b w:val="0"/>
          <w:i w:val="0"/>
          <w:color w:val="1A1A1A"/>
          <w:sz w:val="20"/>
        </w:rPr>
        <w:t>Marketing has never had access to product-level qualification data at the point of list building. Prospector makes it possible to screen a ZoomInfo export of 500 companies for Gate 1/2/3 compatibility before a sequence is written, a dollar is spent, or an SDR makes a call. Companies that clear all three gates go into outreach. The Workday patterns come off the list — with documented reasons.</w:t>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existing buyers ready to expand.</w:t>
      </w:r>
    </w:p>
    <w:p>
      <w:pPr>
        <w:spacing w:before="100" w:after="30"/>
      </w:pPr>
      <w:r>
        <w:rPr>
          <w:rFonts w:ascii="Calibri" w:hAnsi="Calibri"/>
          <w:b/>
          <w:i w:val="0"/>
          <w:color w:val="1A4D35"/>
          <w:sz w:val="22"/>
        </w:rPr>
        <w:t>Inspector — Deep Analysis for Sellers and SEs</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the company’s products, ranked by labability, with competitive pairings, company-level signals, and an overall fit score. The foundation document for any seller or SE entering a conversation with this account. Also the output of Prospector’s Customer Expansion pass — the same research, stored once per company, shared across both tools.</w:t>
      </w:r>
    </w:p>
    <w:p>
      <w:pPr>
        <w:pStyle w:val="ListBullet"/>
        <w:spacing w:before="0" w:after="4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Gate 1/2/3 evidence, delivery path recommendation with rationale, scoring approach, consumption potential estimate, and program scope. This is the document that goes into a deal conversation.</w:t>
      </w:r>
    </w:p>
    <w:p>
      <w:pPr>
        <w:spacing w:before="0" w:after="60"/>
      </w:pPr>
      <w:r>
        <w:rPr>
          <w:rFonts w:ascii="Calibri" w:hAnsi="Calibri"/>
          <w:b/>
          <w:i w:val="0"/>
          <w:color w:val="1A1A1A"/>
          <w:sz w:val="20"/>
        </w:rPr>
        <w:t xml:space="preserve">AI Moment: </w:t>
      </w:r>
      <w:r>
        <w:rPr>
          <w:rFonts w:ascii="Calibri" w:hAnsi="Calibri"/>
          <w:b w:val="0"/>
          <w:i w:val="0"/>
          <w:color w:val="1A1A1A"/>
          <w:sz w:val="20"/>
        </w:rPr>
        <w:t>A seller walking into a conversation with a Stage 2 Inspector report knows what the customer’s products can and cannot do on the Skillable platform, which delivery path makes sense and why, and what the estimated consumption potential is. That is not a discovery conversation — it is a solution conversation. A level of pre-call preparation that was previously impossible at scale is now standard.</w:t>
      </w:r>
    </w:p>
    <w:p>
      <w:pPr>
        <w:spacing w:before="100" w:after="30"/>
      </w:pPr>
      <w:r>
        <w:rPr>
          <w:rFonts w:ascii="Calibri" w:hAnsi="Calibri"/>
          <w:b/>
          <w:i w:val="0"/>
          <w:color w:val="1A4D35"/>
          <w:sz w:val="22"/>
        </w:rPr>
        <w:t>Designer — From Analysis to Program</w:t>
      </w:r>
    </w:p>
    <w:p>
      <w:pPr>
        <w:spacing w:before="0" w:after="60"/>
      </w:pPr>
      <w:r>
        <w:rPr>
          <w:rFonts w:ascii="Calibri" w:hAnsi="Calibri"/>
          <w:b w:val="0"/>
          <w:i w:val="0"/>
          <w:color w:val="1A1A1A"/>
          <w:sz w:val="20"/>
        </w:rPr>
        <w:t>Designer takes Inspector’s output and guides program owners, instructional designers, and subject matter experts through the full process of designing a lab program — from goals and audience through a complete approved outline, draft instructions, and a Skillable Studio-ready export package.</w:t>
      </w:r>
    </w:p>
    <w:p>
      <w:pPr>
        <w:spacing w:before="0" w:after="60"/>
      </w:pPr>
      <w:r>
        <w:rPr>
          <w:rFonts w:ascii="Calibri" w:hAnsi="Calibri"/>
          <w:b/>
          <w:i w:val="0"/>
          <w:color w:val="1A1A1A"/>
          <w:sz w:val="20"/>
        </w:rPr>
        <w:t xml:space="preserve">What it unlocks: </w:t>
      </w:r>
      <w:r>
        <w:rPr>
          <w:rFonts w:ascii="Calibri" w:hAnsi="Calibri"/>
          <w:b w:val="0"/>
          <w:i w:val="0"/>
          <w:color w:val="1A1A1A"/>
          <w:sz w:val="20"/>
        </w:rPr>
        <w:t>Customers who don’t know how to design a lab program won’t build one. And if they don’t build one, they don’t adopt Skillable. Designer is the adoption engine — the tool that gives a new customer something concrete to do on day one, before the technical environment is ready, and produces a complete program architecture that a contracted lab developer can build against immediately.</w:t>
      </w:r>
    </w:p>
    <w:p>
      <w:pPr>
        <w:spacing w:before="0" w:after="60"/>
      </w:pPr>
      <w:r>
        <w:rPr>
          <w:rFonts w:ascii="Calibri" w:hAnsi="Calibri"/>
          <w:b/>
          <w:i w:val="0"/>
          <w:color w:val="1A1A1A"/>
          <w:sz w:val="20"/>
        </w:rPr>
        <w:t xml:space="preserve">AI Moment: </w:t>
      </w:r>
      <w:r>
        <w:rPr>
          <w:rFonts w:ascii="Calibri" w:hAnsi="Calibri"/>
          <w:b w:val="0"/>
          <w:i w:val="0"/>
          <w:color w:val="1A1A1A"/>
          <w:sz w:val="20"/>
        </w:rPr>
        <w:t>Designer generates a complete Bill of Materials — PowerShell scripts, Bicep templates, CloudFormation templates, lifecycle action scripts, credential pool configuration, scoring validation stubs — from everything it knows about the program. Hours of SE and lab developer work, generated in the same session where the program was designed.</w:t>
      </w:r>
    </w:p>
    <w:p>
      <w:pPr>
        <w:spacing w:before="0" w:after="0"/>
      </w:pPr>
      <w:r>
        <w:br w:type="page"/>
      </w:r>
    </w:p>
    <w:p>
      <w:pPr>
        <w:spacing w:before="120" w:after="40"/>
      </w:pPr>
      <w:r>
        <w:rPr>
          <w:rFonts w:ascii="Calibri" w:hAnsi="Calibri"/>
          <w:b/>
          <w:i w:val="0"/>
          <w:color w:val="1A4D35"/>
          <w:sz w:val="26"/>
        </w:rPr>
        <w:t>HOW — Integration with 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A4D3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0" w:after="60"/>
      </w:pPr>
      <w:r>
        <w:rPr>
          <w:rFonts w:ascii="Calibri" w:hAnsi="Calibri"/>
          <w:b w:val="0"/>
          <w:i w:val="0"/>
          <w:color w:val="1A1A1A"/>
          <w:sz w:val="20"/>
        </w:rPr>
        <w:t>The three Intelligence tools have distinct integration models. Understanding the difference matters for RevOps configuration and for setting expectations with each user audience.</w:t>
      </w:r>
    </w:p>
    <w:p>
      <w:pPr>
        <w:spacing w:before="100" w:after="30"/>
      </w:pPr>
      <w:r>
        <w:rPr>
          <w:rFonts w:ascii="Calibri" w:hAnsi="Calibri"/>
          <w:b/>
          <w:i w:val="0"/>
          <w:color w:val="1A4D3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ICP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2–3 sentences for a seller: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also surfaces up to two contacts per company — a decision maker and a day-to-day champion — extracted from public sources for ABM targeting.</w:t>
      </w:r>
    </w:p>
    <w:p>
      <w:pPr>
        <w:spacing w:before="100" w:after="30"/>
      </w:pPr>
      <w:r>
        <w:rPr>
          <w:rFonts w:ascii="Calibri" w:hAnsi="Calibri"/>
          <w:b/>
          <w:i w:val="0"/>
          <w:color w:val="1A4D35"/>
          <w:sz w:val="22"/>
        </w:rPr>
        <w:t>HubSpot → Inspector — One-Way Trigger, Seller and SE-Driven</w:t>
      </w:r>
    </w:p>
    <w:p>
      <w:pPr>
        <w:spacing w:before="0" w:after="60"/>
      </w:pPr>
      <w:r>
        <w:rPr>
          <w:rFonts w:ascii="Calibri" w:hAnsi="Calibri"/>
          <w:b w:val="0"/>
          <w:i w:val="0"/>
          <w:color w:val="1A1A1A"/>
          <w:sz w:val="20"/>
        </w:rPr>
        <w:t>Company and Deal records in HubSpot surface a ‘Run Inspector’ link. Clicking it opens Inspector in a new browser window at the Stage 1 Company Report. The full Inspector experience runs in Intelligence — HubSpot is only the trigger.</w:t>
      </w:r>
    </w:p>
    <w:p>
      <w:pPr>
        <w:spacing w:before="0" w:after="60"/>
      </w:pPr>
      <w:r>
        <w:rPr>
          <w:rFonts w:ascii="Calibri" w:hAnsi="Calibri"/>
          <w:b w:val="0"/>
          <w:i w:val="0"/>
          <w:color w:val="1A1A1A"/>
          <w:sz w:val="20"/>
        </w:rPr>
        <w:t>Stage 1 data → Company Record (persistent account intelligence):</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Account-level intelligence on what this company sells and how labable each product is</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Quick read on how each product would be delivered</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 Deal Record (opportunity-specific):</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What path, and why — the SE’s talking point</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Gate scores summary</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Compressed evidence for the 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A4D35"/>
          <w:sz w:val="22"/>
        </w:rPr>
        <w:t>Designer → HubSpot — Read-Only Visibility</w:t>
      </w:r>
    </w:p>
    <w:p>
      <w:pPr>
        <w:spacing w:before="0" w:after="60"/>
      </w:pPr>
      <w:r>
        <w:rPr>
          <w:rFonts w:ascii="Calibri" w:hAnsi="Calibri"/>
          <w:b w:val="0"/>
          <w:i w:val="0"/>
          <w:color w:val="1A1A1A"/>
          <w:sz w:val="20"/>
        </w:rPr>
        <w:t>Program owners, IDs, and SMEs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what’s in progress, and what has been delivered. Critical context for renewal and expansion conversations before a QBR.</w:t>
      </w:r>
    </w:p>
    <w:p>
      <w:pPr>
        <w:spacing w:before="120" w:after="40"/>
      </w:pPr>
      <w:r>
        <w:rPr>
          <w:rFonts w:ascii="Calibri" w:hAnsi="Calibri"/>
          <w:b/>
          <w:i w:val="0"/>
          <w:color w:val="1A4D35"/>
          <w:sz w:val="26"/>
        </w:rPr>
        <w:t>Recommendations and Open Decisions</w:t>
      </w:r>
    </w:p>
    <w:p>
      <w:pPr>
        <w:spacing w:before="100" w:after="30"/>
      </w:pPr>
      <w:r>
        <w:rPr>
          <w:rFonts w:ascii="Calibri" w:hAnsi="Calibri"/>
          <w:b/>
          <w:i w:val="0"/>
          <w:color w:val="1A4D3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Gate 1 come off the list before sequences are built. Companies that clear all three gates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on the Company record gives every seller account intelligence they currently don’t have.</w:t>
      </w:r>
    </w:p>
    <w:p>
      <w:pPr>
        <w:pStyle w:val="ListBullet"/>
        <w:spacing w:before="0" w:after="4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Designer makes day one productive for the program owner.</w:t>
      </w:r>
    </w:p>
    <w:p>
      <w:pPr>
        <w:spacing w:before="100" w:after="30"/>
      </w:pPr>
      <w:r>
        <w:rPr>
          <w:rFonts w:ascii="Calibri" w:hAnsi="Calibri"/>
          <w:b/>
          <w:i w:val="0"/>
          <w:color w:val="1A4D3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Decision</w:t>
            </w:r>
          </w:p>
        </w:tc>
        <w:tc>
          <w:tcPr>
            <w:tcW w:type="dxa" w:w="4896"/>
            <w:shd w:val="clear" w:color="auto" w:fill="1A4D35"/>
            <w:tcMar>
              <w:top w:w="50" w:type="dxa"/>
              <w:left w:w="50" w:type="dxa"/>
              <w:bottom w:w="50" w:type="dxa"/>
              <w:right w:w="50" w:type="dxa"/>
            </w:tcMar>
            <w:tcW w:w="4896"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Where does each recommended data element fit in the existing deal UX?</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If Inspector covers three products, do they generate three Deals or append to one?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Which columns are in Marketing’s standard export? 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At what Intelligence Fit Score does a Company record automatically get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Bdr>
        <w:bottom w:val="single" w:sz="8" w:space="1" w:color="1A4D35"/>
      </w:pBdr>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