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val="0"/>
          <w:color w:val="606060"/>
          <w:sz w:val="20"/>
        </w:rPr>
        <w:t>Executive Leadership Team Brief</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pStyle w:val="ListBullet"/>
        <w:spacing w:before="0" w:after="40"/>
      </w:pPr>
      <w:r>
        <w:rPr>
          <w:rFonts w:ascii="Calibri" w:hAnsi="Calibri"/>
          <w:b w:val="0"/>
          <w:i w:val="0"/>
          <w:color w:val="1A1A1A"/>
          <w:sz w:val="20"/>
        </w:rPr>
        <w:t>Identifying companies in our ICP</w:t>
      </w:r>
    </w:p>
    <w:p>
      <w:pPr>
        <w:pStyle w:val="ListBullet"/>
        <w:spacing w:before="0" w:after="40"/>
      </w:pPr>
      <w:r>
        <w:rPr>
          <w:rFonts w:ascii="Calibri" w:hAnsi="Calibri"/>
          <w:b w:val="0"/>
          <w:i w:val="0"/>
          <w:color w:val="1A1A1A"/>
          <w:sz w:val="20"/>
        </w:rPr>
        <w:t>Proving labability and lab impact</w:t>
      </w:r>
    </w:p>
    <w:p>
      <w:pPr>
        <w:pStyle w:val="ListBullet"/>
        <w:spacing w:before="0" w:after="60"/>
      </w:pP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PaaS Difference</w:t>
      </w:r>
    </w:p>
    <w:p>
      <w:pPr>
        <w:spacing w:before="0" w:after="60"/>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0" w:after="0"/>
      </w:pPr>
      <w:r>
        <w:br w:type="page"/>
      </w:r>
    </w:p>
    <w:p>
      <w:pPr>
        <w:spacing w:before="120" w:after="40"/>
      </w:pPr>
      <w:r>
        <w:rPr>
          <w:rFonts w:ascii="Calibri" w:hAnsi="Calibri"/>
          <w:b/>
          <w:i w:val="0"/>
          <w:color w:val="136945"/>
          <w:sz w:val="26"/>
        </w:rPr>
        <w:t>Three challenges. Three tools. One platform.</w:t>
      </w:r>
    </w:p>
    <w:p>
      <w:pPr>
        <w:spacing w:before="0" w:after="60"/>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 closing the adoption gap</w:t>
      </w:r>
    </w:p>
    <w:p>
      <w:pPr>
        <w:spacing w:before="0" w:after="60"/>
      </w:pPr>
      <w:r>
        <w:rPr>
          <w:rFonts w:ascii="Calibri" w:hAnsi="Calibri"/>
          <w:b w:val="0"/>
          <w:i w:val="0"/>
          <w:color w:val="1A1A1A"/>
          <w:sz w:val="20"/>
        </w:rPr>
        <w:t>A signed contract is not an adopted customer. The gap between “we want to build labs” and “we have a running program” is wide, and most customers cannot cross it without structured guidance.</w:t>
      </w:r>
    </w:p>
    <w:p>
      <w:pPr>
        <w:spacing w:before="0" w:after="60"/>
      </w:pPr>
      <w:r>
        <w:rPr>
          <w:rFonts w:ascii="Calibri" w:hAnsi="Calibri"/>
          <w:b w:val="0"/>
          <w:i w:val="0"/>
          <w:color w:val="1A1A1A"/>
          <w:sz w:val="20"/>
        </w:rPr>
        <w:t>Program design is a specialized skill. Most buyers — even technically sophisticated ones with strong content teams — have never designed a hands-on lab curriculum.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 it is a churn risk. A customer who has not built a program has not realized value. A customer who has not realized value does not renew.</w:t>
      </w:r>
    </w:p>
    <w:p>
      <w:pPr>
        <w:spacing w:before="0" w:after="60"/>
      </w:pPr>
      <w:r>
        <w:rPr>
          <w:rFonts w:ascii="Calibri" w:hAnsi="Calibri"/>
          <w:b w:val="0"/>
          <w:i w:val="0"/>
          <w:color w:val="1A1A1A"/>
          <w:sz w:val="20"/>
        </w:rPr>
        <w:t>Designer guides program owners, instructional designers, and subject matter experts through the full process — from goals and audience definition through a complete approved outline, activity-level content, and a Skillable Studio-ready export package. It doesn’t require the customer to know how to design a lab program. Designer asks the right questions, sequences the decisions correctly, and generates a complete program architecture that a contracted lab developer can build against immediately.</w:t>
      </w:r>
    </w:p>
    <w:p>
      <w:pPr>
        <w:spacing w:before="0" w:after="60"/>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before the technical environment is ready. Program design and environment build run as parallel workstreams. Day one is productive for the program owner. The adoption gap closes before it has a chance to form.</w:t>
      </w:r>
    </w:p>
    <w:p>
      <w:pPr>
        <w:spacing w:before="100" w:after="30"/>
      </w:pPr>
      <w:r>
        <w:rPr>
          <w:rFonts w:ascii="Calibri" w:hAnsi="Calibri"/>
          <w:b/>
          <w:i w:val="0"/>
          <w:color w:val="136945"/>
          <w:sz w:val="22"/>
        </w:rPr>
        <w:t>Inspector — proving labability and impact</w:t>
      </w:r>
    </w:p>
    <w:p>
      <w:pPr>
        <w:spacing w:before="0" w:after="60"/>
      </w:pPr>
      <w:r>
        <w:rPr>
          <w:rFonts w:ascii="Calibri" w:hAnsi="Calibri"/>
          <w:b w:val="0"/>
          <w:i w:val="0"/>
          <w:color w:val="1A1A1A"/>
          <w:sz w:val="20"/>
        </w:rPr>
        <w:t>Proving that a Skillable lab program will work for a specific customer’s products requires deep technical analysis. Which delivery path is right — standard virtual machine, cloud environment slice, containerized workload, custom integration?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exactly the kind of work a skilled Solutions Engineer does well. It requires knowing Skillable’s platform deeply — delivery paths, technical constraints, feature availability, scoring feasibility — and applying that knowledge to a specific product’s architecture. That synthesis takes hours per company, in a live conversation, with access to documentation and a customer contact who can fill in the gaps.</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 before marketing dollars are spent, before SE time is committed — often go unasked until it is too late.</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a company’s products, ranked by labability, with competitive pairings, company-level signals, and an overall fit score. The foundation document for any seller or SE entering a conversation with this account.</w:t>
      </w:r>
    </w:p>
    <w:p>
      <w:pPr>
        <w:pStyle w:val="ListBullet"/>
        <w:spacing w:before="0" w:after="6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technical orchestrability evidence, delivery path recommendation with rationale, scoring approach, consumption potential estimate, and program scope.</w:t>
      </w:r>
    </w:p>
    <w:p>
      <w:pPr>
        <w:spacing w:before="0" w:after="60"/>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Stage 2 report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 applied automatically, to every product, before the first meeting.</w:t>
      </w:r>
    </w:p>
    <w:p>
      <w:pPr>
        <w:spacing w:before="100" w:after="30"/>
      </w:pPr>
      <w:r>
        <w:rPr>
          <w:rFonts w:ascii="Calibri" w:hAnsi="Calibri"/>
          <w:b/>
          <w:i w:val="0"/>
          <w:color w:val="136945"/>
          <w:sz w:val="22"/>
        </w:rPr>
        <w:t>Prospector — finding the right companies</w:t>
      </w:r>
    </w:p>
    <w:p>
      <w:pPr>
        <w:spacing w:before="0" w:after="60"/>
      </w:pPr>
      <w:r>
        <w:rPr>
          <w:rFonts w:ascii="Calibri" w:hAnsi="Calibri"/>
          <w:b w:val="0"/>
          <w:i w:val="0"/>
          <w:color w:val="1A1A1A"/>
          <w:sz w:val="20"/>
        </w:rPr>
        <w:t>Platform companies cannot qualify prospects the way product companies do. The tools Marketing uses — ZoomInfo, 6sense, HubSpot, LinkedIn Sales Navigator —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pStyle w:val="ListBullet"/>
        <w:spacing w:before="0" w:after="40"/>
      </w:pP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pStyle w:val="ListBullet"/>
        <w:spacing w:before="0" w:after="40"/>
      </w:pP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pStyle w:val="ListBullet"/>
        <w:spacing w:before="0" w:after="60"/>
      </w:pP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60"/>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customer shares the same cloud environment. There is no Workday instance to give a learner.</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60"/>
      </w:pPr>
      <w:r>
        <w:rPr>
          <w:rFonts w:ascii="Calibri" w:hAnsi="Calibri"/>
          <w:b/>
          <w:i w:val="0"/>
          <w:color w:val="1A1A1A"/>
          <w:sz w:val="20"/>
        </w:rPr>
        <w:t xml:space="preserve">No deployment model —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60"/>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60"/>
      </w:pPr>
      <w:r>
        <w:rPr>
          <w:rFonts w:ascii="Calibri" w:hAnsi="Calibri"/>
          <w:b w:val="0"/>
          <w:i w:val="0"/>
          <w:color w:val="1A1A1A"/>
          <w:sz w:val="20"/>
        </w:rPr>
        <w:t>All of this intelligence — fit scores, product signals, delivery path recommendations, key contacts — needs to reach the right people at the right moment. That is what the HubSpot integration is built to do.</w:t>
      </w:r>
    </w:p>
    <w:p>
      <w:pPr>
        <w:spacing w:before="0" w:after="0"/>
      </w:pPr>
      <w:r>
        <w:br w:type="page"/>
      </w:r>
    </w:p>
    <w:p>
      <w:pPr>
        <w:spacing w:before="120" w:after="40"/>
      </w:pPr>
      <w:r>
        <w:rPr>
          <w:rFonts w:ascii="Calibri" w:hAnsi="Calibri"/>
          <w:b/>
          <w:i w:val="0"/>
          <w:color w:val="136945"/>
          <w:sz w:val="26"/>
        </w:rPr>
        <w:t>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100" w:after="30"/>
      </w:pPr>
      <w:r>
        <w:rPr>
          <w:rFonts w:ascii="Calibri" w:hAnsi="Calibri"/>
          <w:b/>
          <w:i w:val="0"/>
          <w:color w:val="13694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 seller and SE-driven</w:t>
      </w:r>
    </w:p>
    <w:p>
      <w:pPr>
        <w:spacing w:before="0" w:after="60"/>
      </w:pPr>
      <w:r>
        <w:rPr>
          <w:rFonts w:ascii="Calibri" w:hAnsi="Calibri"/>
          <w:b w:val="0"/>
          <w:i w:val="0"/>
          <w:color w:val="1A1A1A"/>
          <w:sz w:val="20"/>
        </w:rPr>
        <w:t>Company and Deal records in HubSpot surface a ‘Run Inspector’ link. Clicking it opens Inspector at the Stage 1 Company Report. The full Inspector experience runs in Intelligence — HubSpot is only the trigger.</w:t>
      </w:r>
    </w:p>
    <w:p>
      <w:pPr>
        <w:spacing w:before="0" w:after="60"/>
      </w:pPr>
      <w:r>
        <w:rPr>
          <w:rFonts w:ascii="Calibri" w:hAnsi="Calibri"/>
          <w:b w:val="0"/>
          <w:i w:val="0"/>
          <w:color w:val="1A1A1A"/>
          <w:sz w:val="20"/>
        </w:rPr>
        <w:t>Stage 1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and open decisions</w:t>
      </w:r>
    </w:p>
    <w:p>
      <w:pPr>
        <w:spacing w:before="100" w:after="30"/>
      </w:pPr>
      <w:r>
        <w:rPr>
          <w:rFonts w:ascii="Calibri" w:hAnsi="Calibri"/>
          <w:b/>
          <w:i w:val="0"/>
          <w:color w:val="13694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gives every seller account intelligence they currently do not have before the first conversation.</w:t>
      </w:r>
    </w:p>
    <w:p>
      <w:pPr>
        <w:pStyle w:val="ListBullet"/>
        <w:spacing w:before="0" w:after="6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Program design and environment build run as parallel workstreams.</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