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40"/>
        </w:rPr>
        <w:t>Skillable Intelligence Platform</w:t>
      </w:r>
    </w:p>
    <w:p>
      <w:pPr>
        <w:spacing w:before="0" w:after="100"/>
      </w:pPr>
      <w:r>
        <w:rPr>
          <w:rFonts w:ascii="Calibri" w:hAnsi="Calibri"/>
          <w:b w:val="0"/>
          <w:i w:val="0"/>
          <w:color w:val="606060"/>
          <w:sz w:val="20"/>
        </w:rPr>
        <w:t>Executive Leadership Team Brief</w:t>
      </w:r>
    </w:p>
    <w:p>
      <w:pPr>
        <w:spacing w:before="180" w:after="50"/>
        <w:keepNext w:val="1"/>
        <w:pBdr>
          <w:bottom w:val="single" w:sz="4" w:space="1" w:color="136945"/>
        </w:pBdr>
      </w:pPr>
      <w:r>
        <w:rPr>
          <w:rFonts w:ascii="Calibri" w:hAnsi="Calibri"/>
          <w:b/>
          <w:i w:val="0"/>
          <w:color w:val="136945"/>
          <w:sz w:val="26"/>
        </w:rPr>
        <w:t>Three problems worth solving</w:t>
      </w:r>
    </w:p>
    <w:p>
      <w:pPr>
        <w:spacing w:before="0" w:after="72" w:line="264" w:lineRule="auto"/>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Identifying companies in our ICP</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Proving labability and lab impact</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Enabling bought-in customers to adopt labs</w:t>
      </w:r>
    </w:p>
    <w:p>
      <w:pPr>
        <w:spacing w:before="140" w:after="0"/>
        <w:keepNext w:val="1"/>
      </w:pPr>
      <w:r>
        <w:rPr>
          <w:rFonts w:ascii="Calibri" w:hAnsi="Calibri"/>
          <w:b/>
          <w:i w:val="0"/>
          <w:color w:val="136945"/>
          <w:sz w:val="22"/>
        </w:rPr>
        <w:t>The PaaS Difference</w:t>
      </w:r>
    </w:p>
    <w:p>
      <w:pPr>
        <w:spacing w:before="0" w:after="72" w:line="264" w:lineRule="auto"/>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72" w:line="264" w:lineRule="auto"/>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72" w:line="264" w:lineRule="auto"/>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72" w:line="264" w:lineRule="auto"/>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80" w:after="50"/>
        <w:keepNext w:val="1"/>
        <w:pBdr>
          <w:bottom w:val="single" w:sz="4" w:space="1" w:color="136945"/>
        </w:pBdr>
      </w:pPr>
      <w:r>
        <w:rPr>
          <w:rFonts w:ascii="Calibri" w:hAnsi="Calibri"/>
          <w:b/>
          <w:i w:val="0"/>
          <w:color w:val="136945"/>
          <w:sz w:val="26"/>
        </w:rPr>
        <w:t>Three challenges. Three tools. One platform.</w:t>
      </w:r>
    </w:p>
    <w:p>
      <w:pPr>
        <w:spacing w:before="0" w:after="72" w:line="264" w:lineRule="auto"/>
      </w:pPr>
      <w:r>
        <w:rPr>
          <w:rFonts w:ascii="Calibri" w:hAnsi="Calibri"/>
          <w:b w:val="0"/>
          <w:color w:val="1A1A1A"/>
          <w:sz w:val="20"/>
        </w:rPr>
        <w:t xml:space="preserve">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w:t>
      </w:r>
      <w:r>
        <w:rPr>
          <w:rFonts w:ascii="Calibri" w:hAnsi="Calibri"/>
          <w:b/>
          <w:color w:val="7000FF"/>
          <w:sz w:val="20"/>
        </w:rPr>
        <w:t>The intelligence compounds with every use.</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140" w:after="0"/>
        <w:keepNext w:val="1"/>
      </w:pPr>
      <w:r>
        <w:rPr>
          <w:rFonts w:ascii="Calibri" w:hAnsi="Calibri"/>
          <w:b/>
          <w:i w:val="0"/>
          <w:color w:val="136945"/>
          <w:sz w:val="22"/>
        </w:rPr>
        <w:t>Designer: Closing the adoption gap</w:t>
      </w:r>
    </w:p>
    <w:p>
      <w:pPr>
        <w:spacing w:before="0" w:after="72" w:line="264" w:lineRule="auto"/>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72" w:line="264" w:lineRule="auto"/>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72" w:line="264" w:lineRule="auto"/>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90" w:after="90"/>
        <w:keepNext w:val="1"/>
      </w:pPr>
      <w:r>
        <w:rPr>
          <w:rFonts w:ascii="Calibri" w:hAnsi="Calibri"/>
          <w:b/>
          <w:i w:val="0"/>
          <w:color w:val="136945"/>
          <w:sz w:val="22"/>
        </w:rPr>
        <w:t>Designer closes that gap.</w:t>
      </w:r>
    </w:p>
    <w:p>
      <w:pPr>
        <w:spacing w:before="0" w:after="72" w:line="264" w:lineRule="auto"/>
      </w:pPr>
      <w:r>
        <w:rPr>
          <w:rFonts w:ascii="Calibri" w:hAnsi="Calibri"/>
          <w:b w:val="0"/>
          <w:color w:val="1A1A1A"/>
          <w:sz w:val="20"/>
        </w:rPr>
        <w:t xml:space="preserve">Designer guides program owners, instructional designers, and subject matter experts through the full process — from learning objectives and intended audience through every decision a program requires. It doesn’t require the customer to know how to design a lab program. </w:t>
      </w:r>
      <w:r>
        <w:rPr>
          <w:rFonts w:ascii="Calibri" w:hAnsi="Calibri"/>
          <w:b/>
          <w:color w:val="7000FF"/>
          <w:sz w:val="20"/>
        </w:rPr>
        <w:t>Designer asks the right questions and sequences the decisions correctly.</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40" w:line="264" w:lineRule="auto"/>
      </w:pPr>
      <w:r>
        <w:rPr>
          <w:rFonts w:ascii="Calibri" w:hAnsi="Calibri"/>
          <w:b w:val="0"/>
          <w:i w:val="0"/>
          <w:color w:val="1A1A1A"/>
          <w:sz w:val="20"/>
        </w:rPr>
        <w:t>Every program produces:</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A structured program outline</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Draft lab instructions for every lab in the program</w:t>
      </w:r>
    </w:p>
    <w:p>
      <w:pPr>
        <w:spacing w:before="0" w:after="40"/>
        <w:ind w:left="480" w:hanging="240"/>
        <w:tabs>
          <w:tab w:val="left" w:pos="480"/>
        </w:tabs>
      </w:pPr>
      <w:r>
        <w:rPr>
          <w:rFonts w:ascii="Calibri" w:hAnsi="Calibri"/>
          <w:color w:val="1A1A1A"/>
          <w:sz w:val="14"/>
        </w:rPr>
        <w:t>•</w:t>
        <w:tab/>
      </w:r>
      <w:r>
        <w:rPr>
          <w:rFonts w:ascii="Calibri" w:hAnsi="Calibri"/>
          <w:b w:val="0"/>
          <w:i w:val="0"/>
          <w:color w:val="1A1A1A"/>
          <w:sz w:val="20"/>
        </w:rPr>
        <w:t>Learner activities for progress tracking</w:t>
      </w:r>
    </w:p>
    <w:p>
      <w:pPr>
        <w:spacing w:before="0" w:after="60"/>
        <w:ind w:left="480" w:hanging="240"/>
        <w:tabs>
          <w:tab w:val="left" w:pos="480"/>
        </w:tabs>
      </w:pPr>
      <w:r>
        <w:rPr>
          <w:rFonts w:ascii="Calibri" w:hAnsi="Calibri"/>
          <w:color w:val="1A1A1A"/>
          <w:sz w:val="14"/>
        </w:rPr>
        <w:t>•</w:t>
        <w:tab/>
      </w:r>
      <w:r>
        <w:rPr>
          <w:rFonts w:ascii="Calibri" w:hAnsi="Calibri"/>
          <w:b w:val="0"/>
          <w:i w:val="0"/>
          <w:color w:val="1A1A1A"/>
          <w:sz w:val="20"/>
        </w:rPr>
        <w:t>Scoring methodology recommendations</w:t>
      </w:r>
    </w:p>
    <w:p>
      <w:pPr>
        <w:spacing w:before="0" w:after="72" w:line="264" w:lineRule="auto"/>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color w:val="1A1A1A"/>
          <w:sz w:val="20"/>
        </w:rPr>
        <w:t xml:space="preserve">What it unlocks: </w:t>
      </w:r>
      <w:r>
        <w:rPr>
          <w:rFonts w:ascii="Calibri" w:hAnsi="Calibri"/>
          <w:b w:val="0"/>
          <w:color w:val="1A1A1A"/>
          <w:sz w:val="20"/>
        </w:rPr>
        <w:t xml:space="preserve">Every new customer engagement starts with Designer in the first week — while the technical folks are working to get the technical details sorted. Program design and environment build run in parallel. Day one is productive for the program owner. </w:t>
      </w:r>
      <w:r>
        <w:rPr>
          <w:rFonts w:ascii="Calibri" w:hAnsi="Calibri"/>
          <w:b/>
          <w:color w:val="7000FF"/>
          <w:sz w:val="20"/>
        </w:rPr>
        <w:t>The adoption gap closes before it has a chance to form.</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140" w:after="0"/>
        <w:keepNext w:val="1"/>
      </w:pPr>
      <w:r>
        <w:rPr>
          <w:rFonts w:ascii="Calibri" w:hAnsi="Calibri"/>
          <w:b/>
          <w:i w:val="0"/>
          <w:color w:val="136945"/>
          <w:sz w:val="22"/>
        </w:rPr>
        <w:t>Inspector: Proving labability and impact</w:t>
      </w:r>
    </w:p>
    <w:p>
      <w:pPr>
        <w:spacing w:before="0" w:after="72" w:line="264" w:lineRule="auto"/>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72" w:line="264" w:lineRule="auto"/>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72" w:line="264" w:lineRule="auto"/>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90" w:after="90"/>
        <w:keepNext w:val="1"/>
      </w:pPr>
      <w:r>
        <w:rPr>
          <w:rFonts w:ascii="Calibri" w:hAnsi="Calibri"/>
          <w:b/>
          <w:i w:val="0"/>
          <w:color w:val="136945"/>
          <w:sz w:val="22"/>
        </w:rPr>
        <w:t>Inspector proves labability and impact.</w:t>
      </w:r>
    </w:p>
    <w:p>
      <w:pPr>
        <w:spacing w:before="0" w:after="72" w:line="264" w:lineRule="auto"/>
      </w:pPr>
      <w:r>
        <w:rPr>
          <w:rFonts w:ascii="Calibri" w:hAnsi="Calibri"/>
          <w:b w:val="0"/>
          <w:i w:val="0"/>
          <w:color w:val="1A1A1A"/>
          <w:sz w:val="20"/>
        </w:rPr>
        <w:t>Inspector performs a deep product-level analysis of a specific company.</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72" w:line="264" w:lineRule="auto"/>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color w:val="1A1A1A"/>
          <w:sz w:val="20"/>
        </w:rPr>
        <w:t xml:space="preserve">Inspector also surfaces the competitive map for every analyzed company — </w:t>
      </w:r>
      <w:r>
        <w:rPr>
          <w:rFonts w:ascii="Calibri" w:hAnsi="Calibri"/>
          <w:b/>
          <w:color w:val="7000FF"/>
          <w:sz w:val="20"/>
        </w:rPr>
        <w:t>which feeds directly into Prospector’s lookalike targeting.</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color w:val="1A1A1A"/>
          <w:sz w:val="20"/>
        </w:rPr>
        <w:t xml:space="preserve">What it unlocks: </w:t>
      </w:r>
      <w:r>
        <w:rPr>
          <w:rFonts w:ascii="Calibri" w:hAnsi="Calibri"/>
          <w:b/>
          <w:color w:val="7000FF"/>
          <w:sz w:val="20"/>
        </w:rPr>
        <w:t>Pre-call preparation that was previously impossible at scale is now standard.</w:t>
      </w:r>
      <w:r>
        <w:rPr>
          <w:rFonts w:ascii="Calibri" w:hAnsi="Calibri"/>
          <w:b w:val="0"/>
          <w:color w:val="1A1A1A"/>
          <w:sz w:val="20"/>
        </w:rPr>
        <w:t xml:space="preserve"> Every seller and SE enters every conversation with the technical depth that used to require hours of individual research, applied automatically to every product before the first meeting.</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140" w:after="0"/>
        <w:keepNext w:val="1"/>
      </w:pPr>
      <w:r>
        <w:rPr>
          <w:rFonts w:ascii="Calibri" w:hAnsi="Calibri"/>
          <w:b/>
          <w:i w:val="0"/>
          <w:color w:val="136945"/>
          <w:sz w:val="22"/>
        </w:rPr>
        <w:t>Prospector: Finding the right companies</w:t>
      </w:r>
    </w:p>
    <w:p>
      <w:pPr>
        <w:spacing w:before="0" w:after="72" w:line="264" w:lineRule="auto"/>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72" w:line="264" w:lineRule="auto"/>
      </w:pPr>
      <w:r>
        <w:rPr>
          <w:rFonts w:ascii="Calibri" w:hAnsi="Calibri"/>
          <w:b w:val="0"/>
          <w:i w:val="0"/>
          <w:color w:val="1A1A1A"/>
          <w:sz w:val="20"/>
        </w:rPr>
        <w:t>We evaluate every prospect across three dimensions:</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72" w:line="264" w:lineRule="auto"/>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72" w:line="264" w:lineRule="auto"/>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72" w:line="264" w:lineRule="auto"/>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0" w:after="72" w:line="264" w:lineRule="auto"/>
      </w:pPr>
      <w:r>
        <w:rPr>
          <w:rFonts w:ascii="Calibri" w:hAnsi="Calibri"/>
          <w:b/>
          <w:color w:val="7000FF"/>
          <w:sz w:val="20"/>
        </w:rPr>
        <w:t>Prospector finds the right companies.</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72" w:line="264" w:lineRule="auto"/>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72" w:line="264" w:lineRule="auto"/>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72" w:line="264" w:lineRule="auto"/>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180" w:after="50"/>
        <w:keepNext w:val="1"/>
        <w:pBdr>
          <w:bottom w:val="single" w:sz="4" w:space="1" w:color="136945"/>
        </w:pBdr>
      </w:pPr>
      <w:r>
        <w:rPr>
          <w:rFonts w:ascii="Calibri" w:hAnsi="Calibri"/>
          <w:b/>
          <w:i w:val="0"/>
          <w:color w:val="136945"/>
          <w:sz w:val="26"/>
        </w:rPr>
        <w:t>Surfacing the data. Right place. Right time. Right context.</w:t>
      </w:r>
    </w:p>
    <w:p>
      <w:pPr>
        <w:spacing w:before="0" w:after="72" w:line="264" w:lineRule="auto"/>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40" w:after="0"/>
        <w:keepNext w:val="1"/>
      </w:pPr>
      <w:r>
        <w:rPr>
          <w:rFonts w:ascii="Calibri" w:hAnsi="Calibri"/>
          <w:b/>
          <w:i w:val="0"/>
          <w:color w:val="136945"/>
          <w:sz w:val="22"/>
        </w:rPr>
        <w:t>The Integration Principle</w:t>
      </w:r>
    </w:p>
    <w:p>
      <w:pPr>
        <w:spacing w:before="0" w:after="72" w:line="264" w:lineRule="auto"/>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40" w:after="0"/>
        <w:keepNext w:val="1"/>
      </w:pPr>
      <w:r>
        <w:rPr>
          <w:rFonts w:ascii="Calibri" w:hAnsi="Calibri"/>
          <w:b/>
          <w:i w:val="0"/>
          <w:color w:val="136945"/>
          <w:sz w:val="22"/>
        </w:rPr>
        <w:t>Prospector ↔ HubSpot: Bidirectional, marketing-driven</w:t>
      </w:r>
    </w:p>
    <w:p>
      <w:pPr>
        <w:spacing w:before="0" w:after="72" w:line="264" w:lineRule="auto"/>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72" w:line="264" w:lineRule="auto"/>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72" w:line="264" w:lineRule="auto"/>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40" w:after="0"/>
        <w:keepNext w:val="1"/>
      </w:pPr>
      <w:r>
        <w:rPr>
          <w:rFonts w:ascii="Calibri" w:hAnsi="Calibri"/>
          <w:b/>
          <w:i w:val="0"/>
          <w:color w:val="136945"/>
          <w:sz w:val="22"/>
        </w:rPr>
        <w:t>Inspector → HubSpot: Seller and SE-driven</w:t>
      </w:r>
    </w:p>
    <w:p>
      <w:pPr>
        <w:spacing w:before="0" w:after="72" w:line="264" w:lineRule="auto"/>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72" w:line="264" w:lineRule="auto"/>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72" w:line="264" w:lineRule="auto"/>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40" w:after="0"/>
        <w:keepNext w:val="1"/>
      </w:pPr>
      <w:r>
        <w:rPr>
          <w:rFonts w:ascii="Calibri" w:hAnsi="Calibri"/>
          <w:b/>
          <w:i w:val="0"/>
          <w:color w:val="136945"/>
          <w:sz w:val="22"/>
        </w:rPr>
        <w:t>Designer → HubSpot: Read-only visibility</w:t>
      </w:r>
    </w:p>
    <w:p>
      <w:pPr>
        <w:spacing w:before="0" w:after="72" w:line="264" w:lineRule="auto"/>
      </w:pPr>
      <w:r>
        <w:rPr>
          <w:rFonts w:ascii="Calibri" w:hAnsi="Calibri"/>
          <w:b w:val="0"/>
          <w:i w:val="0"/>
          <w:color w:val="1A1A1A"/>
          <w:sz w:val="20"/>
        </w:rPr>
        <w:t>Program owners and IDs go directly to Designer. HubSpot plays no role in triggering Designer’s workflow.</w:t>
      </w:r>
    </w:p>
    <w:p>
      <w:pPr>
        <w:spacing w:before="0" w:after="72" w:line="264" w:lineRule="auto"/>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80" w:after="50"/>
        <w:keepNext w:val="1"/>
        <w:pBdr>
          <w:bottom w:val="single" w:sz="4" w:space="1" w:color="136945"/>
        </w:pBdr>
      </w:pPr>
      <w:r>
        <w:rPr>
          <w:rFonts w:ascii="Calibri" w:hAnsi="Calibri"/>
          <w:b/>
          <w:i w:val="0"/>
          <w:color w:val="136945"/>
          <w:sz w:val="26"/>
        </w:rPr>
        <w:t>Recommendations &amp; open decisions</w:t>
      </w:r>
    </w:p>
    <w:p>
      <w:pPr>
        <w:spacing w:before="140" w:after="0"/>
        <w:keepNext w:val="1"/>
      </w:pPr>
      <w:r>
        <w:rPr>
          <w:rFonts w:ascii="Calibri" w:hAnsi="Calibri"/>
          <w:b/>
          <w:i w:val="0"/>
          <w:color w:val="136945"/>
          <w:sz w:val="22"/>
        </w:rPr>
        <w:t>What we are recommending</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80" w:hanging="240"/>
        <w:tabs>
          <w:tab w:val="left" w:pos="480"/>
        </w:tabs>
      </w:pPr>
      <w:r>
        <w:rPr>
          <w:rFonts w:ascii="Calibri" w:hAnsi="Calibri"/>
          <w:color w:val="1A1A1A"/>
          <w:sz w:val="14"/>
        </w:rPr>
        <w:t>•</w:t>
        <w:tab/>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80" w:hanging="240"/>
        <w:tabs>
          <w:tab w:val="left" w:pos="480"/>
        </w:tabs>
      </w:pPr>
      <w:r>
        <w:rPr>
          <w:rFonts w:ascii="Calibri" w:hAnsi="Calibri"/>
          <w:color w:val="1A1A1A"/>
          <w:sz w:val="14"/>
        </w:rPr>
        <w:t>•</w:t>
        <w:tab/>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40" w:after="0"/>
        <w:keepNext w:val="1"/>
      </w:pPr>
      <w:r>
        <w:rPr>
          <w:rFonts w:ascii="Calibri" w:hAnsi="Calibri"/>
          <w:b/>
          <w:i w:val="0"/>
          <w:color w:val="136945"/>
          <w:sz w:val="22"/>
        </w:rPr>
        <w:t>Decisions required from RevOps and Marketing</w:t>
      </w:r>
    </w:p>
    <w:p>
      <w:pPr>
        <w:spacing w:before="0" w:after="72" w:line="264" w:lineRule="auto"/>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38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59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38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59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38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59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