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color w:val="606060"/>
          <w:sz w:val="22"/>
        </w:rPr>
        <w:t>Briefing for Skillable Executive Leadership</w:t>
      </w:r>
    </w:p>
    <w:p>
      <w:pPr>
        <w:spacing w:before="120" w:after="40"/>
      </w:pPr>
      <w:r>
        <w:rPr>
          <w:rFonts w:ascii="Calibri" w:hAnsi="Calibri"/>
          <w:b/>
          <w:i w:val="0"/>
          <w:color w:val="136945"/>
          <w:sz w:val="26"/>
        </w:rPr>
        <w:t>Three Problems Worth Solving</w:t>
      </w:r>
    </w:p>
    <w:p>
      <w:pPr>
        <w:spacing w:before="0" w:after="60"/>
      </w:pPr>
      <w:r>
        <w:rPr>
          <w:rFonts w:ascii="Calibri" w:hAnsi="Calibri"/>
          <w:b w:val="0"/>
          <w:i w:val="0"/>
          <w:color w:val="1A1A1A"/>
          <w:sz w:val="20"/>
        </w:rPr>
        <w:t>We recently agreed that Skillable is PaaS and not SaaS. Does this distinction simply change some positioning — or does it signal our opportunity to shatter a few glass ceilings? It’s the latter.</w:t>
      </w:r>
    </w:p>
    <w:p>
      <w:pPr>
        <w:pStyle w:val="ListBullet"/>
        <w:spacing w:before="0" w:after="40"/>
      </w:pPr>
      <w:r>
        <w:rPr>
          <w:rFonts w:ascii="Calibri" w:hAnsi="Calibri"/>
          <w:b w:val="0"/>
          <w:i w:val="0"/>
          <w:color w:val="1A1A1A"/>
          <w:sz w:val="20"/>
        </w:rPr>
        <w:t>Identifying companies in our ICP</w:t>
      </w:r>
    </w:p>
    <w:p>
      <w:pPr>
        <w:pStyle w:val="ListBullet"/>
        <w:spacing w:before="0" w:after="40"/>
      </w:pPr>
      <w:r>
        <w:rPr>
          <w:rFonts w:ascii="Calibri" w:hAnsi="Calibri"/>
          <w:b w:val="0"/>
          <w:i w:val="0"/>
          <w:color w:val="1A1A1A"/>
          <w:sz w:val="20"/>
        </w:rPr>
        <w:t>Proving labability and lab impact</w:t>
      </w:r>
    </w:p>
    <w:p>
      <w:pPr>
        <w:pStyle w:val="ListBullet"/>
        <w:spacing w:before="0" w:after="60"/>
      </w:pPr>
      <w:r>
        <w:rPr>
          <w:rFonts w:ascii="Calibri" w:hAnsi="Calibri"/>
          <w:b w:val="0"/>
          <w:i w:val="0"/>
          <w:color w:val="1A1A1A"/>
          <w:sz w:val="20"/>
        </w:rPr>
        <w:t>Enabling bought-in customers to adopt labs</w:t>
      </w:r>
    </w:p>
    <w:p>
      <w:pPr>
        <w:spacing w:before="100" w:after="30"/>
      </w:pPr>
      <w:r>
        <w:rPr>
          <w:rFonts w:ascii="Calibri" w:hAnsi="Calibri"/>
          <w:b/>
          <w:i w:val="0"/>
          <w:color w:val="136945"/>
          <w:sz w:val="22"/>
        </w:rPr>
        <w:t>The Platform Difference</w:t>
      </w:r>
    </w:p>
    <w:p>
      <w:pPr>
        <w:spacing w:before="0" w:after="60"/>
      </w:pPr>
      <w:r>
        <w:rPr>
          <w:rFonts w:ascii="Calibri" w:hAnsi="Calibri"/>
          <w:b w:val="0"/>
          <w:i w:val="0"/>
          <w:color w:val="1A1A1A"/>
          <w:sz w:val="20"/>
        </w:rPr>
        <w:t>Most B2B software companies sell a product that runs in their cloud. Their buyers interact with it through a browser. The product is the same for every customer. Qualifying a prospect means finding buyers who fit the profile: the right size, the right industry, the right pain point, the right budget.</w:t>
      </w:r>
    </w:p>
    <w:p>
      <w:pPr>
        <w:spacing w:before="0" w:after="60"/>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infrastructure that makes that possible.</w:t>
      </w:r>
    </w:p>
    <w:p>
      <w:pPr>
        <w:spacing w:before="0" w:after="60"/>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technically complex enough that hands-on practice creates real value. Whether the company can build and sustain a lab program once they are a customer.</w:t>
      </w:r>
    </w:p>
    <w:p>
      <w:pPr>
        <w:spacing w:before="0" w:after="60"/>
      </w:pPr>
      <w:r>
        <w:rPr>
          <w:rFonts w:ascii="Calibri" w:hAnsi="Calibri"/>
          <w:b w:val="0"/>
          <w:i w:val="0"/>
          <w:color w:val="1A1A1A"/>
          <w:sz w:val="20"/>
        </w:rPr>
        <w:t>These questions cannot be answered with firmographic data. They require a different kind of analysis entirely. That is what Intelligence provides.</w:t>
      </w:r>
    </w:p>
    <w:p>
      <w:pPr>
        <w:spacing w:before="100" w:after="30"/>
      </w:pPr>
      <w:r>
        <w:rPr>
          <w:rFonts w:ascii="Calibri" w:hAnsi="Calibri"/>
          <w:b/>
          <w:i w:val="0"/>
          <w:color w:val="136945"/>
          <w:sz w:val="22"/>
        </w:rPr>
        <w:t>Knowing Exactly Who’s in Our ICP — Before We Spend a Dollar</w:t>
      </w:r>
    </w:p>
    <w:p>
      <w:pPr>
        <w:spacing w:before="0" w:after="60"/>
      </w:pPr>
      <w:r>
        <w:rPr>
          <w:rFonts w:ascii="Calibri" w:hAnsi="Calibri"/>
          <w:b w:val="0"/>
          <w:i w:val="0"/>
          <w:color w:val="1A1A1A"/>
          <w:sz w:val="20"/>
        </w:rPr>
        <w:t>Platform companies cannot qualify prospects the way product companies do. The tools Marketing uses — ZoomInfo, 6sense, HubSpot, LinkedIn Sales Navigator — are built to identify buyers who match a profile. For Skillable, that is the wrong question. The right question is whether a company’s products can be delivered as hands-on lab experiences. That is a technical assessment, not a firmographic one.</w:t>
      </w:r>
    </w:p>
    <w:p>
      <w:pPr>
        <w:spacing w:before="0" w:after="60"/>
      </w:pPr>
      <w:r>
        <w:rPr>
          <w:rFonts w:ascii="Calibri" w:hAnsi="Calibri"/>
          <w:b w:val="0"/>
          <w:i w:val="0"/>
          <w:color w:val="1A1A1A"/>
          <w:sz w:val="20"/>
        </w:rPr>
        <w:t>We evaluate every prospect across three dimensions:</w:t>
      </w:r>
    </w:p>
    <w:p>
      <w:pPr>
        <w:pStyle w:val="ListBullet"/>
        <w:spacing w:before="0" w:after="40"/>
      </w:pP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pStyle w:val="ListBullet"/>
        <w:spacing w:before="0" w:after="40"/>
      </w:pPr>
      <w:r>
        <w:rPr>
          <w:rFonts w:ascii="Calibri" w:hAnsi="Calibri"/>
          <w:b/>
          <w:i w:val="0"/>
          <w:color w:val="1A1A1A"/>
          <w:sz w:val="20"/>
        </w:rPr>
        <w:t xml:space="preserve">Is the product technically complex enough for labs to create real value? </w:t>
      </w:r>
      <w:r>
        <w:rPr>
          <w:rFonts w:ascii="Calibri" w:hAnsi="Calibri"/>
          <w:b w:val="0"/>
          <w:i w:val="0"/>
          <w:color w:val="1A1A1A"/>
          <w:sz w:val="20"/>
        </w:rPr>
        <w:t>Simple products with shallow workflows do not benefit enough from hands-on practice to justify the investment. Products with deep administrative workflows, meaningful configuration decisions, and real consequence of error — those are where labs change what learners can actually do.</w:t>
      </w:r>
    </w:p>
    <w:p>
      <w:pPr>
        <w:pStyle w:val="ListBullet"/>
        <w:spacing w:before="0" w:after="60"/>
      </w:pP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programs regardless of product fit.</w:t>
      </w:r>
    </w:p>
    <w:p>
      <w:pPr>
        <w:spacing w:before="0" w:after="60"/>
      </w:pPr>
      <w:r>
        <w:rPr>
          <w:rFonts w:ascii="Calibri" w:hAnsi="Calibri"/>
          <w:b w:val="0"/>
          <w:i w:val="0"/>
          <w:color w:val="1A1A1A"/>
          <w:sz w:val="20"/>
        </w:rPr>
        <w:t>The Workday pattern illustrates what happens when this analysis does not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pStyle w:val="ListBullet"/>
        <w:spacing w:before="0" w:after="40"/>
      </w:pPr>
      <w:r>
        <w:rPr>
          <w:rFonts w:ascii="Calibri" w:hAnsi="Calibri"/>
          <w:b/>
          <w:i w:val="0"/>
          <w:color w:val="1A1A1A"/>
          <w:sz w:val="20"/>
        </w:rPr>
        <w:t xml:space="preserve">Pure multi-tenant architecture — </w:t>
      </w:r>
      <w:r>
        <w:rPr>
          <w:rFonts w:ascii="Calibri" w:hAnsi="Calibri"/>
          <w:b w:val="0"/>
          <w:i w:val="0"/>
          <w:color w:val="1A1A1A"/>
          <w:sz w:val="20"/>
        </w:rPr>
        <w:t>every customer shares the same cloud environment. There is no Workday instance to give a learner. The product is architecturally incapable of per-learner isolation.</w:t>
      </w:r>
    </w:p>
    <w:p>
      <w:pPr>
        <w:pStyle w:val="ListBullet"/>
        <w:spacing w:before="0" w:after="40"/>
      </w:pPr>
      <w:r>
        <w:rPr>
          <w:rFonts w:ascii="Calibri" w:hAnsi="Calibri"/>
          <w:b/>
          <w:i w:val="0"/>
          <w:color w:val="1A1A1A"/>
          <w:sz w:val="20"/>
        </w:rPr>
        <w:t xml:space="preserve">No provisioning API — </w:t>
      </w:r>
      <w:r>
        <w:rPr>
          <w:rFonts w:ascii="Calibri" w:hAnsi="Calibri"/>
          <w:b w:val="0"/>
          <w:i w:val="0"/>
          <w:color w:val="1A1A1A"/>
          <w:sz w:val="20"/>
        </w:rPr>
        <w:t>no mechanism to spin up an individual environment programmatically. Skillable’s entire delivery model depends on this capability.</w:t>
      </w:r>
    </w:p>
    <w:p>
      <w:pPr>
        <w:pStyle w:val="ListBullet"/>
        <w:spacing w:before="0" w:after="60"/>
      </w:pPr>
      <w:r>
        <w:rPr>
          <w:rFonts w:ascii="Calibri" w:hAnsi="Calibri"/>
          <w:b/>
          <w:i w:val="0"/>
          <w:color w:val="1A1A1A"/>
          <w:sz w:val="20"/>
        </w:rPr>
        <w:t xml:space="preserve">No deployment model — </w:t>
      </w:r>
      <w:r>
        <w:rPr>
          <w:rFonts w:ascii="Calibri" w:hAnsi="Calibri"/>
          <w:b w:val="0"/>
          <w:i w:val="0"/>
          <w:color w:val="1A1A1A"/>
          <w:sz w:val="20"/>
        </w:rPr>
        <w:t>nothing to install, containerize, or slice.</w:t>
      </w:r>
    </w:p>
    <w:p>
      <w:pPr>
        <w:spacing w:before="0" w:after="60"/>
      </w:pPr>
      <w:r>
        <w:rPr>
          <w:rFonts w:ascii="Calibri" w:hAnsi="Calibri"/>
          <w:b w:val="0"/>
          <w:i w:val="0"/>
          <w:color w:val="1A1A1A"/>
          <w:sz w:val="20"/>
        </w:rPr>
        <w:t>That fact is findable in public documentation before a single sales conversation begins. Workday was not a bad lead. It was motivated, capable people who invested significant time before hitting a wall that was always there. The Workday pattern repeats whenever product-level technical fit is evaluated late — or not at all.</w:t>
      </w:r>
    </w:p>
    <w:p>
      <w:pPr>
        <w:spacing w:before="0" w:after="60"/>
      </w:pPr>
      <w:r>
        <w:rPr>
          <w:rFonts w:ascii="Calibri" w:hAnsi="Calibri"/>
          <w:b w:val="0"/>
          <w:i w:val="0"/>
          <w:color w:val="1A1A1A"/>
          <w:sz w:val="20"/>
        </w:rPr>
        <w:t>The same logic runs in the other direction. When Fortinet is a strong fit, it is not because Fortinet resembles other good customers as a company. It is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100" w:after="30"/>
      </w:pPr>
      <w:r>
        <w:rPr>
          <w:rFonts w:ascii="Calibri" w:hAnsi="Calibri"/>
          <w:b/>
          <w:i w:val="0"/>
          <w:color w:val="136945"/>
          <w:sz w:val="22"/>
        </w:rPr>
        <w:t>Proving Labability and Impact — with SE-Level Depth at Scale</w:t>
      </w:r>
    </w:p>
    <w:p>
      <w:pPr>
        <w:spacing w:before="0" w:after="60"/>
      </w:pPr>
      <w:r>
        <w:rPr>
          <w:rFonts w:ascii="Calibri" w:hAnsi="Calibri"/>
          <w:b w:val="0"/>
          <w:i w:val="0"/>
          <w:color w:val="1A1A1A"/>
          <w:sz w:val="20"/>
        </w:rPr>
        <w:t>Proving that a Skillable lab program will work for a specific customer’s products requires deep technical analysis. Which delivery path is right for this product — standard virtual machine, cloud environment slice, containerized workload, custom integration? What are the architectural constraints? What would a realistic program look like in terms of scope, seat time, and scoring approach? What is the estimated consumption potential?</w:t>
      </w:r>
    </w:p>
    <w:p>
      <w:pPr>
        <w:spacing w:before="0" w:after="60"/>
      </w:pPr>
      <w:r>
        <w:rPr>
          <w:rFonts w:ascii="Calibri" w:hAnsi="Calibri"/>
          <w:b w:val="0"/>
          <w:i w:val="0"/>
          <w:color w:val="1A1A1A"/>
          <w:sz w:val="20"/>
        </w:rPr>
        <w:t>This is exactly the kind of work a skilled Solutions Engineer does well. It requires knowing Skillable’s platform deeply — delivery paths, technical constraints, feature availability, scoring feasibility — and applying that knowledge to a specific product’s architecture and deployment model. That synthesis takes hours per company, in a live conversation, with access to documentation and a customer contact who can fill in the gaps.</w:t>
      </w:r>
    </w:p>
    <w:p>
      <w:pPr>
        <w:spacing w:before="0" w:after="60"/>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 before marketing dollars are spent, before SE time is committed — often go unasked until it is too late.</w:t>
      </w:r>
    </w:p>
    <w:p>
      <w:pPr>
        <w:spacing w:before="100" w:after="30"/>
      </w:pPr>
      <w:r>
        <w:rPr>
          <w:rFonts w:ascii="Calibri" w:hAnsi="Calibri"/>
          <w:b/>
          <w:i w:val="0"/>
          <w:color w:val="136945"/>
          <w:sz w:val="22"/>
        </w:rPr>
        <w:t>Jump-Starting Customer Adoption — Accelerate the Shift to Expansion</w:t>
      </w:r>
    </w:p>
    <w:p>
      <w:pPr>
        <w:spacing w:before="0" w:after="60"/>
      </w:pPr>
      <w:r>
        <w:rPr>
          <w:rFonts w:ascii="Calibri" w:hAnsi="Calibri"/>
          <w:b w:val="0"/>
          <w:i w:val="0"/>
          <w:color w:val="1A1A1A"/>
          <w:sz w:val="20"/>
        </w:rPr>
        <w:t>A signed contract is not an adopted customer. The gap between ‘we want to build labs’ and ‘we have a running program’ is wide, and most customers cannot cross it without structured guidance.</w:t>
      </w:r>
    </w:p>
    <w:p>
      <w:pPr>
        <w:spacing w:before="0" w:after="60"/>
      </w:pPr>
      <w:r>
        <w:rPr>
          <w:rFonts w:ascii="Calibri" w:hAnsi="Calibri"/>
          <w:b w:val="0"/>
          <w:i w:val="0"/>
          <w:color w:val="1A1A1A"/>
          <w:sz w:val="20"/>
        </w:rPr>
        <w:t>Program design is a specialized skill. Most buyers — even technically sophisticated ones with strong content teams — have never designed a hands-on lab curriculum. They have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60"/>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 it is a churn risk. A customer who has not built a program has not realized value. A customer who has not realized value does not renew.</w:t>
      </w:r>
    </w:p>
    <w:p>
      <w:pPr>
        <w:spacing w:before="0" w:after="0"/>
      </w:pPr>
      <w:r>
        <w:br w:type="page"/>
      </w:r>
    </w:p>
    <w:p>
      <w:pPr>
        <w:spacing w:before="120" w:after="40"/>
      </w:pPr>
      <w:r>
        <w:rPr>
          <w:rFonts w:ascii="Calibri" w:hAnsi="Calibri"/>
          <w:b/>
          <w:i w:val="0"/>
          <w:color w:val="136945"/>
          <w:sz w:val="26"/>
        </w:rPr>
        <w:t>Three Tools. One Platform.</w:t>
      </w:r>
    </w:p>
    <w:p>
      <w:pPr>
        <w:spacing w:before="0" w:after="60"/>
      </w:pPr>
      <w:r>
        <w:rPr>
          <w:rFonts w:ascii="Calibri" w:hAnsi="Calibri"/>
          <w:b w:val="0"/>
          <w:i w:val="0"/>
          <w:color w:val="1A1A1A"/>
          <w:sz w:val="20"/>
        </w:rPr>
        <w:t>Each tool in Skillable Intelligence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00" w:after="30"/>
      </w:pPr>
      <w:r>
        <w:rPr>
          <w:rFonts w:ascii="Calibri" w:hAnsi="Calibri"/>
          <w:b/>
          <w:i w:val="0"/>
          <w:color w:val="136945"/>
          <w:sz w:val="22"/>
        </w:rPr>
        <w:t>Designer — Closing the Adoption Gap</w:t>
      </w:r>
    </w:p>
    <w:p>
      <w:pPr>
        <w:spacing w:before="0" w:after="60"/>
      </w:pPr>
      <w:r>
        <w:rPr>
          <w:rFonts w:ascii="Calibri" w:hAnsi="Calibri"/>
          <w:b w:val="0"/>
          <w:i w:val="0"/>
          <w:color w:val="1A1A1A"/>
          <w:sz w:val="20"/>
        </w:rPr>
        <w:t>Designer takes an Inspector analysis and guides program owners, instructional designers, and subject matter experts through the full process of designing a lab program. From goals and audience definition through a complete approved outline, activity-level content, and a Skillable Studio-ready export package.</w:t>
      </w:r>
    </w:p>
    <w:p>
      <w:pPr>
        <w:spacing w:before="0" w:after="60"/>
      </w:pPr>
      <w:r>
        <w:rPr>
          <w:rFonts w:ascii="Calibri" w:hAnsi="Calibri"/>
          <w:b w:val="0"/>
          <w:i w:val="0"/>
          <w:color w:val="1A1A1A"/>
          <w:sz w:val="20"/>
        </w:rPr>
        <w:t>The process is structured. It does not require the customer to know how to design a lab program — that is the point. Designer asks the right questions, sequences the decisions correctly, and generates a complete program architecture that a contracted lab developer can build against immediately.</w:t>
      </w:r>
    </w:p>
    <w:p>
      <w:pPr>
        <w:spacing w:before="0" w:after="60"/>
      </w:pPr>
      <w:r>
        <w:rPr>
          <w:rFonts w:ascii="Calibri" w:hAnsi="Calibri"/>
          <w:color w:val="1A1A1A"/>
          <w:sz w:val="20"/>
        </w:rPr>
        <w:t xml:space="preserve">The output is not just a plan. Designer generates a </w:t>
      </w:r>
      <w:r>
        <w:rPr>
          <w:rFonts w:ascii="Calibri" w:hAnsi="Calibri"/>
          <w:color w:val="7000FF"/>
          <w:sz w:val="20"/>
        </w:rPr>
        <w:t>complete Bill of Materials</w:t>
      </w:r>
      <w:r>
        <w:rPr>
          <w:rFonts w:ascii="Calibri" w:hAnsi="Calibri"/>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before the technical environment is ready. Program design and environment build run as parallel workstreams. Day one is productive for the program owner. The adoption gap closes before it has a chance to form.</w:t>
      </w:r>
    </w:p>
    <w:p>
      <w:pPr>
        <w:spacing w:before="100" w:after="30"/>
      </w:pPr>
      <w:r>
        <w:rPr>
          <w:rFonts w:ascii="Calibri" w:hAnsi="Calibri"/>
          <w:b/>
          <w:i w:val="0"/>
          <w:color w:val="136945"/>
          <w:sz w:val="22"/>
        </w:rPr>
        <w:t>Inspector — Proving Labability and Impact</w:t>
      </w:r>
    </w:p>
    <w:p>
      <w:pPr>
        <w:spacing w:before="0" w:after="60"/>
      </w:pPr>
      <w:r>
        <w:rPr>
          <w:rFonts w:ascii="Calibri" w:hAnsi="Calibri"/>
          <w:b w:val="0"/>
          <w:i w:val="0"/>
          <w:color w:val="1A1A1A"/>
          <w:sz w:val="20"/>
        </w:rPr>
        <w:t>Inspector performs a deep product-level analysis of a specific company. It runs in two stages.</w:t>
      </w:r>
    </w:p>
    <w:p>
      <w:pPr>
        <w:pStyle w:val="ListBullet"/>
        <w:spacing w:before="0" w:after="40"/>
      </w:pPr>
      <w:r>
        <w:rPr>
          <w:rFonts w:ascii="Calibri" w:hAnsi="Calibri"/>
          <w:b/>
          <w:i w:val="0"/>
          <w:color w:val="1A1A1A"/>
          <w:sz w:val="20"/>
        </w:rPr>
        <w:t xml:space="preserve">Stage 1 — Company Report: </w:t>
      </w:r>
      <w:r>
        <w:rPr>
          <w:rFonts w:ascii="Calibri" w:hAnsi="Calibri"/>
          <w:b w:val="0"/>
          <w:i w:val="0"/>
          <w:color w:val="1A1A1A"/>
          <w:sz w:val="20"/>
        </w:rPr>
        <w:t>A broad scan that surfaces all of a company’s products, ranked by labability, with competitive pairings, company-level signals, and an overall fit score. The foundation document for any seller or SE entering a conversation with this account.</w:t>
      </w:r>
    </w:p>
    <w:p>
      <w:pPr>
        <w:pStyle w:val="ListBullet"/>
        <w:spacing w:before="0" w:after="60"/>
      </w:pPr>
      <w:r>
        <w:rPr>
          <w:rFonts w:ascii="Calibri" w:hAnsi="Calibri"/>
          <w:b/>
          <w:i w:val="0"/>
          <w:color w:val="1A1A1A"/>
          <w:sz w:val="20"/>
        </w:rPr>
        <w:t xml:space="preserve">Stage 2 — Deep Dive: </w:t>
      </w:r>
      <w:r>
        <w:rPr>
          <w:rFonts w:ascii="Calibri" w:hAnsi="Calibri"/>
          <w:b w:val="0"/>
          <w:i w:val="0"/>
          <w:color w:val="1A1A1A"/>
          <w:sz w:val="20"/>
        </w:rPr>
        <w:t>The seller or SE selects three to four products from Stage 1 for exhaustive analysis — full technical orchestrability evidence, delivery path recommendation with rationale, scoring approach, consumption potential estimate, and program scope.</w:t>
      </w:r>
    </w:p>
    <w:p>
      <w:pPr>
        <w:spacing w:before="0" w:after="60"/>
      </w:pPr>
      <w:r>
        <w:rPr>
          <w:rFonts w:ascii="Calibri" w:hAnsi="Calibri"/>
          <w:color w:val="1A1A1A"/>
          <w:sz w:val="20"/>
        </w:rPr>
        <w:t xml:space="preserve">A seller walking into a conversation with a Stage 2 Inspector report knows what the customer’s products can and cannot do on the Skillable platform, which delivery path makes sense and why, and what the estimated consumption potential is. That is not a discovery conversation. It is a </w:t>
      </w:r>
      <w:r>
        <w:rPr>
          <w:rFonts w:ascii="Calibri" w:hAnsi="Calibri"/>
          <w:color w:val="7000FF"/>
          <w:sz w:val="20"/>
        </w:rPr>
        <w:t>solution conversation.</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Inspector also surfaces the competitive map for every analyzed company — which feeds directly into Prospector’s lookalike targeting.</w:t>
      </w:r>
    </w:p>
    <w:p>
      <w:pPr>
        <w:spacing w:before="0" w:after="60"/>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 applied automatically, to every product, before the first meeting.</w:t>
      </w:r>
    </w:p>
    <w:p>
      <w:pPr>
        <w:spacing w:before="100" w:after="30"/>
      </w:pPr>
      <w:r>
        <w:rPr>
          <w:rFonts w:ascii="Calibri" w:hAnsi="Calibri"/>
          <w:b/>
          <w:i w:val="0"/>
          <w:color w:val="136945"/>
          <w:sz w:val="22"/>
        </w:rPr>
        <w:t>Prospector — Finding the Right Companies</w:t>
      </w:r>
    </w:p>
    <w:p>
      <w:pPr>
        <w:spacing w:before="0" w:after="60"/>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60"/>
      </w:pPr>
      <w:r>
        <w:rPr>
          <w:rFonts w:ascii="Calibri" w:hAnsi="Calibri"/>
          <w:color w:val="1A1A1A"/>
          <w:sz w:val="20"/>
        </w:rPr>
        <w:t xml:space="preserve">Marketing has never had access to </w:t>
      </w:r>
      <w:r>
        <w:rPr>
          <w:rFonts w:ascii="Calibri" w:hAnsi="Calibri"/>
          <w:color w:val="7000FF"/>
          <w:sz w:val="20"/>
        </w:rPr>
        <w:t>product-level qualification</w:t>
      </w:r>
      <w:r>
        <w:rPr>
          <w:rFonts w:ascii="Calibri" w:hAnsi="Calibri"/>
          <w:color w:val="1A1A1A"/>
          <w:sz w:val="20"/>
        </w:rPr>
        <w:t xml:space="preserve"> data at the point of list building. Prospector makes it possible to screen a ZoomInfo export of 500 companies for technical orchestrability, product complexity, and organizational readiness before a sequence is written, a dollar is spent, or an SDR makes a call. Companies that clear all three dimensions go into outreach. Workday patterns come off the list — with specific, documented technical reasons on the Company record.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Prospector also surfaces customer expansion opportunities — mapping the department landscape of existing accounts to identify adoption opportunities for existing labs, greenfield departments, and buyers ready to expand.</w:t>
      </w:r>
    </w:p>
    <w:p>
      <w:pPr>
        <w:spacing w:before="0" w:after="60"/>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0"/>
      </w:pPr>
      <w:r>
        <w:br w:type="page"/>
      </w:r>
    </w:p>
    <w:p>
      <w:pPr>
        <w:spacing w:before="120" w:after="40"/>
      </w:pPr>
      <w:r>
        <w:rPr>
          <w:rFonts w:ascii="Calibri" w:hAnsi="Calibri"/>
          <w:b/>
          <w:i w:val="0"/>
          <w:color w:val="136945"/>
          <w:sz w:val="26"/>
        </w:rPr>
        <w:t>HubSpot and Revenue Operations</w:t>
      </w:r>
    </w:p>
    <w:p>
      <w:pPr>
        <w:spacing w:before="40" w:after="60"/>
      </w:pPr>
      <w:r>
        <w:rPr>
          <w:rFonts w:ascii="Calibri" w:hAnsi="Calibri"/>
          <w:b w:val="0"/>
          <w:i/>
          <w:color w:val="606060"/>
          <w:sz w:val="20"/>
        </w:rPr>
        <w:t>This section is written for RevOps and Marketing leadership. Executive readers who do not own HubSpot infrastructure may stop here.</w:t>
      </w:r>
    </w:p>
    <w:p>
      <w:pPr>
        <w:spacing w:before="100" w:after="30"/>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in the right place — without requiring sellers to live in another tool or RevOps to build a parallel system.</w:t>
      </w:r>
    </w:p>
    <w:p>
      <w:pPr>
        <w:spacing w:before="100" w:after="30"/>
      </w:pPr>
      <w:r>
        <w:rPr>
          <w:rFonts w:ascii="Calibri" w:hAnsi="Calibri"/>
          <w:b/>
          <w:i w:val="0"/>
          <w:color w:val="136945"/>
          <w:sz w:val="22"/>
        </w:rPr>
        <w:t>Prospector ↔ HubSpot — Bidirectional, Marketing-Driven</w:t>
      </w:r>
    </w:p>
    <w:p>
      <w:pPr>
        <w:spacing w:before="0" w:after="60"/>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00" w:after="30"/>
      </w:pPr>
      <w:r>
        <w:rPr>
          <w:rFonts w:ascii="Calibri" w:hAnsi="Calibri"/>
          <w:b/>
          <w:i w:val="0"/>
          <w:color w:val="136945"/>
          <w:sz w:val="22"/>
        </w:rPr>
        <w:t>Inspector → HubSpot — Seller and SE-Driven</w:t>
      </w:r>
    </w:p>
    <w:p>
      <w:pPr>
        <w:spacing w:before="0" w:after="60"/>
      </w:pPr>
      <w:r>
        <w:rPr>
          <w:rFonts w:ascii="Calibri" w:hAnsi="Calibri"/>
          <w:b w:val="0"/>
          <w:i w:val="0"/>
          <w:color w:val="1A1A1A"/>
          <w:sz w:val="20"/>
        </w:rPr>
        <w:t>Company and Deal records in HubSpot surface a ‘Run Inspector’ link. Clicking it opens Inspector at the Stage 1 Company Report. The full Inspector experience runs in Intelligence — HubSpot is only the trigger.</w:t>
      </w:r>
    </w:p>
    <w:p>
      <w:pPr>
        <w:spacing w:before="0" w:after="60"/>
      </w:pPr>
      <w:r>
        <w:rPr>
          <w:rFonts w:ascii="Calibri" w:hAnsi="Calibri"/>
          <w:b w:val="0"/>
          <w:i w:val="0"/>
          <w:color w:val="1A1A1A"/>
          <w:sz w:val="20"/>
        </w:rPr>
        <w:t>Stage 1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Stage 2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Link to full Inspector Stage 2 report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36945"/>
          <w:sz w:val="22"/>
        </w:rPr>
        <w:t>Designer → HubSpot — Read-Only Visibility</w:t>
      </w:r>
    </w:p>
    <w:p>
      <w:pPr>
        <w:spacing w:before="0" w:after="60"/>
      </w:pPr>
      <w:r>
        <w:rPr>
          <w:rFonts w:ascii="Calibri" w:hAnsi="Calibri"/>
          <w:b w:val="0"/>
          <w:i w:val="0"/>
          <w:color w:val="1A1A1A"/>
          <w:sz w:val="20"/>
        </w:rPr>
        <w:t>Program owners and IDs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20" w:after="40"/>
      </w:pPr>
      <w:r>
        <w:rPr>
          <w:rFonts w:ascii="Calibri" w:hAnsi="Calibri"/>
          <w:b/>
          <w:i w:val="0"/>
          <w:color w:val="136945"/>
          <w:sz w:val="26"/>
        </w:rPr>
        <w:t>Recommendations and Open Decisions</w:t>
      </w:r>
    </w:p>
    <w:p>
      <w:pPr>
        <w:spacing w:before="100" w:after="30"/>
      </w:pPr>
      <w:r>
        <w:rPr>
          <w:rFonts w:ascii="Calibri" w:hAnsi="Calibri"/>
          <w:b/>
          <w:i w:val="0"/>
          <w:color w:val="136945"/>
          <w:sz w:val="22"/>
        </w:rPr>
        <w:t>What We Are Recommending</w:t>
      </w:r>
    </w:p>
    <w:p>
      <w:pPr>
        <w:pStyle w:val="ListBullet"/>
        <w:spacing w:before="0" w:after="40"/>
      </w:pP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pStyle w:val="ListBullet"/>
        <w:spacing w:before="0" w:after="40"/>
      </w:pPr>
      <w:r>
        <w:rPr>
          <w:rFonts w:ascii="Calibri" w:hAnsi="Calibri"/>
          <w:b/>
          <w:i w:val="0"/>
          <w:color w:val="1A1A1A"/>
          <w:sz w:val="20"/>
        </w:rPr>
        <w:t xml:space="preserve">Inspector Stage 1 as the standard pre-call research tool for all sellers and SEs. </w:t>
      </w:r>
      <w:r>
        <w:rPr>
          <w:rFonts w:ascii="Calibri" w:hAnsi="Calibri"/>
          <w:b w:val="0"/>
          <w:i w:val="0"/>
          <w:color w:val="1A1A1A"/>
          <w:sz w:val="20"/>
        </w:rPr>
        <w:t>The ‘Run Inspector’ link on every Company and Deal record makes it a one-click motion. Stage 1 output gives every seller account intelligence they currently do not have before the first conversation.</w:t>
      </w:r>
    </w:p>
    <w:p>
      <w:pPr>
        <w:pStyle w:val="ListBullet"/>
        <w:spacing w:before="0" w:after="60"/>
      </w:pP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before the technical environment is ready. Program design and environment build run as parallel workstreams.</w:t>
      </w:r>
    </w:p>
    <w:p>
      <w:pPr>
        <w:spacing w:before="100" w:after="30"/>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Stage 2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