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pStyle w:val="ListBullet"/>
        <w:spacing w:before="0" w:after="40"/>
      </w:pPr>
      <w:r>
        <w:rPr>
          <w:rFonts w:ascii="Calibri" w:hAnsi="Calibri"/>
          <w:b w:val="0"/>
          <w:i w:val="0"/>
          <w:color w:val="1A1A1A"/>
          <w:sz w:val="20"/>
        </w:rPr>
        <w:t>Identifying companies in our ICP</w:t>
      </w:r>
    </w:p>
    <w:p>
      <w:pPr>
        <w:pStyle w:val="ListBullet"/>
        <w:spacing w:before="0" w:after="40"/>
      </w:pPr>
      <w:r>
        <w:rPr>
          <w:rFonts w:ascii="Calibri" w:hAnsi="Calibri"/>
          <w:b w:val="0"/>
          <w:i w:val="0"/>
          <w:color w:val="1A1A1A"/>
          <w:sz w:val="20"/>
        </w:rPr>
        <w:t>Proving labability and lab impact</w:t>
      </w:r>
    </w:p>
    <w:p>
      <w:pPr>
        <w:pStyle w:val="ListBullet"/>
        <w:spacing w:before="0" w:after="60"/>
      </w:pPr>
      <w:r>
        <w:rPr>
          <w:rFonts w:ascii="Calibri" w:hAnsi="Calibri"/>
          <w:b w:val="0"/>
          <w:i w:val="0"/>
          <w:color w:val="1A1A1A"/>
          <w:sz w:val="20"/>
        </w:rPr>
        <w:t>Enabling bought-in customers to adopt labs</w:t>
      </w:r>
    </w:p>
    <w:p>
      <w:pPr>
        <w:spacing w:before="100" w:after="30"/>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infrastructure that makes that possible.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firmographic data. They require a different kind of analysis entirely. That is what Intelligence provides.</w:t>
      </w:r>
    </w:p>
    <w:p>
      <w:pPr>
        <w:spacing w:before="100" w:after="30"/>
      </w:pPr>
      <w:r>
        <w:rPr>
          <w:rFonts w:ascii="Calibri" w:hAnsi="Calibri"/>
          <w:b/>
          <w:i w:val="0"/>
          <w:color w:val="136945"/>
          <w:sz w:val="22"/>
        </w:rPr>
        <w:t>Knowing exactly who’s in our ICP — before we spend a dollar</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programs regardless of product fit.</w:t>
      </w:r>
    </w:p>
    <w:p>
      <w:pPr>
        <w:spacing w:before="0" w:after="60"/>
      </w:pPr>
      <w:r>
        <w:rPr>
          <w:rFonts w:ascii="Calibri" w:hAnsi="Calibri"/>
          <w:b w:val="0"/>
          <w:i w:val="0"/>
          <w:color w:val="1A1A1A"/>
          <w:sz w:val="20"/>
        </w:rPr>
        <w:t>The Workday pattern illustrates what happens when this analysis does not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 is not because Fortinet resembles other good customers as a company. It is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100" w:after="30"/>
      </w:pPr>
      <w:r>
        <w:rPr>
          <w:rFonts w:ascii="Calibri" w:hAnsi="Calibri"/>
          <w:b/>
          <w:i w:val="0"/>
          <w:color w:val="136945"/>
          <w:sz w:val="22"/>
        </w:rPr>
        <w:t>Proving labability and impact — with SE-level depth at scale</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for this product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and deployment model.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100" w:after="30"/>
      </w:pPr>
      <w:r>
        <w:rPr>
          <w:rFonts w:ascii="Calibri" w:hAnsi="Calibri"/>
          <w:b/>
          <w:i w:val="0"/>
          <w:color w:val="136945"/>
          <w:sz w:val="22"/>
        </w:rPr>
        <w:t>Jump-starting customer adoption — accelerate the shift to expansion</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 have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0"/>
      </w:pPr>
      <w:r>
        <w:br w:type="page"/>
      </w:r>
    </w:p>
    <w:p>
      <w:pPr>
        <w:spacing w:before="120" w:after="40"/>
      </w:pPr>
      <w:r>
        <w:rPr>
          <w:rFonts w:ascii="Calibri" w:hAnsi="Calibri"/>
          <w:b/>
          <w:i w:val="0"/>
          <w:color w:val="136945"/>
          <w:sz w:val="26"/>
        </w:rPr>
        <w:t>Three tools. One platform.</w:t>
      </w:r>
    </w:p>
    <w:p>
      <w:pPr>
        <w:spacing w:before="0" w:after="60"/>
      </w:pPr>
      <w:r>
        <w:rPr>
          <w:rFonts w:ascii="Calibri" w:hAnsi="Calibri"/>
          <w:b w:val="0"/>
          <w:i w:val="0"/>
          <w:color w:val="1A1A1A"/>
          <w:sz w:val="20"/>
        </w:rPr>
        <w:t>Each tool in Skillable Intelligence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Designer takes an Inspector analysis and guides program owners, instructional designers, and subject matter experts through the full process of designing a lab program. From goals and audience definition through a complete approved outline, activity-level content, and a Skillable Studio-ready export package.</w:t>
      </w:r>
    </w:p>
    <w:p>
      <w:pPr>
        <w:spacing w:before="0" w:after="60"/>
      </w:pPr>
      <w:r>
        <w:rPr>
          <w:rFonts w:ascii="Calibri" w:hAnsi="Calibri"/>
          <w:b w:val="0"/>
          <w:i w:val="0"/>
          <w:color w:val="1A1A1A"/>
          <w:sz w:val="20"/>
        </w:rPr>
        <w:t>The process is structured. It does not require the customer to know how to design a lab program — that is the point. Designer asks the right questions, sequences the decisions correctly, and generates a complete program architecture that a contracted lab developer can build against immediately.</w:t>
      </w:r>
    </w:p>
    <w:p>
      <w:pPr>
        <w:spacing w:before="0" w:after="60"/>
      </w:pPr>
      <w:r>
        <w:rPr>
          <w:rFonts w:ascii="Calibri" w:hAnsi="Calibri"/>
          <w:color w:val="1A1A1A"/>
          <w:sz w:val="20"/>
        </w:rPr>
        <w:t xml:space="preserve">The output is not just a plan. Designer generates a </w:t>
      </w:r>
      <w:r>
        <w:rPr>
          <w:rFonts w:ascii="Calibri" w:hAnsi="Calibri"/>
          <w:color w:val="7000FF"/>
          <w:sz w:val="20"/>
        </w:rPr>
        <w:t>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color w:val="1A1A1A"/>
          <w:sz w:val="20"/>
        </w:rPr>
        <w:t xml:space="preserve">A seller walking into a conversation with a Stage 2 Inspector report knows what the customer’s products can and cannot do on the Skillable platform, which delivery path makes sense and why, and what the estimated consumption potential is. That is not a discovery conversation. It is a </w:t>
      </w:r>
      <w:r>
        <w:rPr>
          <w:rFonts w:ascii="Calibri" w:hAnsi="Calibri"/>
          <w:color w:val="7000FF"/>
          <w:sz w:val="20"/>
        </w:rPr>
        <w:t>solution conversation.</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color w:val="1A1A1A"/>
          <w:sz w:val="20"/>
        </w:rPr>
        <w:t xml:space="preserve">Marketing has never had access to </w:t>
      </w:r>
      <w:r>
        <w:rPr>
          <w:rFonts w:ascii="Calibri" w:hAnsi="Calibri"/>
          <w:color w:val="7000FF"/>
          <w:sz w:val="20"/>
        </w:rPr>
        <w:t>product-level qualification</w:t>
      </w:r>
      <w:r>
        <w:rPr>
          <w:rFonts w:ascii="Calibri" w:hAnsi="Calibri"/>
          <w:color w:val="1A1A1A"/>
          <w:sz w:val="20"/>
        </w:rPr>
        <w:t xml:space="preserve"> data at the point of list building. Prospector makes it possible to screen a ZoomInfo export of 500 companies for technical orchestrability, product complexity, and organizational readiness before a sequence is written, a dollar is spent, or an SDR makes a call. Companies that clear all three dimensions go into outreach. Workday patterns come off the list — with specific, documented technical reasons on the Company record.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buyers ready to expand.</w:t>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