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40"/>
        </w:rPr>
        <w:t>Skillable Intelligence Platform</w:t>
      </w:r>
    </w:p>
    <w:p>
      <w:pPr>
        <w:spacing w:before="0" w:after="100"/>
      </w:pPr>
      <w:r>
        <w:rPr>
          <w:rFonts w:ascii="Calibri" w:hAnsi="Calibri"/>
          <w:b w:val="0"/>
          <w:i w:val="0"/>
          <w:color w:val="606060"/>
          <w:sz w:val="20"/>
        </w:rPr>
        <w:t>Executive Leadership Team Brief</w:t>
      </w:r>
    </w:p>
    <w:p>
      <w:pPr>
        <w:spacing w:before="180" w:after="50"/>
        <w:keepNext w:val="1"/>
        <w:pBdr>
          <w:bottom w:val="single" w:sz="4" w:space="1" w:color="136945"/>
        </w:pBdr>
      </w:pPr>
      <w:r>
        <w:rPr>
          <w:rFonts w:ascii="Calibri" w:hAnsi="Calibri"/>
          <w:b/>
          <w:i w:val="0"/>
          <w:color w:val="136945"/>
          <w:sz w:val="26"/>
        </w:rPr>
        <w:t>Three problems worth solving</w:t>
      </w:r>
    </w:p>
    <w:p>
      <w:pPr>
        <w:spacing w:before="0" w:after="72" w:line="264" w:lineRule="auto"/>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Identifying companies in our ICP</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Proving labability and lab impact</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Enabling bought-in customers to adopt labs</w:t>
      </w:r>
    </w:p>
    <w:p>
      <w:pPr>
        <w:spacing w:before="140" w:after="40"/>
        <w:keepNext w:val="1"/>
      </w:pPr>
      <w:r>
        <w:rPr>
          <w:rFonts w:ascii="Calibri" w:hAnsi="Calibri"/>
          <w:b/>
          <w:i w:val="0"/>
          <w:color w:val="136945"/>
          <w:sz w:val="22"/>
        </w:rPr>
        <w:t>The PaaS Difference</w:t>
      </w:r>
    </w:p>
    <w:p>
      <w:pPr>
        <w:spacing w:before="0" w:after="72" w:line="264" w:lineRule="auto"/>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72" w:line="264" w:lineRule="auto"/>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72" w:line="264" w:lineRule="auto"/>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72" w:line="264" w:lineRule="auto"/>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80" w:after="50"/>
        <w:keepNext w:val="1"/>
        <w:pBdr>
          <w:bottom w:val="single" w:sz="4" w:space="1" w:color="136945"/>
        </w:pBdr>
      </w:pPr>
      <w:r>
        <w:rPr>
          <w:rFonts w:ascii="Calibri" w:hAnsi="Calibri"/>
          <w:b/>
          <w:i w:val="0"/>
          <w:color w:val="136945"/>
          <w:sz w:val="26"/>
        </w:rPr>
        <w:t>Three challenges. Three tools. One platform.</w:t>
      </w:r>
    </w:p>
    <w:p>
      <w:pPr>
        <w:spacing w:before="0" w:after="72" w:line="264" w:lineRule="auto"/>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40" w:after="40"/>
        <w:keepNext w:val="1"/>
      </w:pPr>
      <w:r>
        <w:rPr>
          <w:rFonts w:ascii="Calibri" w:hAnsi="Calibri"/>
          <w:b/>
          <w:i w:val="0"/>
          <w:color w:val="136945"/>
          <w:sz w:val="22"/>
        </w:rPr>
        <w:t>Designer: Closing the adoption gap</w:t>
      </w:r>
    </w:p>
    <w:p>
      <w:pPr>
        <w:spacing w:before="0" w:after="72" w:line="264" w:lineRule="auto"/>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72" w:line="264" w:lineRule="auto"/>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72" w:line="264" w:lineRule="auto"/>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90" w:after="90"/>
      </w:pPr>
      <w:r>
        <w:rPr>
          <w:rFonts w:ascii="Calibri" w:hAnsi="Calibri"/>
          <w:b/>
          <w:i w:val="0"/>
          <w:color w:val="136945"/>
          <w:sz w:val="22"/>
        </w:rPr>
        <w:t>Designer closes that gap.</w:t>
      </w:r>
    </w:p>
    <w:p>
      <w:pPr>
        <w:spacing w:before="0" w:after="72" w:line="264" w:lineRule="auto"/>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A structured program outline</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Draft lab instructions for every lab in the program</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Learner activities for progress tracking</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Scoring methodology recommendations</w:t>
      </w:r>
    </w:p>
    <w:p>
      <w:pPr>
        <w:spacing w:before="0" w:after="72" w:line="264" w:lineRule="auto"/>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40" w:after="40"/>
        <w:keepNext w:val="1"/>
      </w:pPr>
      <w:r>
        <w:rPr>
          <w:rFonts w:ascii="Calibri" w:hAnsi="Calibri"/>
          <w:b/>
          <w:i w:val="0"/>
          <w:color w:val="136945"/>
          <w:sz w:val="22"/>
        </w:rPr>
        <w:t>Inspector: Proving labability and impact</w:t>
      </w:r>
    </w:p>
    <w:p>
      <w:pPr>
        <w:spacing w:before="0" w:after="72" w:line="264" w:lineRule="auto"/>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72" w:line="264" w:lineRule="auto"/>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72" w:line="264" w:lineRule="auto"/>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90" w:after="90"/>
      </w:pPr>
      <w:r>
        <w:rPr>
          <w:rFonts w:ascii="Calibri" w:hAnsi="Calibri"/>
          <w:b/>
          <w:i w:val="0"/>
          <w:color w:val="136945"/>
          <w:sz w:val="22"/>
        </w:rPr>
        <w:t>Inspector proves labability and impact.</w:t>
      </w:r>
    </w:p>
    <w:p>
      <w:pPr>
        <w:spacing w:before="0" w:after="72" w:line="264" w:lineRule="auto"/>
      </w:pPr>
      <w:r>
        <w:rPr>
          <w:rFonts w:ascii="Calibri" w:hAnsi="Calibri"/>
          <w:b w:val="0"/>
          <w:i w:val="0"/>
          <w:color w:val="1A1A1A"/>
          <w:sz w:val="20"/>
        </w:rPr>
        <w:t>Inspector performs a deep product-level analysis of a specific company.</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72" w:line="264" w:lineRule="auto"/>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i w:val="0"/>
          <w:color w:val="1A1A1A"/>
          <w:sz w:val="20"/>
        </w:rPr>
        <w:t>Inspector also surfaces the competitive map for every analyzed company, which feeds directly into Prospector’s lookalike targeting.</w:t>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40" w:after="40"/>
        <w:keepNext w:val="1"/>
      </w:pPr>
      <w:r>
        <w:rPr>
          <w:rFonts w:ascii="Calibri" w:hAnsi="Calibri"/>
          <w:b/>
          <w:i w:val="0"/>
          <w:color w:val="136945"/>
          <w:sz w:val="22"/>
        </w:rPr>
        <w:t>Prospector: Finding the right companies</w:t>
      </w:r>
    </w:p>
    <w:p>
      <w:pPr>
        <w:spacing w:before="0" w:after="72" w:line="264" w:lineRule="auto"/>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72" w:line="264" w:lineRule="auto"/>
      </w:pPr>
      <w:r>
        <w:rPr>
          <w:rFonts w:ascii="Calibri" w:hAnsi="Calibri"/>
          <w:b w:val="0"/>
          <w:i w:val="0"/>
          <w:color w:val="1A1A1A"/>
          <w:sz w:val="20"/>
        </w:rPr>
        <w:t>We evaluate every prospect across three dimensions:</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72" w:line="264" w:lineRule="auto"/>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72" w:line="264" w:lineRule="auto"/>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72" w:line="264" w:lineRule="auto"/>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90" w:after="90"/>
      </w:pPr>
      <w:r>
        <w:rPr>
          <w:rFonts w:ascii="Calibri" w:hAnsi="Calibri"/>
          <w:b/>
          <w:i w:val="0"/>
          <w:color w:val="136945"/>
          <w:sz w:val="22"/>
        </w:rPr>
        <w:t>Prospector finds the right companies.</w:t>
      </w:r>
    </w:p>
    <w:p>
      <w:pPr>
        <w:spacing w:before="0" w:after="72" w:line="264" w:lineRule="auto"/>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72" w:line="264" w:lineRule="auto"/>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72" w:line="264" w:lineRule="auto"/>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80" w:after="50"/>
        <w:keepNext w:val="1"/>
        <w:pBdr>
          <w:bottom w:val="single" w:sz="4" w:space="1" w:color="136945"/>
        </w:pBdr>
      </w:pPr>
      <w:r>
        <w:rPr>
          <w:rFonts w:ascii="Calibri" w:hAnsi="Calibri"/>
          <w:b/>
          <w:i w:val="0"/>
          <w:color w:val="136945"/>
          <w:sz w:val="26"/>
        </w:rPr>
        <w:t>Surfacing the data. Right place. Right time. Right context.</w:t>
      </w:r>
    </w:p>
    <w:p>
      <w:pPr>
        <w:spacing w:before="0" w:after="72" w:line="264" w:lineRule="auto"/>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40" w:after="40"/>
        <w:keepNext w:val="1"/>
      </w:pPr>
      <w:r>
        <w:rPr>
          <w:rFonts w:ascii="Calibri" w:hAnsi="Calibri"/>
          <w:b/>
          <w:i w:val="0"/>
          <w:color w:val="136945"/>
          <w:sz w:val="22"/>
        </w:rPr>
        <w:t>The Integration Principle</w:t>
      </w:r>
    </w:p>
    <w:p>
      <w:pPr>
        <w:spacing w:before="0" w:after="72" w:line="264" w:lineRule="auto"/>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40" w:after="40"/>
        <w:keepNext w:val="1"/>
      </w:pPr>
      <w:r>
        <w:rPr>
          <w:rFonts w:ascii="Calibri" w:hAnsi="Calibri"/>
          <w:b/>
          <w:i w:val="0"/>
          <w:color w:val="136945"/>
          <w:sz w:val="22"/>
        </w:rPr>
        <w:t>Prospector ↔ HubSpot: Bidirectional, marketing-driven</w:t>
      </w:r>
    </w:p>
    <w:p>
      <w:pPr>
        <w:spacing w:before="0" w:after="72" w:line="264" w:lineRule="auto"/>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72" w:line="264" w:lineRule="auto"/>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72" w:line="264" w:lineRule="auto"/>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40" w:after="40"/>
        <w:keepNext w:val="1"/>
      </w:pPr>
      <w:r>
        <w:rPr>
          <w:rFonts w:ascii="Calibri" w:hAnsi="Calibri"/>
          <w:b/>
          <w:i w:val="0"/>
          <w:color w:val="136945"/>
          <w:sz w:val="22"/>
        </w:rPr>
        <w:t>Inspector → HubSpot: Seller and SE-driven</w:t>
      </w:r>
    </w:p>
    <w:p>
      <w:pPr>
        <w:spacing w:before="0" w:after="72" w:line="264" w:lineRule="auto"/>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72" w:line="264" w:lineRule="auto"/>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72" w:line="264" w:lineRule="auto"/>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40" w:after="40"/>
        <w:keepNext w:val="1"/>
      </w:pPr>
      <w:r>
        <w:rPr>
          <w:rFonts w:ascii="Calibri" w:hAnsi="Calibri"/>
          <w:b/>
          <w:i w:val="0"/>
          <w:color w:val="136945"/>
          <w:sz w:val="22"/>
        </w:rPr>
        <w:t>Designer → HubSpot: Read-only visibility</w:t>
      </w:r>
    </w:p>
    <w:p>
      <w:pPr>
        <w:spacing w:before="0" w:after="72" w:line="264" w:lineRule="auto"/>
      </w:pPr>
      <w:r>
        <w:rPr>
          <w:rFonts w:ascii="Calibri" w:hAnsi="Calibri"/>
          <w:b w:val="0"/>
          <w:i w:val="0"/>
          <w:color w:val="1A1A1A"/>
          <w:sz w:val="20"/>
        </w:rPr>
        <w:t>Program owners and IDs go directly to Designer. HubSpot plays no role in triggering Designer’s workflow.</w:t>
      </w:r>
    </w:p>
    <w:p>
      <w:pPr>
        <w:spacing w:before="0" w:after="72" w:line="264" w:lineRule="auto"/>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80" w:after="50"/>
        <w:keepNext w:val="1"/>
        <w:pBdr>
          <w:bottom w:val="single" w:sz="4" w:space="1" w:color="136945"/>
        </w:pBdr>
      </w:pPr>
      <w:r>
        <w:rPr>
          <w:rFonts w:ascii="Calibri" w:hAnsi="Calibri"/>
          <w:b/>
          <w:i w:val="0"/>
          <w:color w:val="136945"/>
          <w:sz w:val="26"/>
        </w:rPr>
        <w:t>Recommendations &amp; open decisions</w:t>
      </w:r>
    </w:p>
    <w:p>
      <w:pPr>
        <w:spacing w:before="140" w:after="40"/>
        <w:keepNext w:val="1"/>
      </w:pPr>
      <w:r>
        <w:rPr>
          <w:rFonts w:ascii="Calibri" w:hAnsi="Calibri"/>
          <w:b/>
          <w:i w:val="0"/>
          <w:color w:val="136945"/>
          <w:sz w:val="22"/>
        </w:rPr>
        <w:t>What we are recommending</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40" w:after="40"/>
        <w:keepNext w:val="1"/>
      </w:pPr>
      <w:r>
        <w:rPr>
          <w:rFonts w:ascii="Calibri" w:hAnsi="Calibri"/>
          <w:b/>
          <w:i w:val="0"/>
          <w:color w:val="136945"/>
          <w:sz w:val="22"/>
        </w:rPr>
        <w:t>Decisions required from RevOps and Marketing</w:t>
      </w:r>
    </w:p>
    <w:p>
      <w:pPr>
        <w:spacing w:before="0" w:after="72" w:line="264" w:lineRule="auto"/>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38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59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