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val="0"/>
          <w:color w:val="606060"/>
          <w:sz w:val="20"/>
        </w:rPr>
        <w:t>Executive Leadership Team Brief</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160" w:hanging="160"/>
      </w:pPr>
      <w:r>
        <w:rPr>
          <w:rFonts w:ascii="Calibri" w:hAnsi="Calibri"/>
          <w:color w:val="1A1A1A"/>
          <w:sz w:val="14"/>
        </w:rPr>
        <w:t xml:space="preserve">• </w:t>
      </w:r>
      <w:r>
        <w:rPr>
          <w:rFonts w:ascii="Calibri" w:hAnsi="Calibri"/>
          <w:b w:val="0"/>
          <w:i w:val="0"/>
          <w:color w:val="1A1A1A"/>
          <w:sz w:val="20"/>
        </w:rPr>
        <w:t>Identifying companies in our ICP</w:t>
      </w:r>
    </w:p>
    <w:p>
      <w:pPr>
        <w:spacing w:before="0" w:after="40"/>
        <w:ind w:left="160" w:hanging="160"/>
      </w:pPr>
      <w:r>
        <w:rPr>
          <w:rFonts w:ascii="Calibri" w:hAnsi="Calibri"/>
          <w:color w:val="1A1A1A"/>
          <w:sz w:val="14"/>
        </w:rPr>
        <w:t xml:space="preserve">• </w:t>
      </w:r>
      <w:r>
        <w:rPr>
          <w:rFonts w:ascii="Calibri" w:hAnsi="Calibri"/>
          <w:b w:val="0"/>
          <w:i w:val="0"/>
          <w:color w:val="1A1A1A"/>
          <w:sz w:val="20"/>
        </w:rPr>
        <w:t>Proving labability and lab impact</w:t>
      </w:r>
    </w:p>
    <w:p>
      <w:pPr>
        <w:spacing w:before="0" w:after="60"/>
        <w:ind w:left="160" w:hanging="160"/>
      </w:pPr>
      <w:r>
        <w:rPr>
          <w:rFonts w:ascii="Calibri" w:hAnsi="Calibri"/>
          <w:color w:val="1A1A1A"/>
          <w:sz w:val="14"/>
        </w:rPr>
        <w:t xml:space="preserve">• </w:t>
      </w: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20" w:after="40"/>
      </w:pPr>
      <w:r>
        <w:rPr>
          <w:rFonts w:ascii="Calibri" w:hAnsi="Calibri"/>
          <w:b/>
          <w:i w:val="0"/>
          <w:color w:val="136945"/>
          <w:sz w:val="26"/>
        </w:rPr>
        <w:t>Three challenges. Three tools. One platform.</w:t>
      </w:r>
    </w:p>
    <w:p>
      <w:pPr>
        <w:spacing w:before="0" w:after="60"/>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Closing the adoption gap</w:t>
      </w:r>
    </w:p>
    <w:p>
      <w:pPr>
        <w:spacing w:before="0" w:after="60"/>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60"/>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80" w:after="80"/>
      </w:pPr>
      <w:r>
        <w:rPr>
          <w:rFonts w:ascii="Calibri" w:hAnsi="Calibri"/>
          <w:b/>
          <w:i w:val="0"/>
          <w:color w:val="1A1A1A"/>
          <w:sz w:val="20"/>
        </w:rPr>
        <w:t>Designer closes that gap.</w:t>
      </w:r>
    </w:p>
    <w:p>
      <w:pPr>
        <w:spacing w:before="0" w:after="60"/>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160" w:hanging="160"/>
      </w:pPr>
      <w:r>
        <w:rPr>
          <w:rFonts w:ascii="Calibri" w:hAnsi="Calibri"/>
          <w:color w:val="1A1A1A"/>
          <w:sz w:val="14"/>
        </w:rPr>
        <w:t xml:space="preserve">• </w:t>
      </w:r>
      <w:r>
        <w:rPr>
          <w:rFonts w:ascii="Calibri" w:hAnsi="Calibri"/>
          <w:b w:val="0"/>
          <w:i w:val="0"/>
          <w:color w:val="1A1A1A"/>
          <w:sz w:val="20"/>
        </w:rPr>
        <w:t>A structured program outline</w:t>
      </w:r>
    </w:p>
    <w:p>
      <w:pPr>
        <w:spacing w:before="0" w:after="40"/>
        <w:ind w:left="160" w:hanging="160"/>
      </w:pPr>
      <w:r>
        <w:rPr>
          <w:rFonts w:ascii="Calibri" w:hAnsi="Calibri"/>
          <w:color w:val="1A1A1A"/>
          <w:sz w:val="14"/>
        </w:rPr>
        <w:t xml:space="preserve">• </w:t>
      </w:r>
      <w:r>
        <w:rPr>
          <w:rFonts w:ascii="Calibri" w:hAnsi="Calibri"/>
          <w:b w:val="0"/>
          <w:i w:val="0"/>
          <w:color w:val="1A1A1A"/>
          <w:sz w:val="20"/>
        </w:rPr>
        <w:t>Draft lab instructions for every lab in the program</w:t>
      </w:r>
    </w:p>
    <w:p>
      <w:pPr>
        <w:spacing w:before="0" w:after="40"/>
        <w:ind w:left="160" w:hanging="160"/>
      </w:pPr>
      <w:r>
        <w:rPr>
          <w:rFonts w:ascii="Calibri" w:hAnsi="Calibri"/>
          <w:color w:val="1A1A1A"/>
          <w:sz w:val="14"/>
        </w:rPr>
        <w:t xml:space="preserve">• </w:t>
      </w:r>
      <w:r>
        <w:rPr>
          <w:rFonts w:ascii="Calibri" w:hAnsi="Calibri"/>
          <w:b w:val="0"/>
          <w:i w:val="0"/>
          <w:color w:val="1A1A1A"/>
          <w:sz w:val="20"/>
        </w:rPr>
        <w:t>Learner activities for progress tracking</w:t>
      </w:r>
    </w:p>
    <w:p>
      <w:pPr>
        <w:spacing w:before="0" w:after="60"/>
        <w:ind w:left="160" w:hanging="160"/>
      </w:pPr>
      <w:r>
        <w:rPr>
          <w:rFonts w:ascii="Calibri" w:hAnsi="Calibri"/>
          <w:color w:val="1A1A1A"/>
          <w:sz w:val="14"/>
        </w:rPr>
        <w:t xml:space="preserve">• </w:t>
      </w:r>
      <w:r>
        <w:rPr>
          <w:rFonts w:ascii="Calibri" w:hAnsi="Calibri"/>
          <w:b w:val="0"/>
          <w:i w:val="0"/>
          <w:color w:val="1A1A1A"/>
          <w:sz w:val="20"/>
        </w:rPr>
        <w:t>Scoring methodology recommendations</w:t>
      </w:r>
    </w:p>
    <w:p>
      <w:pPr>
        <w:spacing w:before="0" w:after="60"/>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00" w:after="30"/>
      </w:pPr>
      <w:r>
        <w:rPr>
          <w:rFonts w:ascii="Calibri" w:hAnsi="Calibri"/>
          <w:b/>
          <w:i w:val="0"/>
          <w:color w:val="136945"/>
          <w:sz w:val="22"/>
        </w:rPr>
        <w:t>Inspector: Proving labability and impact</w:t>
      </w:r>
    </w:p>
    <w:p>
      <w:pPr>
        <w:spacing w:before="0" w:after="60"/>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80" w:after="80"/>
      </w:pPr>
      <w:r>
        <w:rPr>
          <w:rFonts w:ascii="Calibri" w:hAnsi="Calibri"/>
          <w:b/>
          <w:i w:val="0"/>
          <w:color w:val="1A1A1A"/>
          <w:sz w:val="20"/>
        </w:rPr>
        <w:t>Inspector proves labability and impact.</w:t>
      </w:r>
    </w:p>
    <w:p>
      <w:pPr>
        <w:spacing w:before="0" w:after="60"/>
      </w:pPr>
      <w:r>
        <w:rPr>
          <w:rFonts w:ascii="Calibri" w:hAnsi="Calibri"/>
          <w:b w:val="0"/>
          <w:i w:val="0"/>
          <w:color w:val="1A1A1A"/>
          <w:sz w:val="20"/>
        </w:rPr>
        <w:t>Inspector performs a deep product-level analysis of a specific company.</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160" w:hanging="160"/>
      </w:pPr>
      <w:r>
        <w:rPr>
          <w:rFonts w:ascii="Calibri" w:hAnsi="Calibri"/>
          <w:color w:val="1A1A1A"/>
          <w:sz w:val="14"/>
        </w:rPr>
        <w:t xml:space="preserve">• </w:t>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60"/>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00" w:after="30"/>
      </w:pPr>
      <w:r>
        <w:rPr>
          <w:rFonts w:ascii="Calibri" w:hAnsi="Calibri"/>
          <w:b/>
          <w:i w:val="0"/>
          <w:color w:val="136945"/>
          <w:sz w:val="22"/>
        </w:rPr>
        <w:t>Prospector: Finding the right companies</w:t>
      </w:r>
    </w:p>
    <w:p>
      <w:pPr>
        <w:spacing w:before="0" w:after="60"/>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160" w:hanging="160"/>
      </w:pPr>
      <w:r>
        <w:rPr>
          <w:rFonts w:ascii="Calibri" w:hAnsi="Calibri"/>
          <w:color w:val="1A1A1A"/>
          <w:sz w:val="14"/>
        </w:rPr>
        <w:t xml:space="preserve">• </w:t>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60"/>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160" w:hanging="160"/>
      </w:pPr>
      <w:r>
        <w:rPr>
          <w:rFonts w:ascii="Calibri" w:hAnsi="Calibri"/>
          <w:color w:val="1A1A1A"/>
          <w:sz w:val="14"/>
        </w:rPr>
        <w:t xml:space="preserve">• </w:t>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60"/>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80" w:after="80"/>
      </w:pPr>
      <w:r>
        <w:rPr>
          <w:rFonts w:ascii="Calibri" w:hAnsi="Calibri"/>
          <w:b/>
          <w:i w:val="0"/>
          <w:color w:val="1A1A1A"/>
          <w:sz w:val="20"/>
        </w:rPr>
        <w:t>Prospector finds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60"/>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0" w:after="0"/>
      </w:pPr>
      <w:r>
        <w:br w:type="page"/>
      </w:r>
    </w:p>
    <w:p>
      <w:pPr>
        <w:spacing w:before="120" w:after="40"/>
      </w:pPr>
      <w:r>
        <w:rPr>
          <w:rFonts w:ascii="Calibri" w:hAnsi="Calibri"/>
          <w:b/>
          <w:i w:val="0"/>
          <w:color w:val="136945"/>
          <w:sz w:val="26"/>
        </w:rPr>
        <w:t>Surfacing the data. Right place. Right time. Right context.</w:t>
      </w:r>
    </w:p>
    <w:p>
      <w:pPr>
        <w:spacing w:before="0" w:after="60"/>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00" w:after="30"/>
      </w:pPr>
      <w:r>
        <w:rPr>
          <w:rFonts w:ascii="Calibri" w:hAnsi="Calibri"/>
          <w:b/>
          <w:i w:val="0"/>
          <w:color w:val="136945"/>
          <w:sz w:val="22"/>
        </w:rPr>
        <w:t>Prospector ↔ HubSpot: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Seller and SE-driven</w:t>
      </w:r>
    </w:p>
    <w:p>
      <w:pPr>
        <w:spacing w:before="0" w:after="60"/>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60"/>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&amp; open decisions</w:t>
      </w:r>
    </w:p>
    <w:p>
      <w:pPr>
        <w:spacing w:before="100" w:after="30"/>
      </w:pPr>
      <w:r>
        <w:rPr>
          <w:rFonts w:ascii="Calibri" w:hAnsi="Calibri"/>
          <w:b/>
          <w:i w:val="0"/>
          <w:color w:val="136945"/>
          <w:sz w:val="22"/>
        </w:rPr>
        <w:t>What we are recommending</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160" w:hanging="160"/>
      </w:pPr>
      <w:r>
        <w:rPr>
          <w:rFonts w:ascii="Calibri" w:hAnsi="Calibri"/>
          <w:color w:val="1A1A1A"/>
          <w:sz w:val="14"/>
        </w:rPr>
        <w:t xml:space="preserve">• </w:t>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160" w:hanging="160"/>
      </w:pPr>
      <w:r>
        <w:rPr>
          <w:rFonts w:ascii="Calibri" w:hAnsi="Calibri"/>
          <w:color w:val="1A1A1A"/>
          <w:sz w:val="14"/>
        </w:rPr>
        <w:t xml:space="preserve">• </w:t>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