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de test — Corpus RAG</w:t>
      </w:r>
    </w:p>
    <w:p>
      <w:pPr>
        <w:pStyle w:val="Heading2"/>
      </w:pPr>
      <w:r>
        <w:t>Exemple .docx pour le pipeline d'ingestion</w:t>
      </w:r>
    </w:p>
    <w:p>
      <w:r>
        <w:t>Ce document Word est généré automatiquement pour alimenter le corpus de test du pipeline RAG. Il complète les PDF déjà présents dans le dossier corpus_tp en proposant un format bureautique courant, avec un mélange de prose et de tableaux.</w:t>
      </w:r>
    </w:p>
    <w:p>
      <w:r>
        <w:t>L'objectif est de valider la chaîne d'extraction sur des documents .docx : préservation de la structure des titres, extraction correcte des tableaux et conservation du texte courant.</w:t>
      </w:r>
    </w:p>
    <w:p>
      <w:pPr>
        <w:pStyle w:val="Heading1"/>
      </w:pPr>
      <w:r>
        <w:t>1. Métadonnées du document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34495E"/>
            <w:vAlign w:val="center"/>
          </w:tcPr>
          <w:p>
            <w:pPr>
              <w:jc w:val="center"/>
            </w:pPr>
            <w:r/>
            <w:r>
              <w:rPr>
                <w:b/>
                <w:color w:val="FFFFFF"/>
                <w:sz w:val="20"/>
              </w:rPr>
              <w:t>Champ</w:t>
            </w:r>
          </w:p>
        </w:tc>
        <w:tc>
          <w:tcPr>
            <w:tcW w:type="dxa" w:w="4986"/>
            <w:shd w:val="clear" w:color="auto" w:fill="34495E"/>
            <w:vAlign w:val="center"/>
          </w:tcPr>
          <w:p>
            <w:pPr>
              <w:jc w:val="center"/>
            </w:pPr>
            <w:r/>
            <w:r>
              <w:rPr>
                <w:b/>
                <w:color w:val="FFFFFF"/>
                <w:sz w:val="20"/>
              </w:rPr>
              <w:t>Valeur</w:t>
            </w:r>
          </w:p>
        </w:tc>
      </w:tr>
      <w:tr>
        <w:tc>
          <w:tcPr>
            <w:tcW w:type="dxa" w:w="4986"/>
            <w:vAlign w:val="center"/>
          </w:tcPr>
          <w:p>
            <w:r/>
            <w:r>
              <w:rPr>
                <w:sz w:val="20"/>
              </w:rPr>
              <w:t>Titre</w:t>
            </w:r>
          </w:p>
        </w:tc>
        <w:tc>
          <w:tcPr>
            <w:tcW w:type="dxa" w:w="4986"/>
            <w:vAlign w:val="center"/>
          </w:tcPr>
          <w:p>
            <w:r/>
            <w:r>
              <w:rPr>
                <w:sz w:val="20"/>
              </w:rPr>
              <w:t>Document de test — Corpus RAG</w:t>
            </w:r>
          </w:p>
        </w:tc>
      </w:tr>
      <w:tr>
        <w:tc>
          <w:tcPr>
            <w:tcW w:type="dxa" w:w="4986"/>
            <w:shd w:val="clear" w:color="auto" w:fill="ECF0F1"/>
            <w:vAlign w:val="center"/>
          </w:tcPr>
          <w:p>
            <w:r/>
            <w:r>
              <w:rPr>
                <w:sz w:val="20"/>
              </w:rPr>
              <w:t>Version</w:t>
            </w:r>
          </w:p>
        </w:tc>
        <w:tc>
          <w:tcPr>
            <w:tcW w:type="dxa" w:w="4986"/>
            <w:shd w:val="clear" w:color="auto" w:fill="ECF0F1"/>
            <w:vAlign w:val="center"/>
          </w:tcPr>
          <w:p>
            <w:r/>
            <w:r>
              <w:rPr>
                <w:sz w:val="20"/>
              </w:rPr>
              <w:t>1.0</w:t>
            </w:r>
          </w:p>
        </w:tc>
      </w:tr>
      <w:tr>
        <w:tc>
          <w:tcPr>
            <w:tcW w:type="dxa" w:w="4986"/>
            <w:vAlign w:val="center"/>
          </w:tcPr>
          <w:p>
            <w:r/>
            <w:r>
              <w:rPr>
                <w:sz w:val="20"/>
              </w:rPr>
              <w:t>Date</w:t>
            </w:r>
          </w:p>
        </w:tc>
        <w:tc>
          <w:tcPr>
            <w:tcW w:type="dxa" w:w="4986"/>
            <w:vAlign w:val="center"/>
          </w:tcPr>
          <w:p>
            <w:r/>
            <w:r>
              <w:rPr>
                <w:sz w:val="20"/>
              </w:rPr>
              <w:t>22 mai 2026</w:t>
            </w:r>
          </w:p>
        </w:tc>
      </w:tr>
      <w:tr>
        <w:tc>
          <w:tcPr>
            <w:tcW w:type="dxa" w:w="4986"/>
            <w:shd w:val="clear" w:color="auto" w:fill="ECF0F1"/>
            <w:vAlign w:val="center"/>
          </w:tcPr>
          <w:p>
            <w:r/>
            <w:r>
              <w:rPr>
                <w:sz w:val="20"/>
              </w:rPr>
              <w:t>Format</w:t>
            </w:r>
          </w:p>
        </w:tc>
        <w:tc>
          <w:tcPr>
            <w:tcW w:type="dxa" w:w="4986"/>
            <w:shd w:val="clear" w:color="auto" w:fill="ECF0F1"/>
            <w:vAlign w:val="center"/>
          </w:tcPr>
          <w:p>
            <w:r/>
            <w:r>
              <w:rPr>
                <w:sz w:val="20"/>
              </w:rPr>
              <w:t>Microsoft Word (.docx, Office Open XML)</w:t>
            </w:r>
          </w:p>
        </w:tc>
      </w:tr>
      <w:tr>
        <w:tc>
          <w:tcPr>
            <w:tcW w:type="dxa" w:w="4986"/>
            <w:vAlign w:val="center"/>
          </w:tcPr>
          <w:p>
            <w:r/>
            <w:r>
              <w:rPr>
                <w:sz w:val="20"/>
              </w:rPr>
              <w:t>Langue</w:t>
            </w:r>
          </w:p>
        </w:tc>
        <w:tc>
          <w:tcPr>
            <w:tcW w:type="dxa" w:w="4986"/>
            <w:vAlign w:val="center"/>
          </w:tcPr>
          <w:p>
            <w:r/>
            <w:r>
              <w:rPr>
                <w:sz w:val="20"/>
              </w:rPr>
              <w:t>Français</w:t>
            </w:r>
          </w:p>
        </w:tc>
      </w:tr>
      <w:tr>
        <w:tc>
          <w:tcPr>
            <w:tcW w:type="dxa" w:w="4986"/>
            <w:shd w:val="clear" w:color="auto" w:fill="ECF0F1"/>
            <w:vAlign w:val="center"/>
          </w:tcPr>
          <w:p>
            <w:r/>
            <w:r>
              <w:rPr>
                <w:sz w:val="20"/>
              </w:rPr>
              <w:t>Auteur</w:t>
            </w:r>
          </w:p>
        </w:tc>
        <w:tc>
          <w:tcPr>
            <w:tcW w:type="dxa" w:w="4986"/>
            <w:shd w:val="clear" w:color="auto" w:fill="ECF0F1"/>
            <w:vAlign w:val="center"/>
          </w:tcPr>
          <w:p>
            <w:r/>
            <w:r>
              <w:rPr>
                <w:sz w:val="20"/>
              </w:rPr>
              <w:t>Formation RAG Groupama</w:t>
            </w:r>
          </w:p>
        </w:tc>
      </w:tr>
    </w:tbl>
    <w:p/>
    <w:p>
      <w:pPr>
        <w:pStyle w:val="Heading1"/>
      </w:pPr>
      <w:r>
        <w:t>2. Bilan comptable simplifié</w:t>
      </w:r>
    </w:p>
    <w:p>
      <w:r>
        <w:t>Présentation simplifiée du bilan d'une compagnie d'assurance fictive au 31 décembre 2025. Montants en milliers d'euros.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34495E"/>
            <w:vAlign w:val="center"/>
          </w:tcPr>
          <w:p>
            <w:pPr>
              <w:jc w:val="center"/>
            </w:pPr>
            <w:r/>
            <w:r>
              <w:rPr>
                <w:b/>
                <w:color w:val="FFFFFF"/>
                <w:sz w:val="20"/>
              </w:rPr>
              <w:t>Poste</w:t>
            </w:r>
          </w:p>
        </w:tc>
        <w:tc>
          <w:tcPr>
            <w:tcW w:type="dxa" w:w="2493"/>
            <w:shd w:val="clear" w:color="auto" w:fill="34495E"/>
            <w:vAlign w:val="center"/>
          </w:tcPr>
          <w:p>
            <w:pPr>
              <w:jc w:val="center"/>
            </w:pPr>
            <w:r/>
            <w:r>
              <w:rPr>
                <w:b/>
                <w:color w:val="FFFFFF"/>
                <w:sz w:val="20"/>
              </w:rPr>
              <w:t>2024 (k€)</w:t>
            </w:r>
          </w:p>
        </w:tc>
        <w:tc>
          <w:tcPr>
            <w:tcW w:type="dxa" w:w="2493"/>
            <w:shd w:val="clear" w:color="auto" w:fill="34495E"/>
            <w:vAlign w:val="center"/>
          </w:tcPr>
          <w:p>
            <w:pPr>
              <w:jc w:val="center"/>
            </w:pPr>
            <w:r/>
            <w:r>
              <w:rPr>
                <w:b/>
                <w:color w:val="FFFFFF"/>
                <w:sz w:val="20"/>
              </w:rPr>
              <w:t>2025 (k€)</w:t>
            </w:r>
          </w:p>
        </w:tc>
        <w:tc>
          <w:tcPr>
            <w:tcW w:type="dxa" w:w="2493"/>
            <w:shd w:val="clear" w:color="auto" w:fill="34495E"/>
            <w:vAlign w:val="center"/>
          </w:tcPr>
          <w:p>
            <w:pPr>
              <w:jc w:val="center"/>
            </w:pPr>
            <w:r/>
            <w:r>
              <w:rPr>
                <w:b/>
                <w:color w:val="FFFFFF"/>
                <w:sz w:val="20"/>
              </w:rPr>
              <w:t>Variation</w:t>
            </w:r>
          </w:p>
        </w:tc>
      </w:tr>
      <w:tr>
        <w:tc>
          <w:tcPr>
            <w:tcW w:type="dxa" w:w="2493"/>
            <w:vAlign w:val="center"/>
          </w:tcPr>
          <w:p>
            <w:r/>
            <w:r>
              <w:rPr>
                <w:sz w:val="20"/>
              </w:rPr>
              <w:t>Immobilisations incorporelles</w:t>
            </w:r>
          </w:p>
        </w:tc>
        <w:tc>
          <w:tcPr>
            <w:tcW w:type="dxa" w:w="2493"/>
            <w:vAlign w:val="center"/>
          </w:tcPr>
          <w:p>
            <w:r/>
            <w:r>
              <w:rPr>
                <w:sz w:val="20"/>
              </w:rPr>
              <w:t>12 450</w:t>
            </w:r>
          </w:p>
        </w:tc>
        <w:tc>
          <w:tcPr>
            <w:tcW w:type="dxa" w:w="2493"/>
            <w:vAlign w:val="center"/>
          </w:tcPr>
          <w:p>
            <w:r/>
            <w:r>
              <w:rPr>
                <w:sz w:val="20"/>
              </w:rPr>
              <w:t>13 820</w:t>
            </w:r>
          </w:p>
        </w:tc>
        <w:tc>
          <w:tcPr>
            <w:tcW w:type="dxa" w:w="2493"/>
            <w:vAlign w:val="center"/>
          </w:tcPr>
          <w:p>
            <w:r/>
            <w:r>
              <w:rPr>
                <w:sz w:val="20"/>
              </w:rPr>
              <w:t>+11,0 %</w:t>
            </w:r>
          </w:p>
        </w:tc>
      </w:tr>
      <w:tr>
        <w:tc>
          <w:tcPr>
            <w:tcW w:type="dxa" w:w="2493"/>
            <w:shd w:val="clear" w:color="auto" w:fill="ECF0F1"/>
            <w:vAlign w:val="center"/>
          </w:tcPr>
          <w:p>
            <w:r/>
            <w:r>
              <w:rPr>
                <w:sz w:val="20"/>
              </w:rPr>
              <w:t>Immobilisations corporelles</w:t>
            </w:r>
          </w:p>
        </w:tc>
        <w:tc>
          <w:tcPr>
            <w:tcW w:type="dxa" w:w="2493"/>
            <w:shd w:val="clear" w:color="auto" w:fill="ECF0F1"/>
            <w:vAlign w:val="center"/>
          </w:tcPr>
          <w:p>
            <w:r/>
            <w:r>
              <w:rPr>
                <w:sz w:val="20"/>
              </w:rPr>
              <w:t>84 300</w:t>
            </w:r>
          </w:p>
        </w:tc>
        <w:tc>
          <w:tcPr>
            <w:tcW w:type="dxa" w:w="2493"/>
            <w:shd w:val="clear" w:color="auto" w:fill="ECF0F1"/>
            <w:vAlign w:val="center"/>
          </w:tcPr>
          <w:p>
            <w:r/>
            <w:r>
              <w:rPr>
                <w:sz w:val="20"/>
              </w:rPr>
              <w:t>86 100</w:t>
            </w:r>
          </w:p>
        </w:tc>
        <w:tc>
          <w:tcPr>
            <w:tcW w:type="dxa" w:w="2493"/>
            <w:shd w:val="clear" w:color="auto" w:fill="ECF0F1"/>
            <w:vAlign w:val="center"/>
          </w:tcPr>
          <w:p>
            <w:r/>
            <w:r>
              <w:rPr>
                <w:sz w:val="20"/>
              </w:rPr>
              <w:t>+2,1 %</w:t>
            </w:r>
          </w:p>
        </w:tc>
      </w:tr>
      <w:tr>
        <w:tc>
          <w:tcPr>
            <w:tcW w:type="dxa" w:w="2493"/>
            <w:vAlign w:val="center"/>
          </w:tcPr>
          <w:p>
            <w:r/>
            <w:r>
              <w:rPr>
                <w:sz w:val="20"/>
              </w:rPr>
              <w:t>Placements financiers</w:t>
            </w:r>
          </w:p>
        </w:tc>
        <w:tc>
          <w:tcPr>
            <w:tcW w:type="dxa" w:w="2493"/>
            <w:vAlign w:val="center"/>
          </w:tcPr>
          <w:p>
            <w:r/>
            <w:r>
              <w:rPr>
                <w:sz w:val="20"/>
              </w:rPr>
              <w:t>1 245 600</w:t>
            </w:r>
          </w:p>
        </w:tc>
        <w:tc>
          <w:tcPr>
            <w:tcW w:type="dxa" w:w="2493"/>
            <w:vAlign w:val="center"/>
          </w:tcPr>
          <w:p>
            <w:r/>
            <w:r>
              <w:rPr>
                <w:sz w:val="20"/>
              </w:rPr>
              <w:t>1 312 400</w:t>
            </w:r>
          </w:p>
        </w:tc>
        <w:tc>
          <w:tcPr>
            <w:tcW w:type="dxa" w:w="2493"/>
            <w:vAlign w:val="center"/>
          </w:tcPr>
          <w:p>
            <w:r/>
            <w:r>
              <w:rPr>
                <w:sz w:val="20"/>
              </w:rPr>
              <w:t>+5,4 %</w:t>
            </w:r>
          </w:p>
        </w:tc>
      </w:tr>
      <w:tr>
        <w:tc>
          <w:tcPr>
            <w:tcW w:type="dxa" w:w="2493"/>
            <w:shd w:val="clear" w:color="auto" w:fill="ECF0F1"/>
            <w:vAlign w:val="center"/>
          </w:tcPr>
          <w:p>
            <w:r/>
            <w:r>
              <w:rPr>
                <w:sz w:val="20"/>
              </w:rPr>
              <w:t>Créances</w:t>
            </w:r>
          </w:p>
        </w:tc>
        <w:tc>
          <w:tcPr>
            <w:tcW w:type="dxa" w:w="2493"/>
            <w:shd w:val="clear" w:color="auto" w:fill="ECF0F1"/>
            <w:vAlign w:val="center"/>
          </w:tcPr>
          <w:p>
            <w:r/>
            <w:r>
              <w:rPr>
                <w:sz w:val="20"/>
              </w:rPr>
              <w:t>76 200</w:t>
            </w:r>
          </w:p>
        </w:tc>
        <w:tc>
          <w:tcPr>
            <w:tcW w:type="dxa" w:w="2493"/>
            <w:shd w:val="clear" w:color="auto" w:fill="ECF0F1"/>
            <w:vAlign w:val="center"/>
          </w:tcPr>
          <w:p>
            <w:r/>
            <w:r>
              <w:rPr>
                <w:sz w:val="20"/>
              </w:rPr>
              <w:t>82 050</w:t>
            </w:r>
          </w:p>
        </w:tc>
        <w:tc>
          <w:tcPr>
            <w:tcW w:type="dxa" w:w="2493"/>
            <w:shd w:val="clear" w:color="auto" w:fill="ECF0F1"/>
            <w:vAlign w:val="center"/>
          </w:tcPr>
          <w:p>
            <w:r/>
            <w:r>
              <w:rPr>
                <w:sz w:val="20"/>
              </w:rPr>
              <w:t>+7,7 %</w:t>
            </w:r>
          </w:p>
        </w:tc>
      </w:tr>
      <w:tr>
        <w:tc>
          <w:tcPr>
            <w:tcW w:type="dxa" w:w="2493"/>
            <w:vAlign w:val="center"/>
          </w:tcPr>
          <w:p>
            <w:r/>
            <w:r>
              <w:rPr>
                <w:sz w:val="20"/>
              </w:rPr>
              <w:t>Disponibilités</w:t>
            </w:r>
          </w:p>
        </w:tc>
        <w:tc>
          <w:tcPr>
            <w:tcW w:type="dxa" w:w="2493"/>
            <w:vAlign w:val="center"/>
          </w:tcPr>
          <w:p>
            <w:r/>
            <w:r>
              <w:rPr>
                <w:sz w:val="20"/>
              </w:rPr>
              <w:t>42 800</w:t>
            </w:r>
          </w:p>
        </w:tc>
        <w:tc>
          <w:tcPr>
            <w:tcW w:type="dxa" w:w="2493"/>
            <w:vAlign w:val="center"/>
          </w:tcPr>
          <w:p>
            <w:r/>
            <w:r>
              <w:rPr>
                <w:sz w:val="20"/>
              </w:rPr>
              <w:t>38 900</w:t>
            </w:r>
          </w:p>
        </w:tc>
        <w:tc>
          <w:tcPr>
            <w:tcW w:type="dxa" w:w="2493"/>
            <w:vAlign w:val="center"/>
          </w:tcPr>
          <w:p>
            <w:r/>
            <w:r>
              <w:rPr>
                <w:sz w:val="20"/>
              </w:rPr>
              <w:t>-9,1 %</w:t>
            </w:r>
          </w:p>
        </w:tc>
      </w:tr>
      <w:tr>
        <w:tc>
          <w:tcPr>
            <w:tcW w:type="dxa" w:w="2493"/>
            <w:shd w:val="clear" w:color="auto" w:fill="ECF0F1"/>
            <w:vAlign w:val="center"/>
          </w:tcPr>
          <w:p>
            <w:r/>
            <w:r>
              <w:rPr>
                <w:sz w:val="20"/>
              </w:rPr>
              <w:t>Total actif</w:t>
            </w:r>
          </w:p>
        </w:tc>
        <w:tc>
          <w:tcPr>
            <w:tcW w:type="dxa" w:w="2493"/>
            <w:shd w:val="clear" w:color="auto" w:fill="ECF0F1"/>
            <w:vAlign w:val="center"/>
          </w:tcPr>
          <w:p>
            <w:r/>
            <w:r>
              <w:rPr>
                <w:sz w:val="20"/>
              </w:rPr>
              <w:t>1 461 350</w:t>
            </w:r>
          </w:p>
        </w:tc>
        <w:tc>
          <w:tcPr>
            <w:tcW w:type="dxa" w:w="2493"/>
            <w:shd w:val="clear" w:color="auto" w:fill="ECF0F1"/>
            <w:vAlign w:val="center"/>
          </w:tcPr>
          <w:p>
            <w:r/>
            <w:r>
              <w:rPr>
                <w:sz w:val="20"/>
              </w:rPr>
              <w:t>1 533 270</w:t>
            </w:r>
          </w:p>
        </w:tc>
        <w:tc>
          <w:tcPr>
            <w:tcW w:type="dxa" w:w="2493"/>
            <w:shd w:val="clear" w:color="auto" w:fill="ECF0F1"/>
            <w:vAlign w:val="center"/>
          </w:tcPr>
          <w:p>
            <w:r/>
            <w:r>
              <w:rPr>
                <w:sz w:val="20"/>
              </w:rPr>
              <w:t>+4,9 %</w:t>
            </w:r>
          </w:p>
        </w:tc>
      </w:tr>
      <w:tr>
        <w:tc>
          <w:tcPr>
            <w:tcW w:type="dxa" w:w="2493"/>
            <w:vAlign w:val="center"/>
          </w:tcPr>
          <w:p>
            <w:r/>
            <w:r>
              <w:rPr>
                <w:sz w:val="20"/>
              </w:rPr>
              <w:t>Capitaux propres</w:t>
            </w:r>
          </w:p>
        </w:tc>
        <w:tc>
          <w:tcPr>
            <w:tcW w:type="dxa" w:w="2493"/>
            <w:vAlign w:val="center"/>
          </w:tcPr>
          <w:p>
            <w:r/>
            <w:r>
              <w:rPr>
                <w:sz w:val="20"/>
              </w:rPr>
              <w:t>412 000</w:t>
            </w:r>
          </w:p>
        </w:tc>
        <w:tc>
          <w:tcPr>
            <w:tcW w:type="dxa" w:w="2493"/>
            <w:vAlign w:val="center"/>
          </w:tcPr>
          <w:p>
            <w:r/>
            <w:r>
              <w:rPr>
                <w:sz w:val="20"/>
              </w:rPr>
              <w:t>438 500</w:t>
            </w:r>
          </w:p>
        </w:tc>
        <w:tc>
          <w:tcPr>
            <w:tcW w:type="dxa" w:w="2493"/>
            <w:vAlign w:val="center"/>
          </w:tcPr>
          <w:p>
            <w:r/>
            <w:r>
              <w:rPr>
                <w:sz w:val="20"/>
              </w:rPr>
              <w:t>+6,4 %</w:t>
            </w:r>
          </w:p>
        </w:tc>
      </w:tr>
      <w:tr>
        <w:tc>
          <w:tcPr>
            <w:tcW w:type="dxa" w:w="2493"/>
            <w:shd w:val="clear" w:color="auto" w:fill="ECF0F1"/>
            <w:vAlign w:val="center"/>
          </w:tcPr>
          <w:p>
            <w:r/>
            <w:r>
              <w:rPr>
                <w:sz w:val="20"/>
              </w:rPr>
              <w:t>Provisions techniques</w:t>
            </w:r>
          </w:p>
        </w:tc>
        <w:tc>
          <w:tcPr>
            <w:tcW w:type="dxa" w:w="2493"/>
            <w:shd w:val="clear" w:color="auto" w:fill="ECF0F1"/>
            <w:vAlign w:val="center"/>
          </w:tcPr>
          <w:p>
            <w:r/>
            <w:r>
              <w:rPr>
                <w:sz w:val="20"/>
              </w:rPr>
              <w:t>956 700</w:t>
            </w:r>
          </w:p>
        </w:tc>
        <w:tc>
          <w:tcPr>
            <w:tcW w:type="dxa" w:w="2493"/>
            <w:shd w:val="clear" w:color="auto" w:fill="ECF0F1"/>
            <w:vAlign w:val="center"/>
          </w:tcPr>
          <w:p>
            <w:r/>
            <w:r>
              <w:rPr>
                <w:sz w:val="20"/>
              </w:rPr>
              <w:t>998 200</w:t>
            </w:r>
          </w:p>
        </w:tc>
        <w:tc>
          <w:tcPr>
            <w:tcW w:type="dxa" w:w="2493"/>
            <w:shd w:val="clear" w:color="auto" w:fill="ECF0F1"/>
            <w:vAlign w:val="center"/>
          </w:tcPr>
          <w:p>
            <w:r/>
            <w:r>
              <w:rPr>
                <w:sz w:val="20"/>
              </w:rPr>
              <w:t>+4,3 %</w:t>
            </w:r>
          </w:p>
        </w:tc>
      </w:tr>
      <w:tr>
        <w:tc>
          <w:tcPr>
            <w:tcW w:type="dxa" w:w="2493"/>
            <w:vAlign w:val="center"/>
          </w:tcPr>
          <w:p>
            <w:r/>
            <w:r>
              <w:rPr>
                <w:sz w:val="20"/>
              </w:rPr>
              <w:t>Dettes</w:t>
            </w:r>
          </w:p>
        </w:tc>
        <w:tc>
          <w:tcPr>
            <w:tcW w:type="dxa" w:w="2493"/>
            <w:vAlign w:val="center"/>
          </w:tcPr>
          <w:p>
            <w:r/>
            <w:r>
              <w:rPr>
                <w:sz w:val="20"/>
              </w:rPr>
              <w:t>92 650</w:t>
            </w:r>
          </w:p>
        </w:tc>
        <w:tc>
          <w:tcPr>
            <w:tcW w:type="dxa" w:w="2493"/>
            <w:vAlign w:val="center"/>
          </w:tcPr>
          <w:p>
            <w:r/>
            <w:r>
              <w:rPr>
                <w:sz w:val="20"/>
              </w:rPr>
              <w:t>96 570</w:t>
            </w:r>
          </w:p>
        </w:tc>
        <w:tc>
          <w:tcPr>
            <w:tcW w:type="dxa" w:w="2493"/>
            <w:vAlign w:val="center"/>
          </w:tcPr>
          <w:p>
            <w:r/>
            <w:r>
              <w:rPr>
                <w:sz w:val="20"/>
              </w:rPr>
              <w:t>+4,2 %</w:t>
            </w:r>
          </w:p>
        </w:tc>
      </w:tr>
      <w:tr>
        <w:tc>
          <w:tcPr>
            <w:tcW w:type="dxa" w:w="2493"/>
            <w:shd w:val="clear" w:color="auto" w:fill="ECF0F1"/>
            <w:vAlign w:val="center"/>
          </w:tcPr>
          <w:p>
            <w:r/>
            <w:r>
              <w:rPr>
                <w:sz w:val="20"/>
              </w:rPr>
              <w:t>Total passif</w:t>
            </w:r>
          </w:p>
        </w:tc>
        <w:tc>
          <w:tcPr>
            <w:tcW w:type="dxa" w:w="2493"/>
            <w:shd w:val="clear" w:color="auto" w:fill="ECF0F1"/>
            <w:vAlign w:val="center"/>
          </w:tcPr>
          <w:p>
            <w:r/>
            <w:r>
              <w:rPr>
                <w:sz w:val="20"/>
              </w:rPr>
              <w:t>1 461 350</w:t>
            </w:r>
          </w:p>
        </w:tc>
        <w:tc>
          <w:tcPr>
            <w:tcW w:type="dxa" w:w="2493"/>
            <w:shd w:val="clear" w:color="auto" w:fill="ECF0F1"/>
            <w:vAlign w:val="center"/>
          </w:tcPr>
          <w:p>
            <w:r/>
            <w:r>
              <w:rPr>
                <w:sz w:val="20"/>
              </w:rPr>
              <w:t>1 533 270</w:t>
            </w:r>
          </w:p>
        </w:tc>
        <w:tc>
          <w:tcPr>
            <w:tcW w:type="dxa" w:w="2493"/>
            <w:shd w:val="clear" w:color="auto" w:fill="ECF0F1"/>
            <w:vAlign w:val="center"/>
          </w:tcPr>
          <w:p>
            <w:r/>
            <w:r>
              <w:rPr>
                <w:sz w:val="20"/>
              </w:rPr>
              <w:t>+4,9 %</w:t>
            </w:r>
          </w:p>
        </w:tc>
      </w:tr>
    </w:tbl>
    <w:p/>
    <w:p>
      <w:pPr>
        <w:pStyle w:val="Heading1"/>
      </w:pPr>
      <w:r>
        <w:t>3. Méthodologie de provisionnement</w:t>
      </w:r>
    </w:p>
    <w:p>
      <w:r>
        <w:t>Le provisionnement technique en assurance non-vie repose sur l'estimation des engagements futurs de l'assureur envers ses assurés. Les méthodes les plus répandues sont Chain-Ladder, Bornhuetter-Ferguson et les modèles linéaires généralisés (GLM).</w:t>
      </w:r>
    </w:p>
    <w:p>
      <w:r>
        <w:t>La méthode Chain-Ladder exploite la régularité du développement des sinistres pour projeter les paiements futurs à partir d'un triangle de liquidation. Sa simplicité en a fait un standard professionnel, malgré ses limites sur les portefeuilles atypiques.</w:t>
      </w:r>
    </w:p>
    <w:p>
      <w:r>
        <w:t>L'approche Bornhuetter-Ferguson combine Chain-Ladder et une charge ultime a priori issue de l'expérience tarifaire. Elle est particulièrement utile pour les exercices récents.</w:t>
      </w:r>
    </w:p>
    <w:p>
      <w:r>
        <w:t>Les GLM permettent de modéliser explicitement la distribution des coûts de sinistres et d'intégrer des variables explicatives. Ils sont aujourd'hui le socle des approches Solvabilité II pour le calcul du SCR non-vie.</w:t>
      </w:r>
    </w:p>
    <w:p>
      <w:pPr>
        <w:pStyle w:val="Heading1"/>
      </w:pPr>
      <w:r>
        <w:t>4. Comparatif de modèles open weights</w:t>
      </w:r>
    </w:p>
    <w:p>
      <w:r>
        <w:t>Benchmarks publics 1er trimestre 2026, modèles instruct, quantisation Q4_K_M.</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34495E"/>
            <w:vAlign w:val="center"/>
          </w:tcPr>
          <w:p>
            <w:pPr>
              <w:jc w:val="center"/>
            </w:pPr>
            <w:r/>
            <w:r>
              <w:rPr>
                <w:b/>
                <w:color w:val="FFFFFF"/>
                <w:sz w:val="20"/>
              </w:rPr>
              <w:t>Modèle</w:t>
            </w:r>
          </w:p>
        </w:tc>
        <w:tc>
          <w:tcPr>
            <w:tcW w:type="dxa" w:w="1662"/>
            <w:shd w:val="clear" w:color="auto" w:fill="34495E"/>
            <w:vAlign w:val="center"/>
          </w:tcPr>
          <w:p>
            <w:pPr>
              <w:jc w:val="center"/>
            </w:pPr>
            <w:r/>
            <w:r>
              <w:rPr>
                <w:b/>
                <w:color w:val="FFFFFF"/>
                <w:sz w:val="20"/>
              </w:rPr>
              <w:t>Paramètres</w:t>
            </w:r>
          </w:p>
        </w:tc>
        <w:tc>
          <w:tcPr>
            <w:tcW w:type="dxa" w:w="1662"/>
            <w:shd w:val="clear" w:color="auto" w:fill="34495E"/>
            <w:vAlign w:val="center"/>
          </w:tcPr>
          <w:p>
            <w:pPr>
              <w:jc w:val="center"/>
            </w:pPr>
            <w:r/>
            <w:r>
              <w:rPr>
                <w:b/>
                <w:color w:val="FFFFFF"/>
                <w:sz w:val="20"/>
              </w:rPr>
              <w:t>Context</w:t>
            </w:r>
          </w:p>
        </w:tc>
        <w:tc>
          <w:tcPr>
            <w:tcW w:type="dxa" w:w="1662"/>
            <w:shd w:val="clear" w:color="auto" w:fill="34495E"/>
            <w:vAlign w:val="center"/>
          </w:tcPr>
          <w:p>
            <w:pPr>
              <w:jc w:val="center"/>
            </w:pPr>
            <w:r/>
            <w:r>
              <w:rPr>
                <w:b/>
                <w:color w:val="FFFFFF"/>
                <w:sz w:val="20"/>
              </w:rPr>
              <w:t>MMLU</w:t>
            </w:r>
          </w:p>
        </w:tc>
        <w:tc>
          <w:tcPr>
            <w:tcW w:type="dxa" w:w="1662"/>
            <w:shd w:val="clear" w:color="auto" w:fill="34495E"/>
            <w:vAlign w:val="center"/>
          </w:tcPr>
          <w:p>
            <w:pPr>
              <w:jc w:val="center"/>
            </w:pPr>
            <w:r/>
            <w:r>
              <w:rPr>
                <w:b/>
                <w:color w:val="FFFFFF"/>
                <w:sz w:val="20"/>
              </w:rPr>
              <w:t>MT-Bench</w:t>
            </w:r>
          </w:p>
        </w:tc>
        <w:tc>
          <w:tcPr>
            <w:tcW w:type="dxa" w:w="1662"/>
            <w:shd w:val="clear" w:color="auto" w:fill="34495E"/>
            <w:vAlign w:val="center"/>
          </w:tcPr>
          <w:p>
            <w:pPr>
              <w:jc w:val="center"/>
            </w:pPr>
            <w:r/>
            <w:r>
              <w:rPr>
                <w:b/>
                <w:color w:val="FFFFFF"/>
                <w:sz w:val="20"/>
              </w:rPr>
              <w:t>VRAM Q4</w:t>
            </w:r>
          </w:p>
        </w:tc>
      </w:tr>
      <w:tr>
        <w:tc>
          <w:tcPr>
            <w:tcW w:type="dxa" w:w="1662"/>
            <w:vAlign w:val="center"/>
          </w:tcPr>
          <w:p>
            <w:r/>
            <w:r>
              <w:rPr>
                <w:sz w:val="20"/>
              </w:rPr>
              <w:t>Llama 3.1 8B</w:t>
            </w:r>
          </w:p>
        </w:tc>
        <w:tc>
          <w:tcPr>
            <w:tcW w:type="dxa" w:w="1662"/>
            <w:vAlign w:val="center"/>
          </w:tcPr>
          <w:p>
            <w:r/>
            <w:r>
              <w:rPr>
                <w:sz w:val="20"/>
              </w:rPr>
              <w:t>8 B</w:t>
            </w:r>
          </w:p>
        </w:tc>
        <w:tc>
          <w:tcPr>
            <w:tcW w:type="dxa" w:w="1662"/>
            <w:vAlign w:val="center"/>
          </w:tcPr>
          <w:p>
            <w:r/>
            <w:r>
              <w:rPr>
                <w:sz w:val="20"/>
              </w:rPr>
              <w:t>128k</w:t>
            </w:r>
          </w:p>
        </w:tc>
        <w:tc>
          <w:tcPr>
            <w:tcW w:type="dxa" w:w="1662"/>
            <w:vAlign w:val="center"/>
          </w:tcPr>
          <w:p>
            <w:r/>
            <w:r>
              <w:rPr>
                <w:sz w:val="20"/>
              </w:rPr>
              <w:t>68,4</w:t>
            </w:r>
          </w:p>
        </w:tc>
        <w:tc>
          <w:tcPr>
            <w:tcW w:type="dxa" w:w="1662"/>
            <w:vAlign w:val="center"/>
          </w:tcPr>
          <w:p>
            <w:r/>
            <w:r>
              <w:rPr>
                <w:sz w:val="20"/>
              </w:rPr>
              <w:t>8,1</w:t>
            </w:r>
          </w:p>
        </w:tc>
        <w:tc>
          <w:tcPr>
            <w:tcW w:type="dxa" w:w="1662"/>
            <w:vAlign w:val="center"/>
          </w:tcPr>
          <w:p>
            <w:r/>
            <w:r>
              <w:rPr>
                <w:sz w:val="20"/>
              </w:rPr>
              <w:t>6,1 Go</w:t>
            </w:r>
          </w:p>
        </w:tc>
      </w:tr>
      <w:tr>
        <w:tc>
          <w:tcPr>
            <w:tcW w:type="dxa" w:w="1662"/>
            <w:shd w:val="clear" w:color="auto" w:fill="ECF0F1"/>
            <w:vAlign w:val="center"/>
          </w:tcPr>
          <w:p>
            <w:r/>
            <w:r>
              <w:rPr>
                <w:sz w:val="20"/>
              </w:rPr>
              <w:t>Mistral 7B v0.3</w:t>
            </w:r>
          </w:p>
        </w:tc>
        <w:tc>
          <w:tcPr>
            <w:tcW w:type="dxa" w:w="1662"/>
            <w:shd w:val="clear" w:color="auto" w:fill="ECF0F1"/>
            <w:vAlign w:val="center"/>
          </w:tcPr>
          <w:p>
            <w:r/>
            <w:r>
              <w:rPr>
                <w:sz w:val="20"/>
              </w:rPr>
              <w:t>7 B</w:t>
            </w:r>
          </w:p>
        </w:tc>
        <w:tc>
          <w:tcPr>
            <w:tcW w:type="dxa" w:w="1662"/>
            <w:shd w:val="clear" w:color="auto" w:fill="ECF0F1"/>
            <w:vAlign w:val="center"/>
          </w:tcPr>
          <w:p>
            <w:r/>
            <w:r>
              <w:rPr>
                <w:sz w:val="20"/>
              </w:rPr>
              <w:t>32k</w:t>
            </w:r>
          </w:p>
        </w:tc>
        <w:tc>
          <w:tcPr>
            <w:tcW w:type="dxa" w:w="1662"/>
            <w:shd w:val="clear" w:color="auto" w:fill="ECF0F1"/>
            <w:vAlign w:val="center"/>
          </w:tcPr>
          <w:p>
            <w:r/>
            <w:r>
              <w:rPr>
                <w:sz w:val="20"/>
              </w:rPr>
              <w:t>62,5</w:t>
            </w:r>
          </w:p>
        </w:tc>
        <w:tc>
          <w:tcPr>
            <w:tcW w:type="dxa" w:w="1662"/>
            <w:shd w:val="clear" w:color="auto" w:fill="ECF0F1"/>
            <w:vAlign w:val="center"/>
          </w:tcPr>
          <w:p>
            <w:r/>
            <w:r>
              <w:rPr>
                <w:sz w:val="20"/>
              </w:rPr>
              <w:t>7,3</w:t>
            </w:r>
          </w:p>
        </w:tc>
        <w:tc>
          <w:tcPr>
            <w:tcW w:type="dxa" w:w="1662"/>
            <w:shd w:val="clear" w:color="auto" w:fill="ECF0F1"/>
            <w:vAlign w:val="center"/>
          </w:tcPr>
          <w:p>
            <w:r/>
            <w:r>
              <w:rPr>
                <w:sz w:val="20"/>
              </w:rPr>
              <w:t>5,4 Go</w:t>
            </w:r>
          </w:p>
        </w:tc>
      </w:tr>
      <w:tr>
        <w:tc>
          <w:tcPr>
            <w:tcW w:type="dxa" w:w="1662"/>
            <w:vAlign w:val="center"/>
          </w:tcPr>
          <w:p>
            <w:r/>
            <w:r>
              <w:rPr>
                <w:sz w:val="20"/>
              </w:rPr>
              <w:t>Qwen 2.5 7B</w:t>
            </w:r>
          </w:p>
        </w:tc>
        <w:tc>
          <w:tcPr>
            <w:tcW w:type="dxa" w:w="1662"/>
            <w:vAlign w:val="center"/>
          </w:tcPr>
          <w:p>
            <w:r/>
            <w:r>
              <w:rPr>
                <w:sz w:val="20"/>
              </w:rPr>
              <w:t>7 B</w:t>
            </w:r>
          </w:p>
        </w:tc>
        <w:tc>
          <w:tcPr>
            <w:tcW w:type="dxa" w:w="1662"/>
            <w:vAlign w:val="center"/>
          </w:tcPr>
          <w:p>
            <w:r/>
            <w:r>
              <w:rPr>
                <w:sz w:val="20"/>
              </w:rPr>
              <w:t>128k</w:t>
            </w:r>
          </w:p>
        </w:tc>
        <w:tc>
          <w:tcPr>
            <w:tcW w:type="dxa" w:w="1662"/>
            <w:vAlign w:val="center"/>
          </w:tcPr>
          <w:p>
            <w:r/>
            <w:r>
              <w:rPr>
                <w:sz w:val="20"/>
              </w:rPr>
              <w:t>74,2</w:t>
            </w:r>
          </w:p>
        </w:tc>
        <w:tc>
          <w:tcPr>
            <w:tcW w:type="dxa" w:w="1662"/>
            <w:vAlign w:val="center"/>
          </w:tcPr>
          <w:p>
            <w:r/>
            <w:r>
              <w:rPr>
                <w:sz w:val="20"/>
              </w:rPr>
              <w:t>8,4</w:t>
            </w:r>
          </w:p>
        </w:tc>
        <w:tc>
          <w:tcPr>
            <w:tcW w:type="dxa" w:w="1662"/>
            <w:vAlign w:val="center"/>
          </w:tcPr>
          <w:p>
            <w:r/>
            <w:r>
              <w:rPr>
                <w:sz w:val="20"/>
              </w:rPr>
              <w:t>5,8 Go</w:t>
            </w:r>
          </w:p>
        </w:tc>
      </w:tr>
      <w:tr>
        <w:tc>
          <w:tcPr>
            <w:tcW w:type="dxa" w:w="1662"/>
            <w:shd w:val="clear" w:color="auto" w:fill="ECF0F1"/>
            <w:vAlign w:val="center"/>
          </w:tcPr>
          <w:p>
            <w:r/>
            <w:r>
              <w:rPr>
                <w:sz w:val="20"/>
              </w:rPr>
              <w:t>Gemma 2 9B</w:t>
            </w:r>
          </w:p>
        </w:tc>
        <w:tc>
          <w:tcPr>
            <w:tcW w:type="dxa" w:w="1662"/>
            <w:shd w:val="clear" w:color="auto" w:fill="ECF0F1"/>
            <w:vAlign w:val="center"/>
          </w:tcPr>
          <w:p>
            <w:r/>
            <w:r>
              <w:rPr>
                <w:sz w:val="20"/>
              </w:rPr>
              <w:t>9 B</w:t>
            </w:r>
          </w:p>
        </w:tc>
        <w:tc>
          <w:tcPr>
            <w:tcW w:type="dxa" w:w="1662"/>
            <w:shd w:val="clear" w:color="auto" w:fill="ECF0F1"/>
            <w:vAlign w:val="center"/>
          </w:tcPr>
          <w:p>
            <w:r/>
            <w:r>
              <w:rPr>
                <w:sz w:val="20"/>
              </w:rPr>
              <w:t>8k</w:t>
            </w:r>
          </w:p>
        </w:tc>
        <w:tc>
          <w:tcPr>
            <w:tcW w:type="dxa" w:w="1662"/>
            <w:shd w:val="clear" w:color="auto" w:fill="ECF0F1"/>
            <w:vAlign w:val="center"/>
          </w:tcPr>
          <w:p>
            <w:r/>
            <w:r>
              <w:rPr>
                <w:sz w:val="20"/>
              </w:rPr>
              <w:t>71,3</w:t>
            </w:r>
          </w:p>
        </w:tc>
        <w:tc>
          <w:tcPr>
            <w:tcW w:type="dxa" w:w="1662"/>
            <w:shd w:val="clear" w:color="auto" w:fill="ECF0F1"/>
            <w:vAlign w:val="center"/>
          </w:tcPr>
          <w:p>
            <w:r/>
            <w:r>
              <w:rPr>
                <w:sz w:val="20"/>
              </w:rPr>
              <w:t>8,0</w:t>
            </w:r>
          </w:p>
        </w:tc>
        <w:tc>
          <w:tcPr>
            <w:tcW w:type="dxa" w:w="1662"/>
            <w:shd w:val="clear" w:color="auto" w:fill="ECF0F1"/>
            <w:vAlign w:val="center"/>
          </w:tcPr>
          <w:p>
            <w:r/>
            <w:r>
              <w:rPr>
                <w:sz w:val="20"/>
              </w:rPr>
              <w:t>6,9 Go</w:t>
            </w:r>
          </w:p>
        </w:tc>
      </w:tr>
      <w:tr>
        <w:tc>
          <w:tcPr>
            <w:tcW w:type="dxa" w:w="1662"/>
            <w:vAlign w:val="center"/>
          </w:tcPr>
          <w:p>
            <w:r/>
            <w:r>
              <w:rPr>
                <w:sz w:val="20"/>
              </w:rPr>
              <w:t>Phi-3.5 Mini</w:t>
            </w:r>
          </w:p>
        </w:tc>
        <w:tc>
          <w:tcPr>
            <w:tcW w:type="dxa" w:w="1662"/>
            <w:vAlign w:val="center"/>
          </w:tcPr>
          <w:p>
            <w:r/>
            <w:r>
              <w:rPr>
                <w:sz w:val="20"/>
              </w:rPr>
              <w:t>3,8 B</w:t>
            </w:r>
          </w:p>
        </w:tc>
        <w:tc>
          <w:tcPr>
            <w:tcW w:type="dxa" w:w="1662"/>
            <w:vAlign w:val="center"/>
          </w:tcPr>
          <w:p>
            <w:r/>
            <w:r>
              <w:rPr>
                <w:sz w:val="20"/>
              </w:rPr>
              <w:t>128k</w:t>
            </w:r>
          </w:p>
        </w:tc>
        <w:tc>
          <w:tcPr>
            <w:tcW w:type="dxa" w:w="1662"/>
            <w:vAlign w:val="center"/>
          </w:tcPr>
          <w:p>
            <w:r/>
            <w:r>
              <w:rPr>
                <w:sz w:val="20"/>
              </w:rPr>
              <w:t>69,0</w:t>
            </w:r>
          </w:p>
        </w:tc>
        <w:tc>
          <w:tcPr>
            <w:tcW w:type="dxa" w:w="1662"/>
            <w:vAlign w:val="center"/>
          </w:tcPr>
          <w:p>
            <w:r/>
            <w:r>
              <w:rPr>
                <w:sz w:val="20"/>
              </w:rPr>
              <w:t>8,3</w:t>
            </w:r>
          </w:p>
        </w:tc>
        <w:tc>
          <w:tcPr>
            <w:tcW w:type="dxa" w:w="1662"/>
            <w:vAlign w:val="center"/>
          </w:tcPr>
          <w:p>
            <w:r/>
            <w:r>
              <w:rPr>
                <w:sz w:val="20"/>
              </w:rPr>
              <w:t>2,9 Go</w:t>
            </w:r>
          </w:p>
        </w:tc>
      </w:tr>
      <w:tr>
        <w:tc>
          <w:tcPr>
            <w:tcW w:type="dxa" w:w="1662"/>
            <w:shd w:val="clear" w:color="auto" w:fill="ECF0F1"/>
            <w:vAlign w:val="center"/>
          </w:tcPr>
          <w:p>
            <w:r/>
            <w:r>
              <w:rPr>
                <w:sz w:val="20"/>
              </w:rPr>
              <w:t>Mixtral 8×7B</w:t>
            </w:r>
          </w:p>
        </w:tc>
        <w:tc>
          <w:tcPr>
            <w:tcW w:type="dxa" w:w="1662"/>
            <w:shd w:val="clear" w:color="auto" w:fill="ECF0F1"/>
            <w:vAlign w:val="center"/>
          </w:tcPr>
          <w:p>
            <w:r/>
            <w:r>
              <w:rPr>
                <w:sz w:val="20"/>
              </w:rPr>
              <w:t>47 B (MoE)</w:t>
            </w:r>
          </w:p>
        </w:tc>
        <w:tc>
          <w:tcPr>
            <w:tcW w:type="dxa" w:w="1662"/>
            <w:shd w:val="clear" w:color="auto" w:fill="ECF0F1"/>
            <w:vAlign w:val="center"/>
          </w:tcPr>
          <w:p>
            <w:r/>
            <w:r>
              <w:rPr>
                <w:sz w:val="20"/>
              </w:rPr>
              <w:t>32k</w:t>
            </w:r>
          </w:p>
        </w:tc>
        <w:tc>
          <w:tcPr>
            <w:tcW w:type="dxa" w:w="1662"/>
            <w:shd w:val="clear" w:color="auto" w:fill="ECF0F1"/>
            <w:vAlign w:val="center"/>
          </w:tcPr>
          <w:p>
            <w:r/>
            <w:r>
              <w:rPr>
                <w:sz w:val="20"/>
              </w:rPr>
              <w:t>70,6</w:t>
            </w:r>
          </w:p>
        </w:tc>
        <w:tc>
          <w:tcPr>
            <w:tcW w:type="dxa" w:w="1662"/>
            <w:shd w:val="clear" w:color="auto" w:fill="ECF0F1"/>
            <w:vAlign w:val="center"/>
          </w:tcPr>
          <w:p>
            <w:r/>
            <w:r>
              <w:rPr>
                <w:sz w:val="20"/>
              </w:rPr>
              <w:t>8,3</w:t>
            </w:r>
          </w:p>
        </w:tc>
        <w:tc>
          <w:tcPr>
            <w:tcW w:type="dxa" w:w="1662"/>
            <w:shd w:val="clear" w:color="auto" w:fill="ECF0F1"/>
            <w:vAlign w:val="center"/>
          </w:tcPr>
          <w:p>
            <w:r/>
            <w:r>
              <w:rPr>
                <w:sz w:val="20"/>
              </w:rPr>
              <w:t>26,4 Go</w:t>
            </w:r>
          </w:p>
        </w:tc>
      </w:tr>
      <w:tr>
        <w:tc>
          <w:tcPr>
            <w:tcW w:type="dxa" w:w="1662"/>
            <w:vAlign w:val="center"/>
          </w:tcPr>
          <w:p>
            <w:r/>
            <w:r>
              <w:rPr>
                <w:sz w:val="20"/>
              </w:rPr>
              <w:t>Llama 3.1 70B</w:t>
            </w:r>
          </w:p>
        </w:tc>
        <w:tc>
          <w:tcPr>
            <w:tcW w:type="dxa" w:w="1662"/>
            <w:vAlign w:val="center"/>
          </w:tcPr>
          <w:p>
            <w:r/>
            <w:r>
              <w:rPr>
                <w:sz w:val="20"/>
              </w:rPr>
              <w:t>70 B</w:t>
            </w:r>
          </w:p>
        </w:tc>
        <w:tc>
          <w:tcPr>
            <w:tcW w:type="dxa" w:w="1662"/>
            <w:vAlign w:val="center"/>
          </w:tcPr>
          <w:p>
            <w:r/>
            <w:r>
              <w:rPr>
                <w:sz w:val="20"/>
              </w:rPr>
              <w:t>128k</w:t>
            </w:r>
          </w:p>
        </w:tc>
        <w:tc>
          <w:tcPr>
            <w:tcW w:type="dxa" w:w="1662"/>
            <w:vAlign w:val="center"/>
          </w:tcPr>
          <w:p>
            <w:r/>
            <w:r>
              <w:rPr>
                <w:sz w:val="20"/>
              </w:rPr>
              <w:t>82,4</w:t>
            </w:r>
          </w:p>
        </w:tc>
        <w:tc>
          <w:tcPr>
            <w:tcW w:type="dxa" w:w="1662"/>
            <w:vAlign w:val="center"/>
          </w:tcPr>
          <w:p>
            <w:r/>
            <w:r>
              <w:rPr>
                <w:sz w:val="20"/>
              </w:rPr>
              <w:t>9,0</w:t>
            </w:r>
          </w:p>
        </w:tc>
        <w:tc>
          <w:tcPr>
            <w:tcW w:type="dxa" w:w="1662"/>
            <w:vAlign w:val="center"/>
          </w:tcPr>
          <w:p>
            <w:r/>
            <w:r>
              <w:rPr>
                <w:sz w:val="20"/>
              </w:rPr>
              <w:t>40,2 Go</w:t>
            </w:r>
          </w:p>
        </w:tc>
      </w:tr>
    </w:tbl>
    <w:p/>
    <w:p>
      <w:pPr>
        <w:pStyle w:val="Heading1"/>
      </w:pPr>
      <w:r>
        <w:t>5. Glossaire d'acronymes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34495E"/>
            <w:vAlign w:val="center"/>
          </w:tcPr>
          <w:p>
            <w:pPr>
              <w:jc w:val="center"/>
            </w:pPr>
            <w:r/>
            <w:r>
              <w:rPr>
                <w:b/>
                <w:color w:val="FFFFFF"/>
                <w:sz w:val="20"/>
              </w:rPr>
              <w:t>Acronyme</w:t>
            </w:r>
          </w:p>
        </w:tc>
        <w:tc>
          <w:tcPr>
            <w:tcW w:type="dxa" w:w="4986"/>
            <w:shd w:val="clear" w:color="auto" w:fill="34495E"/>
            <w:vAlign w:val="center"/>
          </w:tcPr>
          <w:p>
            <w:pPr>
              <w:jc w:val="center"/>
            </w:pPr>
            <w:r/>
            <w:r>
              <w:rPr>
                <w:b/>
                <w:color w:val="FFFFFF"/>
                <w:sz w:val="20"/>
              </w:rPr>
              <w:t>Signification</w:t>
            </w:r>
          </w:p>
        </w:tc>
      </w:tr>
      <w:tr>
        <w:tc>
          <w:tcPr>
            <w:tcW w:type="dxa" w:w="4986"/>
            <w:vAlign w:val="center"/>
          </w:tcPr>
          <w:p>
            <w:r/>
            <w:r>
              <w:rPr>
                <w:sz w:val="20"/>
              </w:rPr>
              <w:t>SCR</w:t>
            </w:r>
          </w:p>
        </w:tc>
        <w:tc>
          <w:tcPr>
            <w:tcW w:type="dxa" w:w="4986"/>
            <w:vAlign w:val="center"/>
          </w:tcPr>
          <w:p>
            <w:r/>
            <w:r>
              <w:rPr>
                <w:sz w:val="20"/>
              </w:rPr>
              <w:t>Solvency Capital Requirement</w:t>
            </w:r>
          </w:p>
        </w:tc>
      </w:tr>
      <w:tr>
        <w:tc>
          <w:tcPr>
            <w:tcW w:type="dxa" w:w="4986"/>
            <w:shd w:val="clear" w:color="auto" w:fill="ECF0F1"/>
            <w:vAlign w:val="center"/>
          </w:tcPr>
          <w:p>
            <w:r/>
            <w:r>
              <w:rPr>
                <w:sz w:val="20"/>
              </w:rPr>
              <w:t>BEL</w:t>
            </w:r>
          </w:p>
        </w:tc>
        <w:tc>
          <w:tcPr>
            <w:tcW w:type="dxa" w:w="4986"/>
            <w:shd w:val="clear" w:color="auto" w:fill="ECF0F1"/>
            <w:vAlign w:val="center"/>
          </w:tcPr>
          <w:p>
            <w:r/>
            <w:r>
              <w:rPr>
                <w:sz w:val="20"/>
              </w:rPr>
              <w:t>Best Estimate Liabilities</w:t>
            </w:r>
          </w:p>
        </w:tc>
      </w:tr>
      <w:tr>
        <w:tc>
          <w:tcPr>
            <w:tcW w:type="dxa" w:w="4986"/>
            <w:vAlign w:val="center"/>
          </w:tcPr>
          <w:p>
            <w:r/>
            <w:r>
              <w:rPr>
                <w:sz w:val="20"/>
              </w:rPr>
              <w:t>ORSA</w:t>
            </w:r>
          </w:p>
        </w:tc>
        <w:tc>
          <w:tcPr>
            <w:tcW w:type="dxa" w:w="4986"/>
            <w:vAlign w:val="center"/>
          </w:tcPr>
          <w:p>
            <w:r/>
            <w:r>
              <w:rPr>
                <w:sz w:val="20"/>
              </w:rPr>
              <w:t>Own Risk and Solvency Assessment</w:t>
            </w:r>
          </w:p>
        </w:tc>
      </w:tr>
      <w:tr>
        <w:tc>
          <w:tcPr>
            <w:tcW w:type="dxa" w:w="4986"/>
            <w:shd w:val="clear" w:color="auto" w:fill="ECF0F1"/>
            <w:vAlign w:val="center"/>
          </w:tcPr>
          <w:p>
            <w:r/>
            <w:r>
              <w:rPr>
                <w:sz w:val="20"/>
              </w:rPr>
              <w:t>GLM</w:t>
            </w:r>
          </w:p>
        </w:tc>
        <w:tc>
          <w:tcPr>
            <w:tcW w:type="dxa" w:w="4986"/>
            <w:shd w:val="clear" w:color="auto" w:fill="ECF0F1"/>
            <w:vAlign w:val="center"/>
          </w:tcPr>
          <w:p>
            <w:r/>
            <w:r>
              <w:rPr>
                <w:sz w:val="20"/>
              </w:rPr>
              <w:t>Generalized Linear Model</w:t>
            </w:r>
          </w:p>
        </w:tc>
      </w:tr>
      <w:tr>
        <w:tc>
          <w:tcPr>
            <w:tcW w:type="dxa" w:w="4986"/>
            <w:vAlign w:val="center"/>
          </w:tcPr>
          <w:p>
            <w:r/>
            <w:r>
              <w:rPr>
                <w:sz w:val="20"/>
              </w:rPr>
              <w:t>RAG</w:t>
            </w:r>
          </w:p>
        </w:tc>
        <w:tc>
          <w:tcPr>
            <w:tcW w:type="dxa" w:w="4986"/>
            <w:vAlign w:val="center"/>
          </w:tcPr>
          <w:p>
            <w:r/>
            <w:r>
              <w:rPr>
                <w:sz w:val="20"/>
              </w:rPr>
              <w:t>Retrieval-Augmented Generation</w:t>
            </w:r>
          </w:p>
        </w:tc>
      </w:tr>
      <w:tr>
        <w:tc>
          <w:tcPr>
            <w:tcW w:type="dxa" w:w="4986"/>
            <w:shd w:val="clear" w:color="auto" w:fill="ECF0F1"/>
            <w:vAlign w:val="center"/>
          </w:tcPr>
          <w:p>
            <w:r/>
            <w:r>
              <w:rPr>
                <w:sz w:val="20"/>
              </w:rPr>
              <w:t>LLM</w:t>
            </w:r>
          </w:p>
        </w:tc>
        <w:tc>
          <w:tcPr>
            <w:tcW w:type="dxa" w:w="4986"/>
            <w:shd w:val="clear" w:color="auto" w:fill="ECF0F1"/>
            <w:vAlign w:val="center"/>
          </w:tcPr>
          <w:p>
            <w:r/>
            <w:r>
              <w:rPr>
                <w:sz w:val="20"/>
              </w:rPr>
              <w:t>Large Language Model</w:t>
            </w:r>
          </w:p>
        </w:tc>
      </w:tr>
      <w:tr>
        <w:tc>
          <w:tcPr>
            <w:tcW w:type="dxa" w:w="4986"/>
            <w:vAlign w:val="center"/>
          </w:tcPr>
          <w:p>
            <w:r/>
            <w:r>
              <w:rPr>
                <w:sz w:val="20"/>
              </w:rPr>
              <w:t>OCR</w:t>
            </w:r>
          </w:p>
        </w:tc>
        <w:tc>
          <w:tcPr>
            <w:tcW w:type="dxa" w:w="4986"/>
            <w:vAlign w:val="center"/>
          </w:tcPr>
          <w:p>
            <w:r/>
            <w:r>
              <w:rPr>
                <w:sz w:val="20"/>
              </w:rPr>
              <w:t>Optical Character Recognition</w:t>
            </w:r>
          </w:p>
        </w:tc>
      </w:tr>
    </w:tbl>
    <w:p/>
    <w:p/>
    <w:p>
      <w:pPr>
        <w:jc w:val="center"/>
      </w:pPr>
      <w:r>
        <w:rPr>
          <w:i/>
          <w:color w:val="808080"/>
        </w:rPr>
        <w:t>— Fin du document de test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test — Corpus RAG actuariel</dc:title>
  <dc:subject>Exemple .docx pour ingestion multi-format</dc:subject>
  <dc:creator>Formation RAG Groupama</dc:creator>
  <cp:keywords/>
  <dc:description>generated by python-docx</dc:description>
  <cp:lastModifiedBy/>
  <cp:revision>1</cp:revision>
  <dcterms:created xsi:type="dcterms:W3CDTF">2013-12-23T23:15:00Z</dcterms:created>
  <dcterms:modified xsi:type="dcterms:W3CDTF">2013-12-23T23:15:00Z</dcterms:modified>
  <cp:category/>
</cp:coreProperties>
</file>