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6237A">
          <w:pPr>
            <w:pStyle w:val="Sinespaciado"/>
            <w:rPr>
              <w:rFonts w:asciiTheme="majorHAnsi" w:eastAsiaTheme="majorEastAsia" w:hAnsiTheme="majorHAnsi" w:cstheme="majorBidi"/>
              <w:sz w:val="72"/>
              <w:szCs w:val="72"/>
            </w:rPr>
          </w:pPr>
          <w:r w:rsidRPr="0026237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6237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6237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6237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26237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26237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26237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26237A">
          <w:pPr>
            <w:pStyle w:val="TDC1"/>
            <w:rPr>
              <w:rFonts w:eastAsiaTheme="minorEastAsia"/>
              <w:b w:val="0"/>
              <w:bCs w:val="0"/>
              <w:noProof/>
              <w:sz w:val="22"/>
              <w:szCs w:val="22"/>
              <w:lang w:eastAsia="es-ES"/>
            </w:rPr>
          </w:pPr>
          <w:r w:rsidRPr="0026237A">
            <w:fldChar w:fldCharType="begin"/>
          </w:r>
          <w:r w:rsidR="000F79DF">
            <w:instrText xml:space="preserve"> TOC \o "1-3" \h \z \u </w:instrText>
          </w:r>
          <w:r w:rsidRPr="0026237A">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6237A">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6237A">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6237A">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6237A">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6237A">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6237A">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6237A">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6237A">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6237A">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26237A">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26237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945DD" w:rsidP="009A3173">
          <w:pPr>
            <w:pStyle w:val="PSI-Ttulo"/>
          </w:pPr>
          <w:r>
            <w:rPr>
              <w:lang w:val="es-AR"/>
            </w:rPr>
            <w:t>Caso de Uso [Visualizar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945DD" w:rsidP="00F532CF">
      <w:pPr>
        <w:ind w:left="720"/>
      </w:pPr>
      <w:r>
        <w:t>Permitir al Invitado visualizar el programa (documento).</w:t>
      </w:r>
    </w:p>
    <w:p w:rsidR="004B7F2C" w:rsidRDefault="004B7F2C" w:rsidP="00F532CF">
      <w:pPr>
        <w:pStyle w:val="PSI-Ttulo1"/>
      </w:pPr>
      <w:bookmarkStart w:id="3" w:name="_Toc228206476"/>
      <w:bookmarkStart w:id="4" w:name="_Toc234686581"/>
      <w:bookmarkStart w:id="5" w:name="_Toc257615430"/>
    </w:p>
    <w:p w:rsidR="00F532CF" w:rsidRPr="00B729DA" w:rsidRDefault="00F532CF" w:rsidP="00F532CF">
      <w:pPr>
        <w:pStyle w:val="PSI-Ttulo1"/>
      </w:pPr>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175995" w:rsidRDefault="00F532CF" w:rsidP="00875476">
      <w:pPr>
        <w:pStyle w:val="PSI-Ttulo1"/>
      </w:pPr>
      <w:bookmarkStart w:id="6" w:name="_Toc228206478"/>
      <w:bookmarkStart w:id="7" w:name="_Toc234686583"/>
      <w:bookmarkStart w:id="8" w:name="_Toc257615432"/>
      <w:r>
        <w:t>Flujo de Eventos Normal</w:t>
      </w:r>
      <w:bookmarkEnd w:id="6"/>
      <w:bookmarkEnd w:id="7"/>
      <w:bookmarkEnd w:id="8"/>
    </w:p>
    <w:p w:rsidR="0081784D" w:rsidRDefault="0081784D" w:rsidP="00175995">
      <w:pPr>
        <w:pStyle w:val="PSI-Normal"/>
        <w:spacing w:before="0" w:line="240" w:lineRule="auto"/>
        <w:ind w:left="717"/>
      </w:pPr>
    </w:p>
    <w:p w:rsidR="0081784D" w:rsidRDefault="0081784D" w:rsidP="0081784D">
      <w:pPr>
        <w:pStyle w:val="PSI-Normal"/>
        <w:numPr>
          <w:ilvl w:val="0"/>
          <w:numId w:val="13"/>
        </w:numPr>
        <w:spacing w:before="0" w:line="240" w:lineRule="auto"/>
      </w:pPr>
      <w:r>
        <w:t>El sistema despliega la pantalla “carreras” con todas las carreras que se dictan en la UNPA – UARG.</w:t>
      </w:r>
    </w:p>
    <w:p w:rsidR="0081784D" w:rsidRDefault="0081784D" w:rsidP="0081784D">
      <w:pPr>
        <w:pStyle w:val="PSI-Normal"/>
        <w:numPr>
          <w:ilvl w:val="0"/>
          <w:numId w:val="13"/>
        </w:numPr>
        <w:spacing w:before="0" w:line="240" w:lineRule="auto"/>
      </w:pPr>
      <w:r>
        <w:t>El invitado selecciona la carrera.</w:t>
      </w:r>
    </w:p>
    <w:p w:rsidR="00CA0084" w:rsidRDefault="0081784D" w:rsidP="0081784D">
      <w:pPr>
        <w:pStyle w:val="PSI-Normal"/>
        <w:numPr>
          <w:ilvl w:val="0"/>
          <w:numId w:val="13"/>
        </w:numPr>
        <w:spacing w:before="0" w:line="240" w:lineRule="auto"/>
      </w:pPr>
      <w:r w:rsidRPr="00202141">
        <w:t xml:space="preserve">El sistema muestra los </w:t>
      </w:r>
      <w:r>
        <w:t>años</w:t>
      </w:r>
      <w:r w:rsidRPr="00202141">
        <w:t xml:space="preserve"> correspondientes a la carrera </w:t>
      </w:r>
      <w:r w:rsidR="00CA0084">
        <w:t>que tengan programas cargados.</w:t>
      </w:r>
    </w:p>
    <w:p w:rsidR="0081784D" w:rsidRPr="00202141" w:rsidRDefault="0081784D" w:rsidP="0081784D">
      <w:pPr>
        <w:pStyle w:val="PSI-Normal"/>
        <w:numPr>
          <w:ilvl w:val="0"/>
          <w:numId w:val="13"/>
        </w:numPr>
        <w:spacing w:before="0" w:line="240" w:lineRule="auto"/>
      </w:pPr>
      <w:r w:rsidRPr="00202141">
        <w:t xml:space="preserve">El invitado selecciona un </w:t>
      </w:r>
      <w:r>
        <w:t>año</w:t>
      </w:r>
      <w:r w:rsidR="00875476">
        <w:t>, opcionalmente puede filtrar el mismo introduciendo dígitos numéricos</w:t>
      </w:r>
      <w:r w:rsidRPr="00202141">
        <w:t>.</w:t>
      </w:r>
    </w:p>
    <w:p w:rsidR="0081784D" w:rsidRDefault="009D5F4B" w:rsidP="0081784D">
      <w:pPr>
        <w:pStyle w:val="PSI-Normal"/>
        <w:numPr>
          <w:ilvl w:val="0"/>
          <w:numId w:val="13"/>
        </w:numPr>
        <w:spacing w:before="0" w:line="240" w:lineRule="auto"/>
      </w:pPr>
      <w:r>
        <w:t>El sistema muestra todos lo</w:t>
      </w:r>
      <w:r w:rsidR="0081784D">
        <w:t>s</w:t>
      </w:r>
      <w:r>
        <w:t xml:space="preserve"> programas de las </w:t>
      </w:r>
      <w:r w:rsidR="0081784D">
        <w:t>asignaturas correspondientes a la carrera y año seleccionado.</w:t>
      </w:r>
    </w:p>
    <w:p w:rsidR="0081784D" w:rsidRDefault="0081784D" w:rsidP="0081784D">
      <w:pPr>
        <w:pStyle w:val="PSI-Normal"/>
        <w:numPr>
          <w:ilvl w:val="0"/>
          <w:numId w:val="13"/>
        </w:numPr>
        <w:spacing w:before="0" w:line="240" w:lineRule="auto"/>
      </w:pPr>
      <w:r>
        <w:t xml:space="preserve">El invitado selecciona </w:t>
      </w:r>
      <w:r w:rsidR="009D5F4B">
        <w:t xml:space="preserve">el programa de </w:t>
      </w:r>
      <w:r>
        <w:t>la asignatura</w:t>
      </w:r>
      <w:r w:rsidR="009D5F4B">
        <w:t>, opcionalmente puede filtrar los mismo</w:t>
      </w:r>
      <w:r w:rsidR="00875476">
        <w:t>s introduciendo el nombre</w:t>
      </w:r>
      <w:r>
        <w:t>.</w:t>
      </w:r>
    </w:p>
    <w:p w:rsidR="0081784D" w:rsidRDefault="0081784D" w:rsidP="0081784D">
      <w:pPr>
        <w:pStyle w:val="PSI-Normal"/>
        <w:numPr>
          <w:ilvl w:val="0"/>
          <w:numId w:val="13"/>
        </w:numPr>
        <w:spacing w:before="0" w:line="240" w:lineRule="auto"/>
      </w:pPr>
      <w:r>
        <w:t>El sistema visualiza mediante el navegador, el programa de la asignatura seleccionada por el invitado.</w:t>
      </w:r>
    </w:p>
    <w:p w:rsidR="0081784D" w:rsidRDefault="0081784D" w:rsidP="00175995">
      <w:pPr>
        <w:pStyle w:val="PSI-Normal"/>
        <w:spacing w:before="0" w:line="240" w:lineRule="auto"/>
        <w:ind w:left="717"/>
      </w:pPr>
    </w:p>
    <w:p w:rsidR="0081784D" w:rsidRDefault="0081784D"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257615433"/>
      <w:proofErr w:type="spellStart"/>
      <w:r>
        <w:t>Poscondiciones</w:t>
      </w:r>
      <w:bookmarkEnd w:id="9"/>
      <w:bookmarkEnd w:id="10"/>
      <w:bookmarkEnd w:id="11"/>
      <w:proofErr w:type="spellEnd"/>
      <w:r>
        <w:t xml:space="preserve"> </w:t>
      </w:r>
    </w:p>
    <w:p w:rsidR="00F532CF" w:rsidRDefault="00CA0084" w:rsidP="00CA0084">
      <w:pPr>
        <w:pStyle w:val="PSI-Normal"/>
      </w:pPr>
      <w:r>
        <w:t xml:space="preserve">El sistema queda a la espera de una acción en la pantalla donde </w:t>
      </w:r>
      <w:r w:rsidR="004B7F2C">
        <w:t xml:space="preserve">se </w:t>
      </w:r>
      <w:r>
        <w:t xml:space="preserve">muestra el programa </w:t>
      </w:r>
      <w:r w:rsidR="004B7F2C">
        <w:t>.</w:t>
      </w:r>
      <w:proofErr w:type="spellStart"/>
      <w:r>
        <w:t>pdf</w:t>
      </w:r>
      <w:proofErr w:type="spellEnd"/>
      <w:r w:rsidR="004B7F2C">
        <w:t xml:space="preserve"> de la asignatura seleccionada</w:t>
      </w:r>
      <w:r>
        <w:t xml:space="preserve">. </w:t>
      </w:r>
    </w:p>
    <w:p w:rsidR="00CA0084" w:rsidRPr="002E175C" w:rsidRDefault="00CA0084" w:rsidP="00CA0084">
      <w:pPr>
        <w:pStyle w:val="PSI-Normal"/>
      </w:pPr>
    </w:p>
    <w:p w:rsidR="00F532CF" w:rsidRDefault="00F532CF" w:rsidP="00F532CF">
      <w:pPr>
        <w:pStyle w:val="PSI-Ttulo1"/>
      </w:pPr>
      <w:bookmarkStart w:id="12" w:name="_Toc228206480"/>
      <w:bookmarkStart w:id="13" w:name="_Toc234686585"/>
      <w:bookmarkStart w:id="14" w:name="_Toc257615434"/>
      <w:r>
        <w:t>Flujo de Eventos Alternativo</w:t>
      </w:r>
      <w:bookmarkEnd w:id="12"/>
      <w:bookmarkEnd w:id="13"/>
      <w:bookmarkEnd w:id="14"/>
    </w:p>
    <w:p w:rsidR="009945DD" w:rsidRPr="0019457E" w:rsidRDefault="009945DD" w:rsidP="0019457E">
      <w:pPr>
        <w:pStyle w:val="PSI-Normal"/>
        <w:rPr>
          <w:u w:val="single"/>
        </w:rPr>
      </w:pPr>
      <w:r w:rsidRPr="0019457E">
        <w:rPr>
          <w:u w:val="single"/>
        </w:rPr>
        <w:t xml:space="preserve">Excepción 1 Programa No disponible: </w:t>
      </w:r>
    </w:p>
    <w:p w:rsidR="00175995" w:rsidRDefault="00D80A56" w:rsidP="00175995">
      <w:pPr>
        <w:pStyle w:val="PSI-Normal"/>
        <w:numPr>
          <w:ilvl w:val="0"/>
          <w:numId w:val="14"/>
        </w:numPr>
        <w:spacing w:before="0" w:line="240" w:lineRule="auto"/>
      </w:pPr>
      <w:r>
        <w:t>9</w:t>
      </w:r>
      <w:r w:rsidR="009945DD" w:rsidRPr="00BB1EEB">
        <w:t>.1</w:t>
      </w:r>
      <w:r>
        <w:t xml:space="preserve"> En el caso de que no estén todos los años disponibles, el sistema mostrará un mensaje al pie de página “Si no encuentra el Programa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p>
    <w:p w:rsidR="00F9473E" w:rsidRDefault="00F532CF" w:rsidP="0061287C">
      <w:pPr>
        <w:pStyle w:val="PSI-Ttulo1"/>
      </w:pPr>
      <w:bookmarkStart w:id="16" w:name="_Toc228206481"/>
      <w:bookmarkStart w:id="17" w:name="_Toc234686586"/>
      <w:bookmarkStart w:id="18" w:name="_Toc257615435"/>
      <w:r>
        <w:lastRenderedPageBreak/>
        <w:t>Diagramas Asociados</w:t>
      </w:r>
      <w:bookmarkEnd w:id="16"/>
      <w:bookmarkEnd w:id="17"/>
      <w:bookmarkEnd w:id="18"/>
    </w:p>
    <w:p w:rsidR="00F532CF" w:rsidRDefault="007C39B1" w:rsidP="007C39B1">
      <w:pPr>
        <w:pStyle w:val="PSI-Ttulo2"/>
      </w:pPr>
      <w:bookmarkStart w:id="19" w:name="_Toc257615436"/>
      <w:r>
        <w:t>Diagrama de Casos de Uso</w:t>
      </w:r>
      <w:bookmarkEnd w:id="19"/>
    </w:p>
    <w:p w:rsidR="0098045E" w:rsidRPr="002E175C" w:rsidRDefault="0098045E" w:rsidP="0098045E">
      <w:pPr>
        <w:pStyle w:val="PSI-Comentario"/>
        <w:jc w:val="center"/>
      </w:pPr>
    </w:p>
    <w:p w:rsidR="007C39B1" w:rsidRDefault="0061287C" w:rsidP="007C39B1">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Visualiz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isualizar Programa.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221F6" w:rsidRDefault="007221F6" w:rsidP="007C39B1">
      <w:pPr>
        <w:pStyle w:val="PSI-Comentario"/>
        <w:jc w:val="center"/>
      </w:pPr>
    </w:p>
    <w:p w:rsidR="007221F6" w:rsidRDefault="007221F6" w:rsidP="007C39B1">
      <w:pPr>
        <w:pStyle w:val="PSI-Comentario"/>
        <w:jc w:val="center"/>
      </w:pPr>
    </w:p>
    <w:p w:rsidR="007C39B1" w:rsidRDefault="007C39B1" w:rsidP="007C39B1">
      <w:pPr>
        <w:pStyle w:val="PSI-Ttulo2"/>
      </w:pPr>
      <w:bookmarkStart w:id="20" w:name="_Toc257615437"/>
      <w:r>
        <w:t>Diagrama de Secuencia</w:t>
      </w:r>
      <w:bookmarkEnd w:id="20"/>
    </w:p>
    <w:p w:rsidR="00D10E62" w:rsidRDefault="00D10E62" w:rsidP="007C39B1">
      <w:pPr>
        <w:pStyle w:val="PSI-Ttulo2"/>
      </w:pPr>
    </w:p>
    <w:p w:rsidR="007C39B1" w:rsidRDefault="0061287C" w:rsidP="007C39B1">
      <w:pPr>
        <w:pStyle w:val="PSI-Normal"/>
        <w:jc w:val="center"/>
      </w:pPr>
      <w:r>
        <w:rPr>
          <w:noProof/>
          <w:lang w:eastAsia="es-AR"/>
        </w:rPr>
        <w:drawing>
          <wp:inline distT="0" distB="0" distL="0" distR="0">
            <wp:extent cx="5400040" cy="2613849"/>
            <wp:effectExtent l="19050" t="0" r="0" b="0"/>
            <wp:docPr id="9" name="Imagen 2" descr="C:\xampp\htdocs\vaspa\Elaboración\Diagramas de Secuencia\CU_Visualizar Programa\DSecuencia Visualizar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Visualizar Programa\DSecuencia VisualizarPrograma.jpg"/>
                    <pic:cNvPicPr>
                      <a:picLocks noChangeAspect="1" noChangeArrowheads="1"/>
                    </pic:cNvPicPr>
                  </pic:nvPicPr>
                  <pic:blipFill>
                    <a:blip r:embed="rId12" cstate="print"/>
                    <a:srcRect/>
                    <a:stretch>
                      <a:fillRect/>
                    </a:stretch>
                  </pic:blipFill>
                  <pic:spPr bwMode="auto">
                    <a:xfrm>
                      <a:off x="0" y="0"/>
                      <a:ext cx="5400040" cy="2613849"/>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D10E62" w:rsidRDefault="00D10E62" w:rsidP="00B64180">
      <w:pPr>
        <w:pStyle w:val="PSI-Ttulo2"/>
      </w:pPr>
      <w:bookmarkStart w:id="21" w:name="_Toc257615438"/>
    </w:p>
    <w:p w:rsidR="00D10E62" w:rsidRDefault="00D10E62" w:rsidP="00B64180">
      <w:pPr>
        <w:pStyle w:val="PSI-Ttulo2"/>
      </w:pPr>
    </w:p>
    <w:bookmarkEnd w:id="21"/>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352" w:rsidRDefault="00346352" w:rsidP="00C94FBE">
      <w:pPr>
        <w:spacing w:before="0" w:line="240" w:lineRule="auto"/>
      </w:pPr>
      <w:r>
        <w:separator/>
      </w:r>
    </w:p>
    <w:p w:rsidR="00346352" w:rsidRDefault="00346352"/>
  </w:endnote>
  <w:endnote w:type="continuationSeparator" w:id="0">
    <w:p w:rsidR="00346352" w:rsidRDefault="00346352" w:rsidP="00C94FBE">
      <w:pPr>
        <w:spacing w:before="0" w:line="240" w:lineRule="auto"/>
      </w:pPr>
      <w:r>
        <w:continuationSeparator/>
      </w:r>
    </w:p>
    <w:p w:rsidR="00346352" w:rsidRDefault="0034635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26237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26237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26237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82808">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82808">
          <w:rPr>
            <w:rFonts w:asciiTheme="majorHAnsi" w:hAnsiTheme="majorHAnsi" w:cstheme="majorHAnsi"/>
            <w:noProof/>
          </w:rPr>
          <w:t>5</w:t>
        </w:r>
        <w:r w:rsidRPr="00DD5A70">
          <w:rPr>
            <w:rFonts w:asciiTheme="majorHAnsi" w:hAnsiTheme="majorHAnsi" w:cstheme="majorHAnsi"/>
          </w:rPr>
          <w:fldChar w:fldCharType="end"/>
        </w:r>
      </w:sdtContent>
    </w:sdt>
    <w:r w:rsidRPr="0026237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352" w:rsidRDefault="00346352" w:rsidP="00C94FBE">
      <w:pPr>
        <w:spacing w:before="0" w:line="240" w:lineRule="auto"/>
      </w:pPr>
      <w:r>
        <w:separator/>
      </w:r>
    </w:p>
    <w:p w:rsidR="00346352" w:rsidRDefault="00346352"/>
  </w:footnote>
  <w:footnote w:type="continuationSeparator" w:id="0">
    <w:p w:rsidR="00346352" w:rsidRDefault="00346352" w:rsidP="00C94FBE">
      <w:pPr>
        <w:spacing w:before="0" w:line="240" w:lineRule="auto"/>
      </w:pPr>
      <w:r>
        <w:continuationSeparator/>
      </w:r>
    </w:p>
    <w:p w:rsidR="00346352" w:rsidRDefault="0034635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945D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6237A" w:rsidRPr="0026237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26237A" w:rsidRPr="0026237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26237A" w:rsidRPr="0026237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5708C"/>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237A"/>
    <w:rsid w:val="00266C42"/>
    <w:rsid w:val="00295CA9"/>
    <w:rsid w:val="002A3E71"/>
    <w:rsid w:val="002A41AA"/>
    <w:rsid w:val="002B506A"/>
    <w:rsid w:val="002B5AF9"/>
    <w:rsid w:val="002D0CCB"/>
    <w:rsid w:val="002E0AB6"/>
    <w:rsid w:val="002E7874"/>
    <w:rsid w:val="002F1461"/>
    <w:rsid w:val="003130E3"/>
    <w:rsid w:val="00313D10"/>
    <w:rsid w:val="003149A1"/>
    <w:rsid w:val="003163C6"/>
    <w:rsid w:val="00344258"/>
    <w:rsid w:val="00346352"/>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B7F2C"/>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A6DA8"/>
    <w:rsid w:val="005B5AEE"/>
    <w:rsid w:val="005B6373"/>
    <w:rsid w:val="005E76A4"/>
    <w:rsid w:val="005F133C"/>
    <w:rsid w:val="005F5429"/>
    <w:rsid w:val="005F60BA"/>
    <w:rsid w:val="006124BF"/>
    <w:rsid w:val="0061287C"/>
    <w:rsid w:val="00616A6E"/>
    <w:rsid w:val="006177BF"/>
    <w:rsid w:val="00653C38"/>
    <w:rsid w:val="00665350"/>
    <w:rsid w:val="00680461"/>
    <w:rsid w:val="006849F6"/>
    <w:rsid w:val="006919D5"/>
    <w:rsid w:val="00693894"/>
    <w:rsid w:val="006A2495"/>
    <w:rsid w:val="006B3371"/>
    <w:rsid w:val="006D0E55"/>
    <w:rsid w:val="006D279B"/>
    <w:rsid w:val="006E3853"/>
    <w:rsid w:val="006F3234"/>
    <w:rsid w:val="0070494E"/>
    <w:rsid w:val="00705C02"/>
    <w:rsid w:val="00710BA6"/>
    <w:rsid w:val="00711DF8"/>
    <w:rsid w:val="007221F6"/>
    <w:rsid w:val="007447BE"/>
    <w:rsid w:val="007A33C6"/>
    <w:rsid w:val="007B151B"/>
    <w:rsid w:val="007B2E53"/>
    <w:rsid w:val="007C39B1"/>
    <w:rsid w:val="007C742C"/>
    <w:rsid w:val="007D7477"/>
    <w:rsid w:val="007E65AD"/>
    <w:rsid w:val="007E66A5"/>
    <w:rsid w:val="007F38C0"/>
    <w:rsid w:val="00801130"/>
    <w:rsid w:val="00816B5F"/>
    <w:rsid w:val="0081784D"/>
    <w:rsid w:val="00817955"/>
    <w:rsid w:val="00822C20"/>
    <w:rsid w:val="008539BD"/>
    <w:rsid w:val="00861B8F"/>
    <w:rsid w:val="008652EE"/>
    <w:rsid w:val="00866124"/>
    <w:rsid w:val="00866435"/>
    <w:rsid w:val="00867DE9"/>
    <w:rsid w:val="00870574"/>
    <w:rsid w:val="00870E2D"/>
    <w:rsid w:val="00875476"/>
    <w:rsid w:val="00885BB2"/>
    <w:rsid w:val="008860FE"/>
    <w:rsid w:val="008970F4"/>
    <w:rsid w:val="008B1983"/>
    <w:rsid w:val="008B3B0F"/>
    <w:rsid w:val="008C36AB"/>
    <w:rsid w:val="008E48FB"/>
    <w:rsid w:val="00904CB6"/>
    <w:rsid w:val="0092483A"/>
    <w:rsid w:val="00942049"/>
    <w:rsid w:val="0096683E"/>
    <w:rsid w:val="0098045E"/>
    <w:rsid w:val="009945DD"/>
    <w:rsid w:val="009A3173"/>
    <w:rsid w:val="009D5F4B"/>
    <w:rsid w:val="009E1441"/>
    <w:rsid w:val="009E25EF"/>
    <w:rsid w:val="009E4DA8"/>
    <w:rsid w:val="009F4425"/>
    <w:rsid w:val="009F4449"/>
    <w:rsid w:val="00A0436A"/>
    <w:rsid w:val="00A12B5B"/>
    <w:rsid w:val="00A13DBA"/>
    <w:rsid w:val="00A1698B"/>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82808"/>
    <w:rsid w:val="00B92D9A"/>
    <w:rsid w:val="00BA699A"/>
    <w:rsid w:val="00BB23C2"/>
    <w:rsid w:val="00BB4A41"/>
    <w:rsid w:val="00BB6AAE"/>
    <w:rsid w:val="00BB7855"/>
    <w:rsid w:val="00BC31E6"/>
    <w:rsid w:val="00BC5404"/>
    <w:rsid w:val="00C05700"/>
    <w:rsid w:val="00C235BF"/>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0084"/>
    <w:rsid w:val="00CB1140"/>
    <w:rsid w:val="00CB2CC9"/>
    <w:rsid w:val="00CB4633"/>
    <w:rsid w:val="00CD323E"/>
    <w:rsid w:val="00CE0252"/>
    <w:rsid w:val="00CE0C6E"/>
    <w:rsid w:val="00CE7C8F"/>
    <w:rsid w:val="00CE7F5B"/>
    <w:rsid w:val="00D01B23"/>
    <w:rsid w:val="00D06E99"/>
    <w:rsid w:val="00D10E62"/>
    <w:rsid w:val="00D15FB2"/>
    <w:rsid w:val="00D2105A"/>
    <w:rsid w:val="00D255E1"/>
    <w:rsid w:val="00D323C3"/>
    <w:rsid w:val="00D643A0"/>
    <w:rsid w:val="00D649B2"/>
    <w:rsid w:val="00D80A56"/>
    <w:rsid w:val="00D80E83"/>
    <w:rsid w:val="00D958B0"/>
    <w:rsid w:val="00DA08B9"/>
    <w:rsid w:val="00DA284A"/>
    <w:rsid w:val="00DD0159"/>
    <w:rsid w:val="00DD5A70"/>
    <w:rsid w:val="00E01FEC"/>
    <w:rsid w:val="00E037C9"/>
    <w:rsid w:val="00E34178"/>
    <w:rsid w:val="00E36A01"/>
    <w:rsid w:val="00E41820"/>
    <w:rsid w:val="00E41E7A"/>
    <w:rsid w:val="00E42AA4"/>
    <w:rsid w:val="00E438FE"/>
    <w:rsid w:val="00E50D12"/>
    <w:rsid w:val="00E5392A"/>
    <w:rsid w:val="00E67DB5"/>
    <w:rsid w:val="00E7708C"/>
    <w:rsid w:val="00E8096E"/>
    <w:rsid w:val="00E84E25"/>
    <w:rsid w:val="00E93312"/>
    <w:rsid w:val="00EA6844"/>
    <w:rsid w:val="00EA7D8C"/>
    <w:rsid w:val="00EB62A6"/>
    <w:rsid w:val="00EC07EA"/>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5BA65-4388-4B33-98A1-907A12158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58</TotalTime>
  <Pages>5</Pages>
  <Words>370</Words>
  <Characters>2039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dc:title>
  <dc:subject>Sistema VASPA</dc:subject>
  <dc:creator>Nicolás Sartini</dc:creator>
  <cp:lastModifiedBy>Usuario</cp:lastModifiedBy>
  <cp:revision>14</cp:revision>
  <dcterms:created xsi:type="dcterms:W3CDTF">2018-10-03T13:30:00Z</dcterms:created>
  <dcterms:modified xsi:type="dcterms:W3CDTF">2019-08-17T15:25:00Z</dcterms:modified>
</cp:coreProperties>
</file>