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4DF2E">
      <w:pPr>
        <w:pStyle w:val="3"/>
      </w:pPr>
      <w:r>
        <w:rPr>
          <w:rFonts w:ascii="微软雅黑" w:hAnsi="微软雅黑" w:eastAsia="微软雅黑"/>
          <w:b/>
          <w:color w:val="203024"/>
          <w:sz w:val="44"/>
        </w:rPr>
        <w:t>数字资产市场分期开发说明</w:t>
      </w:r>
    </w:p>
    <w:p w14:paraId="1349078A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本文是数字资产市场的产品与开发边界。第一期只交付 Web 端的作品广场、招募广场和版权交易；第二期从 App 端持续收益开始。文中截图取自 2026 年 10 月 22 日正在运行的本地页面，使用的是真实作品和招募数据。</w:t>
      </w:r>
    </w:p>
    <w:p w14:paraId="5203C7D7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模块保持独立：数据表使用 marketplace_ 前缀，接口使用 /api/marketplace 与 /api/admin/marketplace。只复用现有登录和管理员身份，不改原创作、生成、计费、任务调度、存储函数和漫剧表。文件共用后台「系统设置 → 存储 OSS」中的同一个 Bucket，市场文件固定放在 marketplace/，对象保持私有。OSS 未配置时，上传返回 503，不回退到本地存储。</w:t>
      </w:r>
    </w:p>
    <w:p w14:paraId="77791A37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当前导航里能看到「短剧剧集」和「平台投放收益」。这些属于第二期脚手架，截图如实保留，不计入第一期验收。</w:t>
      </w:r>
    </w:p>
    <w:p w14:paraId="4F8FCFC4">
      <w:pPr>
        <w:pStyle w:val="4"/>
      </w:pPr>
      <w:r>
        <w:rPr>
          <w:rFonts w:ascii="微软雅黑" w:hAnsi="微软雅黑" w:eastAsia="微软雅黑"/>
          <w:b/>
          <w:color w:val="203024"/>
          <w:sz w:val="32"/>
        </w:rPr>
        <w:t>分期对照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926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1EA0B614">
            <w:pPr>
              <w:spacing w:after="0" w:line="240" w:lineRule="auto"/>
            </w:pPr>
          </w:p>
        </w:tc>
        <w:tc>
          <w:tcPr>
            <w:tcW w:w="3400" w:type="dxa"/>
          </w:tcPr>
          <w:p w14:paraId="1F383E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第一期</w:t>
            </w:r>
          </w:p>
        </w:tc>
        <w:tc>
          <w:tcPr>
            <w:tcW w:w="3400" w:type="dxa"/>
          </w:tcPr>
          <w:p w14:paraId="267230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第二期</w:t>
            </w:r>
          </w:p>
        </w:tc>
      </w:tr>
      <w:tr w14:paraId="4914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678D29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终端</w:t>
            </w:r>
          </w:p>
        </w:tc>
        <w:tc>
          <w:tcPr>
            <w:tcW w:w="3400" w:type="dxa"/>
          </w:tcPr>
          <w:p w14:paraId="38D2E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用户端 Web、管理后台</w:t>
            </w:r>
          </w:p>
        </w:tc>
        <w:tc>
          <w:tcPr>
            <w:tcW w:w="3400" w:type="dxa"/>
          </w:tcPr>
          <w:p w14:paraId="4B1F9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App 做持续收益；Web 只补作者配置和运营后台</w:t>
            </w:r>
          </w:p>
        </w:tc>
      </w:tr>
      <w:tr w14:paraId="0367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288948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</w:t>
            </w:r>
          </w:p>
        </w:tc>
        <w:tc>
          <w:tcPr>
            <w:tcW w:w="3400" w:type="dxa"/>
          </w:tcPr>
          <w:p w14:paraId="644AD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作品广场、招募广场、版权确认与客服交易</w:t>
            </w:r>
          </w:p>
        </w:tc>
        <w:tc>
          <w:tcPr>
            <w:tcW w:w="3400" w:type="dxa"/>
          </w:tcPr>
          <w:p w14:paraId="2C9CC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平台投放、在线解锁、短剧分集、收益记账和人工打款</w:t>
            </w:r>
          </w:p>
        </w:tc>
      </w:tr>
      <w:tr w14:paraId="01D9A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7B9238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资金</w:t>
            </w:r>
          </w:p>
        </w:tc>
        <w:tc>
          <w:tcPr>
            <w:tcW w:w="3400" w:type="dxa"/>
          </w:tcPr>
          <w:p w14:paraId="16782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展示参考价，购买和接单都联系客服，线下签约、收款、交付</w:t>
            </w:r>
          </w:p>
        </w:tc>
        <w:tc>
          <w:tcPr>
            <w:tcW w:w="3400" w:type="dxa"/>
          </w:tcPr>
          <w:p w14:paraId="4E43D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观众在线支付解锁；平台与创作者按比例记账，管理员人工打款</w:t>
            </w:r>
          </w:p>
        </w:tc>
      </w:tr>
      <w:tr w14:paraId="13A7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664023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播放</w:t>
            </w:r>
          </w:p>
        </w:tc>
        <w:tc>
          <w:tcPr>
            <w:tcW w:w="3400" w:type="dxa"/>
          </w:tcPr>
          <w:p w14:paraId="4D8E2F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免费作品播原片；付费版权作品只播水印试看</w:t>
            </w:r>
          </w:p>
        </w:tc>
        <w:tc>
          <w:tcPr>
            <w:tcW w:w="3400" w:type="dxa"/>
          </w:tcPr>
          <w:p w14:paraId="71F16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未购买只播试看；已购买获得永久在线播放权益</w:t>
            </w:r>
          </w:p>
        </w:tc>
      </w:tr>
    </w:tbl>
    <w:p w14:paraId="60774A4E">
      <w:pPr>
        <w:spacing w:before="0" w:after="80" w:line="276" w:lineRule="auto"/>
      </w:pPr>
    </w:p>
    <w:p w14:paraId="78D6C69D">
      <w:pPr>
        <w:pStyle w:val="4"/>
      </w:pPr>
      <w:r>
        <w:rPr>
          <w:rFonts w:ascii="微软雅黑" w:hAnsi="微软雅黑" w:eastAsia="微软雅黑"/>
          <w:b/>
          <w:color w:val="203024"/>
          <w:sz w:val="32"/>
        </w:rPr>
        <w:t>第一期：Web 作品广场、招募广场与版权交易</w:t>
      </w:r>
    </w:p>
    <w:p w14:paraId="4E0A35E8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入口</w:t>
      </w:r>
    </w:p>
    <w:p w14:paraId="4914C44D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用户端顶部只保留一个「数字资产市场」。进入后可以切换作品广场、招募广场、发布作品、发布招募和我的发布。广场点进作品看到的是买家页；作者的编辑、提交审核和上下架只从「我的发布 → 查看与管理」进入。招募同样把浏览和管理分开。</w:t>
      </w:r>
    </w:p>
    <w:p w14:paraId="74810F8F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管理后台放在侧边栏「业务」分组下，名称是「数字资产平台运营」。日常导航是作品审核、招募审核、举报处理、客服配置、作品分类。媒体任务和操作记录收在「运行维护」里。</w:t>
      </w:r>
    </w:p>
    <w:p w14:paraId="75073008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作品广场</w:t>
      </w:r>
    </w:p>
    <w:p w14:paraId="18013608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广场以封面浏览为主，支持分类、搜索、参考价区间、最新和价格排序。卡片展示封面、标题、作者和参考价。分类由管理员配置，广场和发布页读取同一份列表。</w:t>
      </w:r>
    </w:p>
    <w:p w14:paraId="6F65D0CF">
      <w:pPr>
        <w:jc w:val="center"/>
      </w:pPr>
      <w:r>
        <w:drawing>
          <wp:inline distT="0" distB="0" distL="114300" distR="114300">
            <wp:extent cx="6459220" cy="3328035"/>
            <wp:effectExtent l="0" t="0" r="5080" b="1206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5C56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  作品广场：分类、搜索、筛选和作品卡片</w:t>
      </w:r>
    </w:p>
    <w:p w14:paraId="2D08A103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作品详情与试看</w:t>
      </w:r>
    </w:p>
    <w:p w14:paraId="1D064758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从广场进入作品后直接播放。免费作品播放完整原片，并提示作者观看者可能保存原片，免费不代表可以任意商用。付费作品只播放水印试看：时长取 15 秒和原片时长 30% 中的较小值，保留原分辨率和原帧率，水印烧进画面。试看在提交审核时生成，不在保存草稿时转码。</w:t>
      </w:r>
    </w:p>
    <w:p w14:paraId="5A4A327C">
      <w:pPr>
        <w:jc w:val="center"/>
      </w:pPr>
      <w:r>
        <w:drawing>
          <wp:inline distT="0" distB="0" distL="114300" distR="114300">
            <wp:extent cx="6464935" cy="4479290"/>
            <wp:effectExtent l="0" t="0" r="12065" b="381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A538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2  买家详情：水印试看、参考价和联系客服购买</w:t>
      </w:r>
    </w:p>
    <w:p w14:paraId="4F9B4EF8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联系客服购买版权</w:t>
      </w:r>
    </w:p>
    <w:p w14:paraId="631FEF97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购买不走站内支付。弹窗展示客服二维码、微信号和服务时间，并复制作品编号、标题、参考价和链接。弹窗同时说明：购买使用授权不等于取得版权；购买著作财产权须另行签订书面转让合同并办理手续，可能产生费用，参考价不包含这些费用。</w:t>
      </w:r>
    </w:p>
    <w:p w14:paraId="5F77C1F8">
      <w:pPr>
        <w:jc w:val="center"/>
      </w:pPr>
      <w:r>
        <w:drawing>
          <wp:inline distT="0" distB="0" distL="114300" distR="114300">
            <wp:extent cx="5759450" cy="543179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DDCD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3  作品购买咨询：客服二维码、咨询信息和版权购买须知</w:t>
      </w:r>
    </w:p>
    <w:p w14:paraId="43DD8116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发布作品</w:t>
      </w:r>
    </w:p>
    <w:p w14:paraId="5998DFA2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一次发布只绑定一条视频和一个作者上传的封面。发布页不展示历史文件列表。保存草稿只保存作品资料，不要求授权函或版权证明，也不生成试看。提交审核前必须补齐视频、封面、标题、简介、分类、拟授权用途，以及对应来源的版权材料。</w:t>
      </w:r>
    </w:p>
    <w:p w14:paraId="43324E3C">
      <w:pPr>
        <w:jc w:val="center"/>
      </w:pPr>
      <w:r>
        <w:drawing>
          <wp:inline distT="0" distB="0" distL="114300" distR="114300">
            <wp:extent cx="4665980" cy="791972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448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2423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4  发布作品：视频、封面、介绍和收费方式</w:t>
      </w:r>
    </w:p>
    <w:p w14:paraId="6D557770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发布管理</w:t>
      </w:r>
    </w:p>
    <w:p w14:paraId="625F6FA3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作者从「我的发布」进入管理页。流程是上传视频、确认版权信息、提交作品审核、审核通过后上架。内容和版权一次提交、一次审核。已上架作品可以下架；修改版权材料后撤回旧审核。</w:t>
      </w:r>
    </w:p>
    <w:p w14:paraId="5F127751">
      <w:pPr>
        <w:jc w:val="center"/>
      </w:pPr>
      <w:r>
        <w:drawing>
          <wp:inline distT="0" distB="0" distL="114300" distR="114300">
            <wp:extent cx="5759450" cy="668337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8856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5  作品管理：四步发布流程和一次审核</w:t>
      </w:r>
    </w:p>
    <w:p w14:paraId="698A9C72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版权确认</w:t>
      </w:r>
    </w:p>
    <w:p w14:paraId="151A8A85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PrintFilm 生成的视频只需签署账号授权函，不要求版权证书或截图。授权函按账号和条款版本签署，具体作品仍逐件审核。</w:t>
      </w:r>
    </w:p>
    <w:p w14:paraId="248DA543">
      <w:pPr>
        <w:jc w:val="center"/>
      </w:pPr>
      <w:r>
        <w:drawing>
          <wp:inline distT="0" distB="0" distL="114300" distR="114300">
            <wp:extent cx="5759450" cy="359981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0E5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6  PrintFilm 授权函签署页</w:t>
      </w:r>
    </w:p>
    <w:p w14:paraId="2370334A">
      <w:pPr>
        <w:jc w:val="center"/>
      </w:pPr>
      <w:r>
        <w:drawing>
          <wp:inline distT="0" distB="0" distL="114300" distR="114300">
            <wp:extent cx="5759450" cy="463169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59C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7  作品版权信息：PrintFilm 作品关联已签署授权函</w:t>
      </w:r>
    </w:p>
    <w:p w14:paraId="77268355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其他平台生成的视频填写版权证书编号，上传证书截图或照片，并勾选版权纠纷与平台无关。没有材料时联系客服协办，不创建登记案件，也不自动通过审核。</w:t>
      </w:r>
    </w:p>
    <w:p w14:paraId="2107EDB9">
      <w:pPr>
        <w:jc w:val="center"/>
      </w:pPr>
      <w:r>
        <w:drawing>
          <wp:inline distT="0" distB="0" distL="114300" distR="114300">
            <wp:extent cx="5759450" cy="502348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14D7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8  同一版权页切换为其他平台：证书编号、截图和纠纷确认</w:t>
      </w:r>
    </w:p>
    <w:p w14:paraId="3D944D31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招募广场</w:t>
      </w:r>
    </w:p>
    <w:p w14:paraId="539E28B1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招募只展示需求并联系客服接单，不接受站内投稿、报价、审片或选稿。需求经管理员审核后公开展示，包含说明、预算、数量、交付要求、授权意向和截止时间。</w:t>
      </w:r>
    </w:p>
    <w:p w14:paraId="73A200D7">
      <w:pPr>
        <w:jc w:val="center"/>
      </w:pPr>
      <w:r>
        <w:drawing>
          <wp:inline distT="0" distB="0" distL="114300" distR="114300">
            <wp:extent cx="5759450" cy="61595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BB0C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9  招募广场</w:t>
      </w:r>
    </w:p>
    <w:p w14:paraId="432C61FC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需求发布者打开自己的招募时，看到的是需求内容和管理入口，不能给自己接单。</w:t>
      </w:r>
    </w:p>
    <w:p w14:paraId="7D4CBF06">
      <w:pPr>
        <w:jc w:val="center"/>
      </w:pPr>
      <w:r>
        <w:drawing>
          <wp:inline distT="0" distB="0" distL="114300" distR="114300">
            <wp:extent cx="5759450" cy="4891405"/>
            <wp:effectExtent l="0" t="0" r="635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DCB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10  发布者查看自己的招募帖</w:t>
      </w:r>
    </w:p>
    <w:p w14:paraId="3FBDDECA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其他已登录创作者看到「联系客服接单」。咨询不代表已接单或成交。</w:t>
      </w:r>
    </w:p>
    <w:p w14:paraId="47F765E9">
      <w:pPr>
        <w:jc w:val="center"/>
      </w:pPr>
      <w:r>
        <w:drawing>
          <wp:inline distT="0" distB="0" distL="114300" distR="114300">
            <wp:extent cx="5759450" cy="523557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7237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11  创作者查看招募帖</w:t>
      </w:r>
    </w:p>
    <w:p w14:paraId="61A19D46">
      <w:pPr>
        <w:jc w:val="center"/>
      </w:pPr>
      <w:r>
        <w:drawing>
          <wp:inline distT="0" distB="0" distL="114300" distR="114300">
            <wp:extent cx="5759450" cy="5235575"/>
            <wp:effectExtent l="0" t="0" r="635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9893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12  招募接单咨询：客服二维码和可复制的招募编号</w:t>
      </w:r>
    </w:p>
    <w:p w14:paraId="580F5CBA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发布与管理招募</w:t>
      </w:r>
    </w:p>
    <w:p w14:paraId="4B2845A5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需求方保存草稿后提交审核。关闭、到期、未审核或封禁的需求不再接受新咨询。作者从「我的发布」进入管理。</w:t>
      </w:r>
    </w:p>
    <w:p w14:paraId="7E1EC7FE">
      <w:pPr>
        <w:jc w:val="center"/>
      </w:pPr>
      <w:r>
        <w:drawing>
          <wp:inline distT="0" distB="0" distL="114300" distR="114300">
            <wp:extent cx="5389245" cy="7919720"/>
            <wp:effectExtent l="0" t="0" r="825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792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C34B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13  发布招募</w:t>
      </w:r>
    </w:p>
    <w:p w14:paraId="632228CE">
      <w:pPr>
        <w:jc w:val="center"/>
      </w:pPr>
      <w:r>
        <w:drawing>
          <wp:inline distT="0" distB="0" distL="114300" distR="114300">
            <wp:extent cx="5759450" cy="54038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1F7F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14  招募管理</w:t>
      </w:r>
    </w:p>
    <w:p w14:paraId="48594C63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我的发布</w:t>
      </w:r>
    </w:p>
    <w:p w14:paraId="75C3FEC1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个人工作台集中查看作品、招募、版权信息和站内通知，并从这里进入管理页。</w:t>
      </w:r>
    </w:p>
    <w:p w14:paraId="53A13ED8">
      <w:pPr>
        <w:jc w:val="center"/>
      </w:pPr>
      <w:r>
        <w:drawing>
          <wp:inline distT="0" distB="0" distL="114300" distR="114300">
            <wp:extent cx="5719445" cy="7919720"/>
            <wp:effectExtent l="0" t="0" r="825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9558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39C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15  我的发布与业务进度</w:t>
      </w:r>
    </w:p>
    <w:p w14:paraId="5FC80463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管理后台</w:t>
      </w:r>
    </w:p>
    <w:p w14:paraId="69238E43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作品审核在同一张卡片里查看资料、视频和版权材料，勾选内容检查与版权检查后一次通过或驳回。</w:t>
      </w:r>
    </w:p>
    <w:p w14:paraId="274D6602">
      <w:pPr>
        <w:jc w:val="center"/>
      </w:pPr>
      <w:r>
        <w:drawing>
          <wp:inline distT="0" distB="0" distL="114300" distR="114300">
            <wp:extent cx="1980565" cy="79197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687" cy="79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3E7F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16  数字资产平台运营：作品审核</w:t>
      </w:r>
    </w:p>
    <w:p w14:paraId="3A3E38F1">
      <w:pPr>
        <w:jc w:val="center"/>
      </w:pPr>
      <w:r>
        <w:drawing>
          <wp:inline distT="0" distB="0" distL="114300" distR="114300">
            <wp:extent cx="5759450" cy="5751830"/>
            <wp:effectExtent l="0" t="0" r="635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940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17  招募审核</w:t>
      </w:r>
    </w:p>
    <w:p w14:paraId="6BEEDC19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客服配置维护真实二维码、微信号、服务时间和启用状态。未配置时用户端显示客服暂不可用。</w:t>
      </w:r>
    </w:p>
    <w:p w14:paraId="127EB88E">
      <w:pPr>
        <w:jc w:val="center"/>
      </w:pPr>
      <w:r>
        <w:drawing>
          <wp:inline distT="0" distB="0" distL="114300" distR="114300">
            <wp:extent cx="5759450" cy="4359910"/>
            <wp:effectExtent l="0" t="0" r="635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42E1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18  客服配置</w:t>
      </w:r>
    </w:p>
    <w:p w14:paraId="7B2F2E80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作品分类按行配置名称和顺序。移除分类不改历史作品。</w:t>
      </w:r>
    </w:p>
    <w:p w14:paraId="31464F86">
      <w:pPr>
        <w:jc w:val="center"/>
      </w:pPr>
      <w:r>
        <w:drawing>
          <wp:inline distT="0" distB="0" distL="114300" distR="114300">
            <wp:extent cx="5759450" cy="3731895"/>
            <wp:effectExtent l="0" t="0" r="635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BB9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19  作品分类</w:t>
      </w:r>
    </w:p>
    <w:p w14:paraId="6EE5195A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媒体任务、历史投稿和操作记录收在运行维护中，不放在日常审核导航里。</w:t>
      </w:r>
    </w:p>
    <w:p w14:paraId="624A8FE5">
      <w:pPr>
        <w:jc w:val="center"/>
      </w:pPr>
      <w:r>
        <w:drawing>
          <wp:inline distT="0" distB="0" distL="114300" distR="114300">
            <wp:extent cx="5759450" cy="4191635"/>
            <wp:effectExtent l="0" t="0" r="6350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2CFB">
      <w:pPr>
        <w:spacing w:after="280"/>
        <w:jc w:val="center"/>
      </w:pPr>
      <w:r>
        <w:rPr>
          <w:rFonts w:ascii="微软雅黑" w:hAnsi="微软雅黑" w:eastAsia="微软雅黑"/>
          <w:b w:val="0"/>
          <w:color w:val="5A685E"/>
          <w:sz w:val="18"/>
        </w:rPr>
        <w:t>图 20  运行维护</w:t>
      </w:r>
    </w:p>
    <w:p w14:paraId="08A12BEF">
      <w:pPr>
        <w:pStyle w:val="4"/>
      </w:pPr>
      <w:r>
        <w:rPr>
          <w:rFonts w:ascii="微软雅黑" w:hAnsi="微软雅黑" w:eastAsia="微软雅黑"/>
          <w:b/>
          <w:color w:val="203024"/>
          <w:sz w:val="32"/>
        </w:rPr>
        <w:t>第一期验收</w:t>
      </w:r>
    </w:p>
    <w:p w14:paraId="292ACB9E">
      <w:pPr>
        <w:pStyle w:val="16"/>
      </w:pPr>
      <w:r>
        <w:rPr>
          <w:rFonts w:ascii="微软雅黑" w:hAnsi="微软雅黑" w:eastAsia="微软雅黑"/>
          <w:b w:val="0"/>
          <w:sz w:val="22"/>
        </w:rPr>
        <w:t>不配置 AI、支付和邮件，仍能完成上传、草稿、版权确认、一次审核、上架、广场浏览和客服咨询。</w:t>
      </w:r>
    </w:p>
    <w:p w14:paraId="2E2FB83C">
      <w:pPr>
        <w:pStyle w:val="16"/>
      </w:pPr>
      <w:r>
        <w:rPr>
          <w:rFonts w:ascii="微软雅黑" w:hAnsi="微软雅黑" w:eastAsia="微软雅黑"/>
          <w:b w:val="0"/>
          <w:sz w:val="22"/>
        </w:rPr>
        <w:t>OSS 未配置时上传被明确阻断，不产生本地播放地址。</w:t>
      </w:r>
    </w:p>
    <w:p w14:paraId="0AB55451">
      <w:pPr>
        <w:pStyle w:val="16"/>
      </w:pPr>
      <w:r>
        <w:rPr>
          <w:rFonts w:ascii="微软雅黑" w:hAnsi="微软雅黑" w:eastAsia="微软雅黑"/>
          <w:b w:val="0"/>
          <w:sz w:val="22"/>
        </w:rPr>
        <w:t>广场点击作品进入买家页，不进入作者管理页。</w:t>
      </w:r>
    </w:p>
    <w:p w14:paraId="244F5B92">
      <w:pPr>
        <w:pStyle w:val="16"/>
      </w:pPr>
      <w:r>
        <w:rPr>
          <w:rFonts w:ascii="微软雅黑" w:hAnsi="微软雅黑" w:eastAsia="微软雅黑"/>
          <w:b w:val="0"/>
          <w:sz w:val="22"/>
        </w:rPr>
        <w:t>保存草稿不要求授权函或版权证明。</w:t>
      </w:r>
    </w:p>
    <w:p w14:paraId="3BE0354F">
      <w:pPr>
        <w:pStyle w:val="16"/>
      </w:pPr>
      <w:r>
        <w:rPr>
          <w:rFonts w:ascii="微软雅黑" w:hAnsi="微软雅黑" w:eastAsia="微软雅黑"/>
          <w:b w:val="0"/>
          <w:sz w:val="22"/>
        </w:rPr>
        <w:t>PrintFilm 作品签署授权函后可以提交；其他平台作品缺少证书编号、截图或勾选时不能提交。</w:t>
      </w:r>
    </w:p>
    <w:p w14:paraId="052E6984">
      <w:pPr>
        <w:pStyle w:val="16"/>
      </w:pPr>
      <w:r>
        <w:rPr>
          <w:rFonts w:ascii="微软雅黑" w:hAnsi="微软雅黑" w:eastAsia="微软雅黑"/>
          <w:b w:val="0"/>
          <w:sz w:val="22"/>
        </w:rPr>
        <w:t>付费作品公众只能看到试看；免费作品播放原片。</w:t>
      </w:r>
    </w:p>
    <w:p w14:paraId="3F34CB42">
      <w:pPr>
        <w:pStyle w:val="16"/>
      </w:pPr>
      <w:r>
        <w:rPr>
          <w:rFonts w:ascii="微软雅黑" w:hAnsi="微软雅黑" w:eastAsia="微软雅黑"/>
          <w:b w:val="0"/>
          <w:sz w:val="22"/>
        </w:rPr>
        <w:t>招募详情没有投稿表单，新投稿接口保持关闭。</w:t>
      </w:r>
    </w:p>
    <w:p w14:paraId="1B40B115">
      <w:pPr>
        <w:pStyle w:val="16"/>
      </w:pPr>
      <w:r>
        <w:rPr>
          <w:rFonts w:ascii="微软雅黑" w:hAnsi="微软雅黑" w:eastAsia="微软雅黑"/>
          <w:b w:val="0"/>
          <w:sz w:val="22"/>
        </w:rPr>
        <w:t>原项目登录、生成、计费和漫剧流程不受影响。</w:t>
      </w:r>
    </w:p>
    <w:p w14:paraId="010FB1F1">
      <w:pPr>
        <w:pStyle w:val="4"/>
      </w:pPr>
      <w:r>
        <w:rPr>
          <w:rFonts w:ascii="微软雅黑" w:hAnsi="微软雅黑" w:eastAsia="微软雅黑"/>
          <w:b/>
          <w:color w:val="203024"/>
          <w:sz w:val="32"/>
        </w:rPr>
        <w:t>第二期：App 持续收益</w:t>
      </w:r>
    </w:p>
    <w:p w14:paraId="151651DB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第二期从 App 观众付费解锁开始。Web 第一期的客服版权购买继续保留，不改成自动交易。本期不附页面截图，因为观众端播放页和支付闭环尚未作为第一期交付。</w:t>
      </w:r>
    </w:p>
    <w:p w14:paraId="19A84B0B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收费类型</w:t>
      </w:r>
    </w:p>
    <w:p w14:paraId="531F8548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在免费公开、联系客服购买版权之外，增加平台投放收益。三种类型互斥。版权参考价和平台解锁价分开保存。平台投放必须填写大于 0 的解锁价，版权材料仍按第一期规则，在同一次审核里检查。</w:t>
      </w:r>
    </w:p>
    <w:p w14:paraId="105B5B00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后台先配置统一的创作者分成比例。未配置时，平台投放作品可以存草稿，不能提交审核。单个作品或单个分集可以覆盖比例；留空则使用后台统一配置。支付成功时把当时的比例写入账本。</w:t>
      </w:r>
    </w:p>
    <w:p w14:paraId="6A5368E6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短剧</w:t>
      </w:r>
    </w:p>
    <w:p w14:paraId="0600703E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单条短视频作品保持不变，不把历史作品改成剧集。另建短剧系列，分集可以手动上传，也可以由用户明确选择后从自己的漫剧项目导入已生成的成片。导入后复制到 marketplace/ 并保存快照，之后两边互不影响。平台投放按集购买、按集定价、按集分成。任意一集不通过，系列不能上架。</w:t>
      </w:r>
    </w:p>
    <w:p w14:paraId="5173CA27">
      <w:pPr>
        <w:pStyle w:val="5"/>
      </w:pPr>
      <w:r>
        <w:rPr>
          <w:rFonts w:ascii="微软雅黑" w:hAnsi="微软雅黑" w:eastAsia="微软雅黑"/>
          <w:b/>
          <w:color w:val="203024"/>
          <w:sz w:val="26"/>
        </w:rPr>
        <w:t>支付、权益和播放</w:t>
      </w:r>
    </w:p>
    <w:p w14:paraId="126F0F4E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不使用原 AI 充值钱包，不写入原订单表。支付通道复用现有易支付适配器，订单、永久观看权益和收益账本使用市场自己的表。同一笔支付回调只入账一次。同一用户重复购买同一发布版本时返回已有权益。本期不支持退款，也不做自动提现；管理员在后台把待结算标记为已打款。</w:t>
      </w:r>
    </w:p>
    <w:p w14:paraId="72B9ABD0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未购买用户只拿到试看。已购买用户拿到短时有效的 HLS 播放清单，不返回原片地址。播放版本保留原分辨率。每次播放重新鉴权。这只能降低直接下载</w:t>
      </w:r>
      <w:bookmarkStart w:id="0" w:name="_GoBack"/>
      <w:bookmarkEnd w:id="0"/>
      <w:r>
        <w:rPr>
          <w:rFonts w:ascii="微软雅黑" w:hAnsi="微软雅黑" w:eastAsia="微软雅黑"/>
          <w:b w:val="0"/>
          <w:sz w:val="22"/>
        </w:rPr>
        <w:t>，不能阻止录屏。</w:t>
      </w:r>
    </w:p>
    <w:p w14:paraId="66A02342">
      <w:pPr>
        <w:spacing w:before="0" w:after="160" w:line="276" w:lineRule="auto"/>
      </w:pPr>
      <w:r>
        <w:rPr>
          <w:rFonts w:ascii="微软雅黑" w:hAnsi="微软雅黑" w:eastAsia="微软雅黑"/>
          <w:b w:val="0"/>
          <w:sz w:val="22"/>
        </w:rPr>
        <w:t>App 第一批接口包括内容流、分集详情、解锁状态、播放地址、解锁订单和创作者收益明细。本期不做独立的 Web 短视频播放站，也不向外部平台自动发布。</w:t>
      </w:r>
    </w:p>
    <w:p w14:paraId="628142C3">
      <w:pPr>
        <w:pStyle w:val="4"/>
      </w:pPr>
      <w:r>
        <w:rPr>
          <w:rFonts w:ascii="微软雅黑" w:hAnsi="微软雅黑" w:eastAsia="微软雅黑"/>
          <w:b/>
          <w:color w:val="203024"/>
          <w:sz w:val="32"/>
        </w:rPr>
        <w:t>第二期验收</w:t>
      </w:r>
    </w:p>
    <w:p w14:paraId="2AD5BC0A">
      <w:pPr>
        <w:pStyle w:val="16"/>
      </w:pPr>
      <w:r>
        <w:rPr>
          <w:rFonts w:ascii="微软雅黑" w:hAnsi="微软雅黑" w:eastAsia="微软雅黑"/>
          <w:b w:val="0"/>
          <w:sz w:val="22"/>
        </w:rPr>
        <w:t>未配置分成时，平台投放不能提交。</w:t>
      </w:r>
    </w:p>
    <w:p w14:paraId="17881F6B">
      <w:pPr>
        <w:pStyle w:val="16"/>
      </w:pPr>
      <w:r>
        <w:rPr>
          <w:rFonts w:ascii="微软雅黑" w:hAnsi="微软雅黑" w:eastAsia="微软雅黑"/>
          <w:b w:val="0"/>
          <w:sz w:val="22"/>
        </w:rPr>
        <w:t>单集或单作品分成优先于后台默认值。</w:t>
      </w:r>
    </w:p>
    <w:p w14:paraId="5A6FAD89">
      <w:pPr>
        <w:pStyle w:val="16"/>
      </w:pPr>
      <w:r>
        <w:rPr>
          <w:rFonts w:ascii="微软雅黑" w:hAnsi="微软雅黑" w:eastAsia="微软雅黑"/>
          <w:b w:val="0"/>
          <w:sz w:val="22"/>
        </w:rPr>
        <w:t>支付回调重复通知不会产生第二份权益或账本。</w:t>
      </w:r>
    </w:p>
    <w:p w14:paraId="3557E8CC">
      <w:pPr>
        <w:pStyle w:val="16"/>
      </w:pPr>
      <w:r>
        <w:rPr>
          <w:rFonts w:ascii="微软雅黑" w:hAnsi="微软雅黑" w:eastAsia="微软雅黑"/>
          <w:b w:val="0"/>
          <w:sz w:val="22"/>
        </w:rPr>
        <w:t>未支付用户拿不到完整播放地址；已支付用户获得永久在线播放权益。</w:t>
      </w:r>
    </w:p>
    <w:p w14:paraId="2FFA9CCE">
      <w:pPr>
        <w:pStyle w:val="16"/>
      </w:pPr>
      <w:r>
        <w:rPr>
          <w:rFonts w:ascii="微软雅黑" w:hAnsi="微软雅黑" w:eastAsia="微软雅黑"/>
          <w:b w:val="0"/>
          <w:sz w:val="22"/>
        </w:rPr>
        <w:t>导入漫剧分集不修改原项目。</w:t>
      </w:r>
    </w:p>
    <w:p w14:paraId="0A36FA74">
      <w:pPr>
        <w:pStyle w:val="16"/>
      </w:pPr>
      <w:r>
        <w:rPr>
          <w:rFonts w:ascii="微软雅黑" w:hAnsi="微软雅黑" w:eastAsia="微软雅黑"/>
          <w:b w:val="0"/>
          <w:sz w:val="22"/>
        </w:rPr>
        <w:t>第一期免费作品、客服版权购买和招募接单保持可用。</w:t>
      </w:r>
    </w:p>
    <w:p w14:paraId="1829F998">
      <w:pPr>
        <w:pStyle w:val="16"/>
      </w:pPr>
      <w:r>
        <w:rPr>
          <w:rFonts w:ascii="微软雅黑" w:hAnsi="微软雅黑" w:eastAsia="微软雅黑"/>
          <w:b w:val="0"/>
          <w:sz w:val="22"/>
        </w:rPr>
        <w:t>原 AI 充值、计费和漫剧生成不受影响。</w:t>
      </w:r>
    </w:p>
    <w:p w14:paraId="28F7F456">
      <w:pPr>
        <w:spacing w:before="0" w:after="240" w:line="276" w:lineRule="auto"/>
      </w:pPr>
      <w:r>
        <w:rPr>
          <w:rFonts w:ascii="微软雅黑" w:hAnsi="微软雅黑" w:eastAsia="微软雅黑"/>
          <w:b w:val="0"/>
          <w:sz w:val="22"/>
        </w:rPr>
        <w:t>本地没有真实支付和公网回调时，只验收接口、签名校验和权限边界，不把真实支付记为通过。</w:t>
      </w: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1061</Words>
  <Characters>1150</Characters>
  <Lines>0</Lines>
  <Paragraphs>0</Paragraphs>
  <TotalTime>10</TotalTime>
  <ScaleCrop>false</ScaleCrop>
  <LinksUpToDate>false</LinksUpToDate>
  <CharactersWithSpaces>1191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</cp:lastModifiedBy>
  <dcterms:modified xsi:type="dcterms:W3CDTF">2026-10-22T11:09:11Z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eyJoZGlkIjoiMjZhMDcwNGMyYTE3NzM0OTExY2U3YmMzMGY3ZmRmMTkiLCJ1c2VySWQiOiI0NTkzMTk5MDAifQ==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3C4D505D869847A5B67D390A370F3DEF_12</vt:lpwstr>
  </property>
</Properties>
</file>