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System Health Audit — Engagement Letter</w:t>
      </w:r>
    </w:p>
    <w:p>
      <w:pPr>
        <w:pStyle w:val="Subtitle"/>
      </w:pPr>
      <w:r>
        <w:t xml:space="preserve">Fixed-fee technical audit of a single covered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Provider</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Tensile Infrastructure Ltd, a company registered in England and Wales (Company No. 17139591), whose registered office is at 71-75 Shelton Street, Covent Garden, London, WC2H 9JQ.</w:t>
            </w:r>
          </w:p>
        </w:tc>
      </w:tr>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Client</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[CLIENT LEGAL NAME], of [CLIENT REGISTERED ADDRESS] (Company No. [CLIENT COMPANY NUMBER]).</w:t>
            </w:r>
          </w:p>
        </w:tc>
      </w:tr>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Engagement</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System Health Audit of a single nominated codebase and its production infrastructure (the "System").</w:t>
            </w:r>
          </w:p>
        </w:tc>
      </w:tr>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Fixed fee</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b/>
                <w:bCs/>
                <w:color w:val="333333"/>
                <w:sz w:val="20"/>
                <w:szCs w:val="20"/>
              </w:rPr>
              <w:t xml:space="preserve">£500.00 (five hundred pounds) excluding VAT.</w:t>
            </w:r>
          </w:p>
        </w:tc>
      </w:tr>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Turnaround</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The written report will be delivered within three (3) UK working days of the Start Date (defined in clause 2).</w:t>
            </w:r>
          </w:p>
        </w:tc>
      </w:tr>
      <w:tr>
        <w:tc>
          <w:tcPr>
            <w:tcW w:type="dxa" w:w="2200"/>
            <w:tcBorders>
              <w:top w:val="single" w:color="D8D8D8" w:sz="4"/>
              <w:left w:val="single" w:color="D8D8D8" w:sz="4"/>
              <w:bottom w:val="single" w:color="D8D8D8" w:sz="4"/>
              <w:right w:val="single" w:color="D8D8D8" w:sz="4"/>
            </w:tcBorders>
            <w:shd w:fill="F0F2F7" w:val="clear"/>
            <w:tcMar>
              <w:top w:type="dxa" w:w="100"/>
              <w:left w:type="dxa" w:w="140"/>
              <w:bottom w:type="dxa" w:w="100"/>
              <w:right w:type="dxa" w:w="140"/>
            </w:tcMar>
            <w:vAlign w:val="center"/>
          </w:tcPr>
          <w:p>
            <w:pPr>
              <w:spacing w:after="0" w:before="0"/>
            </w:pPr>
            <w:r>
              <w:rPr>
                <w:b/>
                <w:bCs/>
                <w:color w:val="002352"/>
                <w:sz w:val="20"/>
                <w:szCs w:val="20"/>
              </w:rPr>
              <w:t xml:space="preserve">Effective date</w:t>
            </w:r>
          </w:p>
        </w:tc>
        <w:tc>
          <w:tcPr>
            <w:tcW w:type="dxa" w:w="7160"/>
            <w:tcBorders>
              <w:top w:val="single" w:color="D8D8D8" w:sz="4"/>
              <w:left w:val="single" w:color="D8D8D8" w:sz="4"/>
              <w:bottom w:val="single" w:color="D8D8D8" w:sz="4"/>
              <w:right w:val="single" w:color="D8D8D8" w:sz="4"/>
            </w:tcBorders>
            <w:tcMar>
              <w:top w:type="dxa" w:w="100"/>
              <w:left w:type="dxa" w:w="140"/>
              <w:bottom w:type="dxa" w:w="100"/>
              <w:right w:type="dxa" w:w="140"/>
            </w:tcMar>
            <w:vAlign w:val="center"/>
          </w:tcPr>
          <w:p>
            <w:pPr>
              <w:spacing w:after="0" w:before="0"/>
            </w:pPr>
            <w:r>
              <w:rPr>
                <w:color w:val="333333"/>
                <w:sz w:val="20"/>
                <w:szCs w:val="20"/>
              </w:rPr>
              <w:t xml:space="preserve">[EFFECTIVE DATE]</w:t>
            </w:r>
          </w:p>
        </w:tc>
      </w:tr>
    </w:tbl>
    <w:p>
      <w:pPr>
        <w:spacing w:after="200" w:before="0"/>
      </w:pPr>
      <w:r>
        <w:t xml:space="preserve"/>
      </w:r>
    </w:p>
    <w:p>
      <w:pPr>
        <w:pStyle w:val="Clause"/>
      </w:pPr>
      <w:r>
        <w:t xml:space="preserve">This engagement letter (the "Letter") records the terms on which the Provider will carry out a one-off System Health Audit for the Client. It is a standalone fixed-fee engagement and does not in itself create any ongoing retainer, maintenance obligation, or monthly commitment. Any ongoing relationship arising from this audit will be governed by a separate written Retainer Agreement signed by both parties.</w:t>
      </w:r>
    </w:p>
    <w:p>
      <w:pPr>
        <w:pStyle w:val="Heading2"/>
      </w:pPr>
      <w:r>
        <w:t xml:space="preserve">1. Scope of the Audit</w:t>
      </w:r>
    </w:p>
    <w:p>
      <w:pPr>
        <w:pStyle w:val="Clause"/>
      </w:pPr>
      <w:r>
        <w:t xml:space="preserve">The Provider will carry out an asynchronous technical review of the System covering:</w:t>
      </w:r>
    </w:p>
    <w:p>
      <w:pPr>
        <w:pStyle w:val="Clause"/>
        <w:numPr>
          <w:ilvl w:val="0"/>
          <w:numId w:val="2"/>
        </w:numPr>
      </w:pPr>
      <w:r>
        <w:t xml:space="preserve">Dependency and package health — outdated, unmaintained, or deprecated libraries, and Common Vulnerabilities and Exposures (CVEs) affecting the dependency tree.</w:t>
      </w:r>
    </w:p>
    <w:p>
      <w:pPr>
        <w:pStyle w:val="Clause"/>
        <w:numPr>
          <w:ilvl w:val="0"/>
          <w:numId w:val="2"/>
        </w:numPr>
      </w:pPr>
      <w:r>
        <w:t xml:space="preserve">Security posture — secrets hygiene, authentication surfaces, transport security, obvious injection or access-control risks observable through static analysis and repository inspection.</w:t>
      </w:r>
    </w:p>
    <w:p>
      <w:pPr>
        <w:pStyle w:val="Clause"/>
        <w:numPr>
          <w:ilvl w:val="0"/>
          <w:numId w:val="2"/>
        </w:numPr>
      </w:pPr>
      <w:r>
        <w:t xml:space="preserve">Performance baseline — build output size, Core Web Vitals (for web front ends), obvious N+1 or query hot-spots observable from code and available logs.</w:t>
      </w:r>
    </w:p>
    <w:p>
      <w:pPr>
        <w:pStyle w:val="Clause"/>
        <w:numPr>
          <w:ilvl w:val="0"/>
          <w:numId w:val="2"/>
        </w:numPr>
      </w:pPr>
      <w:r>
        <w:t xml:space="preserve">Infrastructure hygiene — runtime versions, platform end-of-life dates, backup posture, and basic availability signals.</w:t>
      </w:r>
    </w:p>
    <w:p>
      <w:pPr>
        <w:pStyle w:val="Clause"/>
        <w:numPr>
          <w:ilvl w:val="0"/>
          <w:numId w:val="2"/>
        </w:numPr>
      </w:pPr>
      <w:r>
        <w:t xml:space="preserve">Code structural risks that materially threaten maintainability or availability.</w:t>
      </w:r>
    </w:p>
    <w:p>
      <w:pPr>
        <w:pStyle w:val="Clause"/>
      </w:pPr>
      <w:r>
        <w:t xml:space="preserve">The audit is deliberately non-invasive. The Provider will not make changes to the production environment, modify code, deploy artefacts, or touch client data as part of this engagement. For the avoidance of doubt, this engagement does not include: implementing fixes, writing patches, refactoring code, migrating infrastructure, penetration testing, formal compliance certification (e.g. SOC 2, ISO 27001, PCI DSS), or user-interface quality assurance.</w:t>
      </w:r>
    </w:p>
    <w:p>
      <w:pPr>
        <w:pStyle w:val="Heading2"/>
      </w:pPr>
      <w:r>
        <w:t xml:space="preserve">2. Start Date, Access, and Client Obligations</w:t>
      </w:r>
    </w:p>
    <w:p>
      <w:pPr>
        <w:pStyle w:val="Clause"/>
      </w:pPr>
      <w:r>
        <w:t xml:space="preserve">The "Start Date" is the later of: (a) the date on which the Provider confirms in writing that it has received the full fixed fee in cleared funds; and (b) the date on which the Provider confirms in writing that it has received read-only access to the repository, deployment platform, and any logs or observability tooling reasonably necessary to complete the scope in clause 1.</w:t>
      </w:r>
    </w:p>
    <w:p>
      <w:pPr>
        <w:pStyle w:val="Clause"/>
      </w:pPr>
      <w:r>
        <w:t xml:space="preserve">The Client shall provide, within two (2) UK working days of countersigning this Letter:</w:t>
      </w:r>
    </w:p>
    <w:p>
      <w:pPr>
        <w:pStyle w:val="Clause"/>
        <w:numPr>
          <w:ilvl w:val="0"/>
          <w:numId w:val="2"/>
        </w:numPr>
      </w:pPr>
      <w:r>
        <w:t xml:space="preserve">Read-only access to the source repository (GitHub, GitLab, Bitbucket, or equivalent).</w:t>
      </w:r>
    </w:p>
    <w:p>
      <w:pPr>
        <w:pStyle w:val="Clause"/>
        <w:numPr>
          <w:ilvl w:val="0"/>
          <w:numId w:val="2"/>
        </w:numPr>
      </w:pPr>
      <w:r>
        <w:t xml:space="preserve">Read-only access to the production deployment platform and logs sufficient to observe runtime versions, environment variables (redacted where sensitive), and recent error rates.</w:t>
      </w:r>
    </w:p>
    <w:p>
      <w:pPr>
        <w:pStyle w:val="Clause"/>
        <w:numPr>
          <w:ilvl w:val="0"/>
          <w:numId w:val="2"/>
        </w:numPr>
      </w:pPr>
      <w:r>
        <w:t xml:space="preserve">A named technical contact who can answer questions and provide clarification during the audit window.</w:t>
      </w:r>
    </w:p>
    <w:p>
      <w:pPr>
        <w:pStyle w:val="Clause"/>
      </w:pPr>
      <w:r>
        <w:t xml:space="preserve">If the Client fails to provide the access or information set out above within five (5) UK working days of countersigning this Letter, the Provider may at its discretion (i) extend the delivery date by an equivalent period, or (ii) terminate this engagement and retain the fixed fee as compensation for time reserved.</w:t>
      </w:r>
    </w:p>
    <w:p>
      <w:pPr>
        <w:pStyle w:val="Heading2"/>
      </w:pPr>
      <w:r>
        <w:t xml:space="preserve">3. Deliverable</w:t>
      </w:r>
    </w:p>
    <w:p>
      <w:pPr>
        <w:pStyle w:val="Clause"/>
      </w:pPr>
      <w:r>
        <w:t xml:space="preserve">The Provider will deliver a single written report (the "Report") in PDF format covering the scope in clause 1. The Report will include an executive summary, a prioritised findings list (with severity ratings of Critical, High, Medium, Low, and Info), a recommended action list, and an appendix of raw tool output where relevant. The Report is intended to be directly actionable by the Client's internal development team.</w:t>
      </w:r>
    </w:p>
    <w:p>
      <w:pPr>
        <w:pStyle w:val="Clause"/>
      </w:pPr>
      <w:r>
        <w:t xml:space="preserve">The Provider will deliver the Report by email to the Client's nominated technical contact no later than three (3) UK working days after the Start Date. One round of written clarification questions on the Report is included at no additional cost, provided those questions are raised within fourteen (14) calendar days of delivery.</w:t>
      </w:r>
    </w:p>
    <w:p>
      <w:pPr>
        <w:pStyle w:val="Heading2"/>
      </w:pPr>
      <w:r>
        <w:t xml:space="preserve">4. Fees, Payment, and VAT</w:t>
      </w:r>
    </w:p>
    <w:p>
      <w:pPr>
        <w:pStyle w:val="Clause"/>
      </w:pPr>
      <w:r>
        <w:t xml:space="preserve">The fixed fee is £500.00 (five hundred pounds) excluding VAT. VAT, where applicable, will be charged in addition at the prevailing UK rate. The full fee is payable in advance by the Effective Date via the Stripe payment link provided with this Letter. The Provider will not begin work until the fee has cleared.</w:t>
      </w:r>
    </w:p>
    <w:p>
      <w:pPr>
        <w:pStyle w:val="Clause"/>
      </w:pPr>
      <w:r>
        <w:t xml:space="preserve">The fee is non-refundable once the Start Date has occurred, save in the case of material breach by the Provider. If the Client cancels before the Start Date, the Provider will refund the fee less a £75 administrative charge covering scheduling and setup time.</w:t>
      </w:r>
    </w:p>
    <w:p>
      <w:pPr>
        <w:pStyle w:val="Clause"/>
      </w:pPr>
      <w:r>
        <w:t xml:space="preserve">The Late Payment of Commercial Debts (Interest) Act 1998 applies to any sums due under this Letter that remain unpaid after the due date. In practice, this does not arise in the normal course because the fee is paid in advance.</w:t>
      </w:r>
    </w:p>
    <w:p>
      <w:pPr>
        <w:pStyle w:val="Heading2"/>
      </w:pPr>
      <w:r>
        <w:t xml:space="preserve">5. Confidentiality</w:t>
      </w:r>
    </w:p>
    <w:p>
      <w:pPr>
        <w:pStyle w:val="Clause"/>
      </w:pPr>
      <w:r>
        <w:t xml:space="preserve">The Provider shall treat all information obtained during the audit — including source code, infrastructure configuration, and commercial information — as strictly confidential. The Provider shall not disclose such information to any third party except: (a) with the Client's prior written consent; (b) to its professional advisers under equivalent duties of confidence; or (c) where required by law, regulation, or a competent court order.</w:t>
      </w:r>
    </w:p>
    <w:p>
      <w:pPr>
        <w:pStyle w:val="Clause"/>
      </w:pPr>
      <w:r>
        <w:t xml:space="preserve">The Provider's confidentiality obligations survive termination of this engagement for a period of three (3) years. The Provider shall securely delete all copies of Client source code and credentials within thirty (30) days of Report delivery, save where retention is required for the Provider's professional-indemnity insurer.</w:t>
      </w:r>
    </w:p>
    <w:p>
      <w:pPr>
        <w:pStyle w:val="Heading2"/>
      </w:pPr>
      <w:r>
        <w:t xml:space="preserve">6. Data Protection</w:t>
      </w:r>
    </w:p>
    <w:p>
      <w:pPr>
        <w:pStyle w:val="Clause"/>
      </w:pPr>
      <w:r>
        <w:t xml:space="preserve">The parties acknowledge that the audit does not ordinarily involve the processing of personal data on the Client's behalf. Where, incidentally, the Provider comes into contact with personal data (for example, in sample logs or error traces), the Provider shall act as a processor solely in accordance with the Client's documented instructions and the UK General Data Protection Regulation. Where the Client reasonably requires it, the parties will execute the Provider's standard Data Processing Agreement before the Start Date.</w:t>
      </w:r>
    </w:p>
    <w:p>
      <w:pPr>
        <w:pStyle w:val="Heading2"/>
      </w:pPr>
      <w:r>
        <w:t xml:space="preserve">7. Intellectual Property</w:t>
      </w:r>
    </w:p>
    <w:p>
      <w:pPr>
        <w:pStyle w:val="Clause"/>
      </w:pPr>
      <w:r>
        <w:t xml:space="preserve">All pre-existing intellectual property of each party remains owned by that party. On full payment of the fee, the Client is granted a perpetual, irrevocable, worldwide, royalty-free licence to use, copy, and adapt the Report for its internal business purposes. The Provider retains ownership of its methodology, scanning configurations, and report templates, and is free to reuse generalised knowledge gained during the engagement in providing services to other clients, provided no Client confidential information is disclosed.</w:t>
      </w:r>
    </w:p>
    <w:p>
      <w:pPr>
        <w:pStyle w:val="Heading2"/>
      </w:pPr>
      <w:r>
        <w:t xml:space="preserve">8. Warranties and Liability</w:t>
      </w:r>
    </w:p>
    <w:p>
      <w:pPr>
        <w:pStyle w:val="Clause"/>
      </w:pPr>
      <w:r>
        <w:t xml:space="preserve">The Provider warrants that the audit will be performed with reasonable skill and care by personnel with the necessary technical expertise, and that the Provider maintains Professional Indemnity insurance with a limit of indemnity of not less than £1,000,000 (one million pounds) for any one claim.</w:t>
      </w:r>
    </w:p>
    <w:p>
      <w:pPr>
        <w:pStyle w:val="Clause"/>
      </w:pPr>
      <w:r>
        <w:t xml:space="preserve">The Provider does not warrant that the Report will identify every defect, vulnerability, or risk present in the System. A health audit is a point-in-time diagnostic and not a guarantee of security, availability, or fitness for purpose. The Client remains responsible for decisions made on the basis of the Report.</w:t>
      </w:r>
    </w:p>
    <w:p>
      <w:pPr>
        <w:pStyle w:val="Clause"/>
      </w:pPr>
      <w:r>
        <w:t xml:space="preserve">Subject to the following paragraph, the total aggregate liability of the Provider arising out of or in connection with this engagement, whether in contract, tort (including negligence), breach of statutory duty, misrepresentation or otherwise, shall be limited to the greater of (a) the total fees paid under this Letter and (b) £10,000 (ten thousand pounds).</w:t>
      </w:r>
    </w:p>
    <w:p>
      <w:pPr>
        <w:pStyle w:val="Clause"/>
      </w:pPr>
      <w:r>
        <w:t xml:space="preserve">Nothing in this Letter limits or excludes liability for: (a) death or personal injury caused by negligence; (b) fraud or fraudulent misrepresentation; or (c) any other liability which cannot lawfully be limited or excluded.</w:t>
      </w:r>
    </w:p>
    <w:p>
      <w:pPr>
        <w:pStyle w:val="Clause"/>
      </w:pPr>
      <w:r>
        <w:t xml:space="preserve">Neither party shall be liable to the other for any indirect, consequential, or special loss, loss of profits, loss of revenue, loss of business, loss of anticipated savings, loss of goodwill, or loss or corruption of data, whether arising in contract, tort, or otherwise.</w:t>
      </w:r>
    </w:p>
    <w:p>
      <w:pPr>
        <w:pStyle w:val="Heading2"/>
      </w:pPr>
      <w:r>
        <w:t xml:space="preserve">9. IR35 and Independent Status</w:t>
      </w:r>
    </w:p>
    <w:p>
      <w:pPr>
        <w:pStyle w:val="Clause"/>
      </w:pPr>
      <w:r>
        <w:t xml:space="preserve">The Provider is an independent contractor and is solely responsible for its own tax, National Insurance, and other statutory liabilities. Nothing in this Letter shall be construed as creating a relationship of employer and employee, partnership, joint venture, or agency. The Provider retains full control over the manner and method by which the audit is carried out, including the right of substitution: the Provider may, at its own cost and without the Client's prior approval, provide a suitably qualified substitute to carry out any or all of the audit work.</w:t>
      </w:r>
    </w:p>
    <w:p>
      <w:pPr>
        <w:pStyle w:val="Clause"/>
      </w:pPr>
      <w:r>
        <w:t xml:space="preserve">There is no mutuality of obligation between the parties beyond the completion of this single fixed-fee engagement. The Client is not obliged to offer further work and the Provider is not obliged to accept it.</w:t>
      </w:r>
    </w:p>
    <w:p>
      <w:pPr>
        <w:pStyle w:val="Clause"/>
      </w:pPr>
      <w:r>
        <w:t xml:space="preserve">The Client shall indemnify the Provider against any income tax, National Insurance contributions, or related interest and penalties assessed on the Provider or any individual supplied by the Provider that arise solely from the Client having incorrectly assessed this engagement as being within the scope of Chapter 8 or Chapter 10 of Part 2 of the Income Tax (Earnings and Pensions) Act 2003.</w:t>
      </w:r>
    </w:p>
    <w:p>
      <w:pPr>
        <w:pStyle w:val="Heading2"/>
      </w:pPr>
      <w:r>
        <w:t xml:space="preserve">10. Termination</w:t>
      </w:r>
    </w:p>
    <w:p>
      <w:pPr>
        <w:pStyle w:val="Clause"/>
      </w:pPr>
      <w:r>
        <w:t xml:space="preserve">Either party may terminate this engagement by immediate written notice if the other party: (a) commits a material breach of this Letter which is not remedied within seven (7) days of written notice; or (b) becomes insolvent, enters administration or liquidation, or ceases to carry on business.</w:t>
      </w:r>
    </w:p>
    <w:p>
      <w:pPr>
        <w:pStyle w:val="Clause"/>
      </w:pPr>
      <w:r>
        <w:t xml:space="preserve">On termination, clauses 5 (Confidentiality), 6 (Data Protection), 7 (Intellectual Property), 8 (Warranties and Liability), and this clause shall survive.</w:t>
      </w:r>
    </w:p>
    <w:p>
      <w:pPr>
        <w:pStyle w:val="Heading2"/>
      </w:pPr>
      <w:r>
        <w:t xml:space="preserve">11. General</w:t>
      </w:r>
    </w:p>
    <w:p>
      <w:pPr>
        <w:pStyle w:val="Clause"/>
      </w:pPr>
      <w:r>
        <w:t xml:space="preserve">This Letter, together with any Data Processing Agreement executed by the parties, constitutes the entire agreement between the parties relating to the System Health Audit and supersedes any prior proposals, correspondence, or representations.</w:t>
      </w:r>
    </w:p>
    <w:p>
      <w:pPr>
        <w:pStyle w:val="Clause"/>
      </w:pPr>
      <w:r>
        <w:t xml:space="preserve">No variation of this Letter shall be effective unless made in writing and signed by an authorised representative of each party. A person who is not a party to this Letter has no rights under the Contracts (Rights of Third Parties) Act 1999 to enforce any of its terms.</w:t>
      </w:r>
    </w:p>
    <w:p>
      <w:pPr>
        <w:pStyle w:val="Clause"/>
      </w:pPr>
      <w:r>
        <w:t xml:space="preserve">This Letter and any dispute arising out of or in connection with it is governed by the laws of England and Wales. The parties irrevocably submit to the exclusive jurisdiction of the courts of England and Wales.</w:t>
      </w:r>
    </w:p>
    <w:p>
      <w:pPr>
        <w:pStyle w:val="Clause"/>
      </w:pPr>
      <w:r>
        <w:t xml:space="preserve">This Letter may be executed in counterparts, including by electronic signature, each of which shall be an original and which together shall constitute one instrument.</w:t>
      </w:r>
    </w:p>
    <w:p>
      <w:pPr>
        <w:spacing w:after="400" w:before="0"/>
      </w:pPr>
      <w:r>
        <w:t xml:space="preserve"/>
      </w:r>
    </w:p>
    <w:p>
      <w:pPr>
        <w:pStyle w:val="Heading2"/>
      </w:pPr>
      <w:r>
        <w:t xml:space="preserve">Signed for and on behalf of the Provider</w:t>
      </w:r>
    </w:p>
    <w:p>
      <w:pPr>
        <w:pStyle w:val="Clause"/>
      </w:pPr>
      <w:r>
        <w:rPr>
          <w:b/>
          <w:bCs/>
        </w:rPr>
        <w:t xml:space="preserve">Tensile Infrastructure Ltd</w:t>
      </w:r>
    </w:p>
    <w:p>
      <w:pPr>
        <w:pBdr>
          <w:bottom w:val="single" w:color="333333" w:sz="6" w:space="1"/>
        </w:pBdr>
        <w:spacing w:after="0" w:before="360"/>
      </w:pPr>
      <w:r>
        <w:t xml:space="preserve"/>
      </w:r>
    </w:p>
    <w:p>
      <w:pPr>
        <w:pStyle w:val="Clause"/>
      </w:pPr>
      <w:r>
        <w:t xml:space="preserve">Name: [PROVIDER SIGNATORY NAME]</w:t>
      </w:r>
    </w:p>
    <w:p>
      <w:pPr>
        <w:pStyle w:val="Clause"/>
      </w:pPr>
      <w:r>
        <w:t xml:space="preserve">Title: Director</w:t>
      </w:r>
    </w:p>
    <w:p>
      <w:pPr>
        <w:pStyle w:val="Clause"/>
      </w:pPr>
      <w:r>
        <w:t xml:space="preserve">Date: ______________________</w:t>
      </w:r>
    </w:p>
    <w:p>
      <w:pPr>
        <w:spacing w:after="240" w:before="0"/>
      </w:pPr>
      <w:r>
        <w:t xml:space="preserve"/>
      </w:r>
    </w:p>
    <w:p>
      <w:pPr>
        <w:pStyle w:val="Heading2"/>
      </w:pPr>
      <w:r>
        <w:t xml:space="preserve">Signed for and on behalf of the Client</w:t>
      </w:r>
    </w:p>
    <w:p>
      <w:pPr>
        <w:pStyle w:val="Clause"/>
      </w:pPr>
      <w:r>
        <w:rPr>
          <w:b/>
          <w:bCs/>
        </w:rPr>
        <w:t xml:space="preserve">[CLIENT LEGAL NAME]</w:t>
      </w:r>
    </w:p>
    <w:p>
      <w:pPr>
        <w:pBdr>
          <w:bottom w:val="single" w:color="333333" w:sz="6" w:space="1"/>
        </w:pBdr>
        <w:spacing w:after="0" w:before="360"/>
      </w:pPr>
      <w:r>
        <w:t xml:space="preserve"/>
      </w:r>
    </w:p>
    <w:p>
      <w:pPr>
        <w:pStyle w:val="Clause"/>
      </w:pPr>
      <w:r>
        <w:t xml:space="preserve">Name: [CLIENT SIGNATORY NAME]</w:t>
      </w:r>
    </w:p>
    <w:p>
      <w:pPr>
        <w:pStyle w:val="Clause"/>
      </w:pPr>
      <w:r>
        <w:t xml:space="preserve">Title: [CLIENT SIGNATORY TITLE]</w:t>
      </w:r>
    </w:p>
    <w:p>
      <w:pPr>
        <w:pStyle w:val="Clause"/>
      </w:pPr>
      <w:r>
        <w:t xml:space="preserve">Date: ______________________</w:t>
      </w:r>
    </w:p>
    <w:p>
      <w:pPr>
        <w:spacing w:after="400" w:before="0"/>
      </w:pPr>
      <w:r>
        <w:t xml:space="preserve"/>
      </w:r>
    </w:p>
    <w:p>
      <w:pPr>
        <w:spacing w:after="0" w:before="400"/>
        <w:jc w:val="center"/>
      </w:pPr>
      <w:r>
        <w:rPr>
          <w:i/>
          <w:iCs/>
          <w:color w:val="666666"/>
          <w:sz w:val="18"/>
          <w:szCs w:val="18"/>
        </w:rPr>
        <w:t xml:space="preserve">This document is a template. It must be reviewed by a qualified solicitor admitted in England and Wales before first use with a client. Replace all bracketed placeholders before signing.</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8" w:sz="4" w:space="6"/>
      </w:pBdr>
      <w:tabs>
        <w:tab w:val="right" w:pos="9360"/>
      </w:tabs>
      <w:spacing w:before="60"/>
    </w:pPr>
    <w:r>
      <w:rPr>
        <w:color w:val="666666"/>
        <w:sz w:val="16"/>
        <w:szCs w:val="16"/>
      </w:rPr>
      <w:t xml:space="preserve">Tensile Infrastructure Ltd  ·  Company No. 17139591  ·  </w:t>
    </w:r>
    <w:r>
      <w:rPr>
        <w:i/>
        <w:iCs/>
        <w:color w:val="666666"/>
        <w:sz w:val="16"/>
        <w:szCs w:val="16"/>
      </w:rPr>
      <w:t xml:space="preserve">Audit Engagement Letter · Template v1.0</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1714500" cy="523875"/>
          <wp:effectExtent t="0" r="0" b="0" l="0"/>
          <wp:docPr id="1" name="logo" descr="Tensile Infrastructure logo" title="Tensile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523875"/>
                  </a:xfrm>
                  <a:prstGeom prst="rect">
                    <a:avLst/>
                  </a:prstGeom>
                </pic:spPr>
              </pic:pic>
            </a:graphicData>
          </a:graphic>
        </wp:inline>
      </w:drawing>
    </w:r>
  </w:p>
  <w:p>
    <w:pPr>
      <w:pBdr>
        <w:bottom w:val="single" w:color="002352" w:sz="6" w:space="4"/>
      </w:pBdr>
      <w:spacing w:after="0" w:before="4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002352"/>
      <w:sz w:val="44"/>
      <w:szCs w:val="44"/>
    </w:rPr>
  </w:style>
  <w:style w:type="paragraph" w:styleId="Subtitle">
    <w:name w:val="Subtitle"/>
    <w:basedOn w:val="Normal"/>
    <w:next w:val="Normal"/>
    <w:qFormat/>
    <w:pPr>
      <w:spacing w:after="360" w:before="0"/>
    </w:pPr>
    <w:rPr>
      <w:rFonts w:ascii="Arial" w:cs="Arial" w:eastAsia="Arial" w:hAnsi="Arial"/>
      <w:i w:val="false"/>
      <w:iCs w:val="false"/>
      <w:color w:val="666666"/>
      <w:sz w:val="22"/>
      <w:szCs w:val="22"/>
    </w:rPr>
  </w:style>
  <w:style w:type="paragraph" w:styleId="Heading1">
    <w:name w:val="Heading 1"/>
    <w:basedOn w:val="Normal"/>
    <w:next w:val="Normal"/>
    <w:qFormat/>
    <w:pPr>
      <w:spacing w:after="160" w:before="360"/>
      <w:outlineLvl w:val="0"/>
    </w:pPr>
    <w:rPr>
      <w:rFonts w:ascii="Arial" w:cs="Arial" w:eastAsia="Arial" w:hAnsi="Arial"/>
      <w:b/>
      <w:bCs/>
      <w:color w:val="002352"/>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02352"/>
      <w:sz w:val="24"/>
      <w:szCs w:val="24"/>
    </w:rPr>
  </w:style>
  <w:style w:type="paragraph" w:styleId="Heading3">
    <w:name w:val="Heading 3"/>
    <w:basedOn w:val="Normal"/>
    <w:next w:val="Normal"/>
    <w:qFormat/>
    <w:pPr>
      <w:spacing w:after="80" w:before="240"/>
      <w:outlineLvl w:val="2"/>
    </w:pPr>
    <w:rPr>
      <w:rFonts w:ascii="Arial" w:cs="Arial" w:eastAsia="Arial" w:hAnsi="Arial"/>
      <w:b/>
      <w:bCs/>
      <w:color w:val="1A1A1A"/>
      <w:sz w:val="22"/>
      <w:szCs w:val="22"/>
    </w:rPr>
  </w:style>
  <w:style w:type="paragraph" w:styleId="Clause">
    <w:name w:val="Clause"/>
    <w:basedOn w:val="Normal"/>
    <w:next w:val="Normal"/>
    <w:pPr>
      <w:spacing w:after="80" w:before="80" w:line="300"/>
    </w:pPr>
    <w:rPr>
      <w:rFonts w:ascii="Arial" w:cs="Arial" w:eastAsia="Arial" w:hAnsi="Arial"/>
      <w:color w:val="333333"/>
      <w:sz w:val="22"/>
      <w:szCs w:val="22"/>
    </w:rPr>
  </w:style>
  <w:style w:type="paragraph" w:styleId="Caption">
    <w:name w:val="Caption"/>
    <w:basedOn w:val="Normal"/>
    <w:next w:val="Normal"/>
    <w:pPr>
      <w:spacing w:after="120" w:before="60"/>
    </w:pPr>
    <w:rPr>
      <w:rFonts w:ascii="Arial" w:cs="Arial" w:eastAsia="Arial" w:hAnsi="Arial"/>
      <w:i/>
      <w:iCs/>
      <w:color w:val="66666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37bb148841f003836646a851760eaf898653db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Health Audit — Engagement Letter</dc:title>
  <dc:creator>Tensile Infrastructure Ltd</dc:creator>
  <dc:description>Fixed-fee audit engagement letter template</dc:description>
  <cp:lastModifiedBy>Un-named</cp:lastModifiedBy>
  <cp:revision>1</cp:revision>
  <dcterms:created xsi:type="dcterms:W3CDTF">2026-04-10T18:22:52.467Z</dcterms:created>
  <dcterms:modified xsi:type="dcterms:W3CDTF">2026-04-10T18:22:52.467Z</dcterms:modified>
</cp:coreProperties>
</file>

<file path=docProps/custom.xml><?xml version="1.0" encoding="utf-8"?>
<Properties xmlns="http://schemas.openxmlformats.org/officeDocument/2006/custom-properties" xmlns:vt="http://schemas.openxmlformats.org/officeDocument/2006/docPropsVTypes"/>
</file>