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t xml:space="preserve"/>
      </w:r>
    </w:p>
    <w:p>
      <w:pPr>
        <w:spacing w:after="40" w:before="200"/>
      </w:pPr>
      <w:r>
        <w:rPr>
          <w:b/>
          <w:bCs/>
          <w:color w:val="C00000"/>
          <w:sz w:val="16"/>
          <w:szCs w:val="16"/>
        </w:rPr>
        <w:t xml:space="preserve">INTERNAL RUNBOOK · NOT FOR EXTERNAL DISTRIBUTION</w:t>
      </w:r>
    </w:p>
    <w:p>
      <w:pPr>
        <w:pStyle w:val="Title"/>
      </w:pPr>
      <w:r>
        <w:t xml:space="preserve">System Health Audit</w:t>
      </w:r>
    </w:p>
    <w:p>
      <w:pPr>
        <w:pStyle w:val="Subtitle"/>
      </w:pPr>
      <w:r>
        <w:t xml:space="preserve">Follow this process for every audit, every time</w:t>
      </w:r>
    </w:p>
    <w:p>
      <w:pPr>
        <w:pStyle w:val="Heading1"/>
      </w:pPr>
      <w:r>
        <w:t xml:space="preserve">Overview</w:t>
      </w:r>
    </w:p>
    <w:p>
      <w:pPr>
        <w:pStyle w:val="Heading3"/>
      </w:pPr>
      <w:r>
        <w:t xml:space="preserve">What this audit covers</w:t>
      </w:r>
    </w:p>
    <w:p>
      <w:pPr>
        <w:pStyle w:val="Clause"/>
      </w:pPr>
      <w:r>
        <w:t xml:space="preserve">Every System Health Audit covers four areas: dependency health, security vulnerabilities, security posture (configuration-level issues), and performance. The process is universal — the tools vary by ecosystem but the categories do not.</w:t>
      </w:r>
    </w:p>
    <w:p>
      <w:pPr>
        <w:pBdr>
          <w:left w:val="single" w:color="002352" w:sz="24" w:space="8"/>
        </w:pBdr>
        <w:spacing w:after="120" w:before="120"/>
        <w:ind w:left="360"/>
      </w:pPr>
      <w:r>
        <w:rPr>
          <w:i/>
          <w:iCs/>
          <w:color w:val="333333"/>
          <w:sz w:val="20"/>
          <w:szCs w:val="20"/>
        </w:rPr>
        <w:t xml:space="preserve">Deliverable: a 4-page written report within 3 working days of receiving repository access. Price: £500 fixed. No scope creep. No billable hours. If ongoing maintenance is needed after the audit, the follow-on retainer is £1,500 per month per covered core system.</w:t>
      </w:r>
    </w:p>
    <w:p>
      <w:pPr>
        <w:pStyle w:val="Heading3"/>
      </w:pPr>
      <w:r>
        <w:t xml:space="preserve">What is out of scope</w:t>
      </w:r>
    </w:p>
    <w:p>
      <w:pPr>
        <w:pStyle w:val="Clause"/>
        <w:numPr>
          <w:ilvl w:val="0"/>
          <w:numId w:val="2"/>
        </w:numPr>
      </w:pPr>
      <w:r>
        <w:t xml:space="preserve">Code quality review or architectural critique.</w:t>
      </w:r>
    </w:p>
    <w:p>
      <w:pPr>
        <w:pStyle w:val="Clause"/>
        <w:numPr>
          <w:ilvl w:val="0"/>
          <w:numId w:val="2"/>
        </w:numPr>
      </w:pPr>
      <w:r>
        <w:t xml:space="preserve">Penetration testing or active exploitation attempts.</w:t>
      </w:r>
    </w:p>
    <w:p>
      <w:pPr>
        <w:pStyle w:val="Clause"/>
        <w:numPr>
          <w:ilvl w:val="0"/>
          <w:numId w:val="2"/>
        </w:numPr>
      </w:pPr>
      <w:r>
        <w:t xml:space="preserve">Fixing the issues found — that sits outside the audit and moves onto a separate retainer or separately agreed work.</w:t>
      </w:r>
    </w:p>
    <w:p>
      <w:pPr>
        <w:pStyle w:val="Clause"/>
        <w:numPr>
          <w:ilvl w:val="0"/>
          <w:numId w:val="2"/>
        </w:numPr>
      </w:pPr>
      <w:r>
        <w:t xml:space="preserve">Infrastructure audit beyond what is visible from the codebase and production URL.</w:t>
      </w:r>
    </w:p>
    <w:p>
      <w:pPr>
        <w:pStyle w:val="Clause"/>
        <w:numPr>
          <w:ilvl w:val="0"/>
          <w:numId w:val="2"/>
        </w:numPr>
      </w:pPr>
      <w:r>
        <w:t xml:space="preserve">Any system not handed over with repository access — if we cannot see the code, we cannot audit it.</w:t>
      </w:r>
    </w:p>
    <w:p>
      <w:pPr>
        <w:pStyle w:val="Clause"/>
        <w:numPr>
          <w:ilvl w:val="0"/>
          <w:numId w:val="2"/>
        </w:numPr>
      </w:pPr>
      <w:r>
        <w:t xml:space="preserve">Regulatory compliance certifications (PCI-DSS, ISO 27001, SOC 2). These require a formal auditor.</w:t>
      </w:r>
    </w:p>
    <w:p>
      <w:pPr>
        <w:pStyle w:val="Heading3"/>
      </w:pPr>
      <w:r>
        <w:t xml:space="preserve">Credential hygiene</w:t>
      </w:r>
    </w:p>
    <w:p>
      <w:pPr>
        <w:pStyle w:val="Clause"/>
      </w:pPr>
      <w:r>
        <w:t xml:space="preserve">Every credential received during an audit is stored in 1Password and nowhere else. No credentials in .env files, shell history, screenshots, or chat transcripts. On completion of the audit, credentials are either retained in 1Password (if the client becomes a retainer customer) or deleted with written confirmation to the client.</w:t>
      </w:r>
    </w:p>
    <w:p>
      <w:pPr>
        <w:spacing w:after="40" w:before="300"/>
      </w:pPr>
      <w:r>
        <w:rPr>
          <w:b/>
          <w:bCs/>
          <w:color w:val="666666"/>
          <w:sz w:val="18"/>
          <w:szCs w:val="18"/>
        </w:rPr>
        <w:t xml:space="preserve">STAGE 1</w:t>
      </w:r>
      <w:r>
        <w:rPr>
          <w:sz w:val="18"/>
          <w:szCs w:val="18"/>
        </w:rPr>
        <w:t xml:space="preserve">    </w:t>
      </w:r>
      <w:r>
        <w:rPr>
          <w:b/>
          <w:bCs/>
          <w:color w:val="002352"/>
          <w:sz w:val="18"/>
          <w:szCs w:val="18"/>
        </w:rPr>
        <w:t xml:space="preserve">BEFORE STARTING</w:t>
      </w:r>
    </w:p>
    <w:p>
      <w:pPr>
        <w:pStyle w:val="Heading2"/>
      </w:pPr>
      <w:r>
        <w:t xml:space="preserve">Client intake</w:t>
      </w:r>
    </w:p>
    <w:p>
      <w:pPr>
        <w:pStyle w:val="Heading3"/>
      </w:pPr>
      <w:r>
        <w:t xml:space="preserve">Intake checklist</w:t>
      </w:r>
    </w:p>
    <w:p>
      <w:pPr>
        <w:pStyle w:val="Clause"/>
      </w:pPr>
      <w:r>
        <w:t xml:space="preserve">Request the following before beginning any audit work. Do not start until repository access is confirmed.</w:t>
      </w:r>
    </w:p>
    <w:p>
      <w:pPr>
        <w:pStyle w:val="Heading3"/>
      </w:pPr>
      <w:r>
        <w:t xml:space="preserve">Required from the client</w:t>
      </w:r>
    </w:p>
    <w:p>
      <w:pPr>
        <w:pStyle w:val="Clause"/>
        <w:numPr>
          <w:ilvl w:val="0"/>
          <w:numId w:val="2"/>
        </w:numPr>
      </w:pPr>
      <w:r>
        <w:t xml:space="preserve">Read access to the repository (GitHub / GitLab / Bitbucket collaborator invite).</w:t>
      </w:r>
    </w:p>
    <w:p>
      <w:pPr>
        <w:pStyle w:val="Clause"/>
        <w:numPr>
          <w:ilvl w:val="0"/>
          <w:numId w:val="2"/>
        </w:numPr>
      </w:pPr>
      <w:r>
        <w:t xml:space="preserve">Production URL(s) to test against.</w:t>
      </w:r>
    </w:p>
    <w:p>
      <w:pPr>
        <w:pStyle w:val="Clause"/>
        <w:numPr>
          <w:ilvl w:val="0"/>
          <w:numId w:val="2"/>
        </w:numPr>
      </w:pPr>
      <w:r>
        <w:t xml:space="preserve">Tech stack overview if known (framework, language, hosting) — helpful but not required.</w:t>
      </w:r>
    </w:p>
    <w:p>
      <w:pPr>
        <w:pStyle w:val="Clause"/>
        <w:numPr>
          <w:ilvl w:val="0"/>
          <w:numId w:val="2"/>
        </w:numPr>
      </w:pPr>
      <w:r>
        <w:t xml:space="preserve">Any known concerns or areas to focus on.</w:t>
      </w:r>
    </w:p>
    <w:p>
      <w:pPr>
        <w:pStyle w:val="Clause"/>
        <w:numPr>
          <w:ilvl w:val="0"/>
          <w:numId w:val="2"/>
        </w:numPr>
      </w:pPr>
      <w:r>
        <w:t xml:space="preserve">Staging URL if available (for Lighthouse without affecting production analytics).</w:t>
      </w:r>
    </w:p>
    <w:p>
      <w:pPr>
        <w:pStyle w:val="Clause"/>
        <w:numPr>
          <w:ilvl w:val="0"/>
          <w:numId w:val="2"/>
        </w:numPr>
      </w:pPr>
      <w:r>
        <w:t xml:space="preserve">Written confirmation that the client is authorised to grant access to the code and systems being audited.</w:t>
      </w:r>
    </w:p>
    <w:p>
      <w:pPr>
        <w:pStyle w:val="Heading3"/>
      </w:pPr>
      <w:r>
        <w:t xml:space="preserve">Optional but useful</w:t>
      </w:r>
    </w:p>
    <w:p>
      <w:pPr>
        <w:pStyle w:val="Clause"/>
        <w:numPr>
          <w:ilvl w:val="0"/>
          <w:numId w:val="2"/>
        </w:numPr>
      </w:pPr>
      <w:r>
        <w:t xml:space="preserve">Hosting provider and deployment method (Vercel, AWS, Heroku, bare VPS etc.).</w:t>
      </w:r>
    </w:p>
    <w:p>
      <w:pPr>
        <w:pStyle w:val="Clause"/>
        <w:numPr>
          <w:ilvl w:val="0"/>
          <w:numId w:val="2"/>
        </w:numPr>
      </w:pPr>
      <w:r>
        <w:t xml:space="preserve">Whether any recent incidents or near-misses have occurred.</w:t>
      </w:r>
    </w:p>
    <w:p>
      <w:pPr>
        <w:pStyle w:val="Clause"/>
        <w:numPr>
          <w:ilvl w:val="0"/>
          <w:numId w:val="2"/>
        </w:numPr>
      </w:pPr>
      <w:r>
        <w:t xml:space="preserve">Whether they have error monitoring configured (Sentry etc.).</w:t>
      </w:r>
    </w:p>
    <w:p>
      <w:pPr>
        <w:pBdr>
          <w:left w:val="single" w:color="002352" w:sz="24" w:space="8"/>
        </w:pBdr>
        <w:spacing w:after="120" w:before="120"/>
        <w:ind w:left="360"/>
      </w:pPr>
      <w:r>
        <w:rPr>
          <w:i/>
          <w:iCs/>
          <w:color w:val="333333"/>
          <w:sz w:val="20"/>
          <w:szCs w:val="20"/>
        </w:rPr>
        <w:t xml:space="preserve">Day 1 target: intake confirmed, repository access granted, stack identified. All audit tooling run by end of day 1. This leaves day 2 for the security posture and performance checks, and day 3 for report writing and delivery.</w:t>
      </w:r>
    </w:p>
    <w:p>
      <w:pPr>
        <w:spacing w:after="40" w:before="300"/>
      </w:pPr>
      <w:r>
        <w:rPr>
          <w:b/>
          <w:bCs/>
          <w:color w:val="666666"/>
          <w:sz w:val="18"/>
          <w:szCs w:val="18"/>
        </w:rPr>
        <w:t xml:space="preserve">STAGE 2</w:t>
      </w:r>
      <w:r>
        <w:rPr>
          <w:sz w:val="18"/>
          <w:szCs w:val="18"/>
        </w:rPr>
        <w:t xml:space="preserve">    </w:t>
      </w:r>
      <w:r>
        <w:rPr>
          <w:b/>
          <w:bCs/>
          <w:color w:val="002352"/>
          <w:sz w:val="18"/>
          <w:szCs w:val="18"/>
        </w:rPr>
        <w:t xml:space="preserve">DAY 1</w:t>
      </w:r>
    </w:p>
    <w:p>
      <w:pPr>
        <w:pStyle w:val="Heading2"/>
      </w:pPr>
      <w:r>
        <w:t xml:space="preserve">Stack discovery</w:t>
      </w:r>
    </w:p>
    <w:p>
      <w:pPr>
        <w:pStyle w:val="Clause"/>
      </w:pPr>
      <w:r>
        <w:t xml:space="preserve">Before running any tools, spend 15–20 minutes understanding the codebase structure. This shapes which tools to run and what to look for.</w:t>
      </w:r>
    </w:p>
    <w:p>
      <w:pPr>
        <w:pStyle w:val="Heading3"/>
      </w:pPr>
      <w:r>
        <w:t xml:space="preserve">What to identify</w:t>
      </w:r>
    </w:p>
    <w:p>
      <w:pPr>
        <w:pStyle w:val="Clause"/>
        <w:numPr>
          <w:ilvl w:val="0"/>
          <w:numId w:val="2"/>
        </w:numPr>
      </w:pPr>
      <w:r>
        <w:t xml:space="preserve">Primary language — check file extensions and the root directory structure.</w:t>
      </w:r>
    </w:p>
    <w:p>
      <w:pPr>
        <w:pStyle w:val="Clause"/>
        <w:numPr>
          <w:ilvl w:val="0"/>
          <w:numId w:val="2"/>
        </w:numPr>
      </w:pPr>
      <w:r>
        <w:t xml:space="preserve">Framework — check package.json, composer.json, requirements.txt, Gemfile, pom.xml etc.</w:t>
      </w:r>
    </w:p>
    <w:p>
      <w:pPr>
        <w:pStyle w:val="Clause"/>
        <w:numPr>
          <w:ilvl w:val="0"/>
          <w:numId w:val="2"/>
        </w:numPr>
      </w:pPr>
      <w:r>
        <w:t xml:space="preserve">Package manager — look for lock files: package-lock.json, yarn.lock, pnpm-lock.yaml, Pipfile.lock, Gemfile.lock.</w:t>
      </w:r>
    </w:p>
    <w:p>
      <w:pPr>
        <w:pStyle w:val="Clause"/>
        <w:numPr>
          <w:ilvl w:val="0"/>
          <w:numId w:val="2"/>
        </w:numPr>
      </w:pPr>
      <w:r>
        <w:t xml:space="preserve">Monorepo or multi-service? — may require running tools in multiple directories.</w:t>
      </w:r>
    </w:p>
    <w:p>
      <w:pPr>
        <w:pStyle w:val="Clause"/>
        <w:numPr>
          <w:ilvl w:val="0"/>
          <w:numId w:val="2"/>
        </w:numPr>
      </w:pPr>
      <w:r>
        <w:t xml:space="preserve">Containerised? — Dockerfile present means also run Trivy image scan.</w:t>
      </w:r>
    </w:p>
    <w:p>
      <w:pPr>
        <w:pStyle w:val="Clause"/>
        <w:numPr>
          <w:ilvl w:val="0"/>
          <w:numId w:val="2"/>
        </w:numPr>
      </w:pPr>
      <w:r>
        <w:t xml:space="preserve">WordPress involved? — requires different tooling (WP-CLI / wpscan).</w:t>
      </w:r>
    </w:p>
    <w:p>
      <w:pPr>
        <w:pStyle w:val="Clause"/>
        <w:numPr>
          <w:ilvl w:val="0"/>
          <w:numId w:val="2"/>
        </w:numPr>
      </w:pPr>
      <w:r>
        <w:t xml:space="preserve">Frontend vs full-stack vs API-only? — determines whether performance testing is applicable.</w:t>
      </w:r>
    </w:p>
    <w:p>
      <w:pPr>
        <w:spacing w:after="40" w:before="300"/>
      </w:pPr>
      <w:r>
        <w:rPr>
          <w:b/>
          <w:bCs/>
          <w:color w:val="666666"/>
          <w:sz w:val="18"/>
          <w:szCs w:val="18"/>
        </w:rPr>
        <w:t xml:space="preserve">STAGE 3</w:t>
      </w:r>
      <w:r>
        <w:rPr>
          <w:sz w:val="18"/>
          <w:szCs w:val="18"/>
        </w:rPr>
        <w:t xml:space="preserve">    </w:t>
      </w:r>
      <w:r>
        <w:rPr>
          <w:b/>
          <w:bCs/>
          <w:color w:val="002352"/>
          <w:sz w:val="18"/>
          <w:szCs w:val="18"/>
        </w:rPr>
        <w:t xml:space="preserve">DAY 1</w:t>
      </w:r>
    </w:p>
    <w:p>
      <w:pPr>
        <w:pStyle w:val="Heading2"/>
      </w:pPr>
      <w:r>
        <w:t xml:space="preserve">Dependency audit</w:t>
      </w:r>
    </w:p>
    <w:p>
      <w:pPr>
        <w:pStyle w:val="Clause"/>
      </w:pPr>
      <w:r>
        <w:t xml:space="preserve">Run the appropriate tools for the ecosystem. Always run Snyk in addition to the ecosystem-native tool — Snyk catches things the native tools miss and provides CVE references for the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400"/>
        <w:gridCol w:w="2200"/>
        <w:gridCol w:w="1760"/>
      </w:tblGrid>
      <w:tr>
        <w:tc>
          <w:tcPr>
            <w:tcW w:type="dxa" w:w="1400"/>
            <w:tcBorders>
              <w:top w:val="single" w:color="D8D8D8" w:sz="4"/>
              <w:left w:val="single" w:color="D8D8D8" w:sz="4"/>
              <w:bottom w:val="single" w:color="D8D8D8" w:sz="4"/>
              <w:right w:val="single" w:color="D8D8D8" w:sz="4"/>
            </w:tcBorders>
            <w:shd w:fill="F0F2F7" w:val="clear"/>
            <w:tcMar>
              <w:top w:type="dxa" w:w="100"/>
              <w:left w:type="dxa" w:w="140"/>
              <w:bottom w:type="dxa" w:w="100"/>
              <w:right w:type="dxa" w:w="140"/>
            </w:tcMar>
            <w:vAlign w:val="center"/>
          </w:tcPr>
          <w:p>
            <w:pPr>
              <w:spacing w:after="0" w:before="0"/>
            </w:pPr>
            <w:r>
              <w:rPr>
                <w:b/>
                <w:bCs/>
                <w:color w:val="002352"/>
                <w:sz w:val="20"/>
                <w:szCs w:val="20"/>
              </w:rPr>
              <w:t xml:space="preserve">Ecosystem</w:t>
            </w:r>
          </w:p>
        </w:tc>
        <w:tc>
          <w:tcPr>
            <w:tcW w:type="dxa" w:w="1600"/>
            <w:tcBorders>
              <w:top w:val="single" w:color="D8D8D8" w:sz="4"/>
              <w:left w:val="single" w:color="D8D8D8" w:sz="4"/>
              <w:bottom w:val="single" w:color="D8D8D8" w:sz="4"/>
              <w:right w:val="single" w:color="D8D8D8" w:sz="4"/>
            </w:tcBorders>
            <w:shd w:fill="F0F2F7" w:val="clear"/>
            <w:tcMar>
              <w:top w:type="dxa" w:w="100"/>
              <w:left w:type="dxa" w:w="140"/>
              <w:bottom w:type="dxa" w:w="100"/>
              <w:right w:type="dxa" w:w="140"/>
            </w:tcMar>
            <w:vAlign w:val="center"/>
          </w:tcPr>
          <w:p>
            <w:pPr>
              <w:spacing w:after="0" w:before="0"/>
            </w:pPr>
            <w:r>
              <w:rPr>
                <w:b/>
                <w:bCs/>
                <w:color w:val="002352"/>
                <w:sz w:val="20"/>
                <w:szCs w:val="20"/>
              </w:rPr>
              <w:t xml:space="preserve">Package manager</w:t>
            </w:r>
          </w:p>
        </w:tc>
        <w:tc>
          <w:tcPr>
            <w:tcW w:type="dxa" w:w="2400"/>
            <w:tcBorders>
              <w:top w:val="single" w:color="D8D8D8" w:sz="4"/>
              <w:left w:val="single" w:color="D8D8D8" w:sz="4"/>
              <w:bottom w:val="single" w:color="D8D8D8" w:sz="4"/>
              <w:right w:val="single" w:color="D8D8D8" w:sz="4"/>
            </w:tcBorders>
            <w:shd w:fill="F0F2F7" w:val="clear"/>
            <w:tcMar>
              <w:top w:type="dxa" w:w="100"/>
              <w:left w:type="dxa" w:w="140"/>
              <w:bottom w:type="dxa" w:w="100"/>
              <w:right w:type="dxa" w:w="140"/>
            </w:tcMar>
            <w:vAlign w:val="center"/>
          </w:tcPr>
          <w:p>
            <w:pPr>
              <w:spacing w:after="0" w:before="0"/>
            </w:pPr>
            <w:r>
              <w:rPr>
                <w:b/>
                <w:bCs/>
                <w:color w:val="002352"/>
                <w:sz w:val="20"/>
                <w:szCs w:val="20"/>
              </w:rPr>
              <w:t xml:space="preserve">Outdated check</w:t>
            </w:r>
          </w:p>
        </w:tc>
        <w:tc>
          <w:tcPr>
            <w:tcW w:type="dxa" w:w="2200"/>
            <w:tcBorders>
              <w:top w:val="single" w:color="D8D8D8" w:sz="4"/>
              <w:left w:val="single" w:color="D8D8D8" w:sz="4"/>
              <w:bottom w:val="single" w:color="D8D8D8" w:sz="4"/>
              <w:right w:val="single" w:color="D8D8D8" w:sz="4"/>
            </w:tcBorders>
            <w:shd w:fill="F0F2F7" w:val="clear"/>
            <w:tcMar>
              <w:top w:type="dxa" w:w="100"/>
              <w:left w:type="dxa" w:w="140"/>
              <w:bottom w:type="dxa" w:w="100"/>
              <w:right w:type="dxa" w:w="140"/>
            </w:tcMar>
            <w:vAlign w:val="center"/>
          </w:tcPr>
          <w:p>
            <w:pPr>
              <w:spacing w:after="0" w:before="0"/>
            </w:pPr>
            <w:r>
              <w:rPr>
                <w:b/>
                <w:bCs/>
                <w:color w:val="002352"/>
                <w:sz w:val="20"/>
                <w:szCs w:val="20"/>
              </w:rPr>
              <w:t xml:space="preserve">Vulnerability scan</w:t>
            </w:r>
          </w:p>
        </w:tc>
        <w:tc>
          <w:tcPr>
            <w:tcW w:type="dxa" w:w="1760"/>
            <w:tcBorders>
              <w:top w:val="single" w:color="D8D8D8" w:sz="4"/>
              <w:left w:val="single" w:color="D8D8D8" w:sz="4"/>
              <w:bottom w:val="single" w:color="D8D8D8" w:sz="4"/>
              <w:right w:val="single" w:color="D8D8D8" w:sz="4"/>
            </w:tcBorders>
            <w:shd w:fill="F0F2F7" w:val="clear"/>
            <w:tcMar>
              <w:top w:type="dxa" w:w="100"/>
              <w:left w:type="dxa" w:w="140"/>
              <w:bottom w:type="dxa" w:w="100"/>
              <w:right w:type="dxa" w:w="140"/>
            </w:tcMar>
            <w:vAlign w:val="center"/>
          </w:tcPr>
          <w:p>
            <w:pPr>
              <w:spacing w:after="0" w:before="0"/>
            </w:pPr>
            <w:r>
              <w:rPr>
                <w:b/>
                <w:bCs/>
                <w:color w:val="002352"/>
                <w:sz w:val="20"/>
                <w:szCs w:val="20"/>
              </w:rPr>
              <w:t xml:space="preserve">Runtime check</w:t>
            </w:r>
          </w:p>
        </w:tc>
      </w:tr>
      <w:tr>
        <w:tc>
          <w:tcPr>
            <w:tcW w:type="dxa" w:w="14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Node.js</w:t>
            </w:r>
          </w:p>
        </w:tc>
        <w:tc>
          <w:tcPr>
            <w:tcW w:type="dxa" w:w="16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npm / yarn / pnpm</w:t>
            </w:r>
          </w:p>
        </w:tc>
        <w:tc>
          <w:tcPr>
            <w:tcW w:type="dxa" w:w="24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npm outdated / yarn outdated</w:t>
            </w:r>
          </w:p>
        </w:tc>
        <w:tc>
          <w:tcPr>
            <w:tcW w:type="dxa" w:w="22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npm audit + Snyk</w:t>
            </w:r>
          </w:p>
        </w:tc>
        <w:tc>
          <w:tcPr>
            <w:tcW w:type="dxa" w:w="176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node --version</w:t>
            </w:r>
          </w:p>
        </w:tc>
      </w:tr>
      <w:tr>
        <w:tc>
          <w:tcPr>
            <w:tcW w:type="dxa" w:w="14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Python</w:t>
            </w:r>
          </w:p>
        </w:tc>
        <w:tc>
          <w:tcPr>
            <w:tcW w:type="dxa" w:w="16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pip / poetry / pipenv</w:t>
            </w:r>
          </w:p>
        </w:tc>
        <w:tc>
          <w:tcPr>
            <w:tcW w:type="dxa" w:w="24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pip list --outdated</w:t>
            </w:r>
          </w:p>
        </w:tc>
        <w:tc>
          <w:tcPr>
            <w:tcW w:type="dxa" w:w="22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pip-audit + Snyk</w:t>
            </w:r>
          </w:p>
        </w:tc>
        <w:tc>
          <w:tcPr>
            <w:tcW w:type="dxa" w:w="176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python --version</w:t>
            </w:r>
          </w:p>
        </w:tc>
      </w:tr>
      <w:tr>
        <w:tc>
          <w:tcPr>
            <w:tcW w:type="dxa" w:w="14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PHP</w:t>
            </w:r>
          </w:p>
        </w:tc>
        <w:tc>
          <w:tcPr>
            <w:tcW w:type="dxa" w:w="16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composer</w:t>
            </w:r>
          </w:p>
        </w:tc>
        <w:tc>
          <w:tcPr>
            <w:tcW w:type="dxa" w:w="24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composer outdated</w:t>
            </w:r>
          </w:p>
        </w:tc>
        <w:tc>
          <w:tcPr>
            <w:tcW w:type="dxa" w:w="22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composer audit + Snyk</w:t>
            </w:r>
          </w:p>
        </w:tc>
        <w:tc>
          <w:tcPr>
            <w:tcW w:type="dxa" w:w="176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php --version</w:t>
            </w:r>
          </w:p>
        </w:tc>
      </w:tr>
      <w:tr>
        <w:tc>
          <w:tcPr>
            <w:tcW w:type="dxa" w:w="14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Ruby</w:t>
            </w:r>
          </w:p>
        </w:tc>
        <w:tc>
          <w:tcPr>
            <w:tcW w:type="dxa" w:w="16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bundler</w:t>
            </w:r>
          </w:p>
        </w:tc>
        <w:tc>
          <w:tcPr>
            <w:tcW w:type="dxa" w:w="24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bundle outdated</w:t>
            </w:r>
          </w:p>
        </w:tc>
        <w:tc>
          <w:tcPr>
            <w:tcW w:type="dxa" w:w="22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bundle audit + Snyk</w:t>
            </w:r>
          </w:p>
        </w:tc>
        <w:tc>
          <w:tcPr>
            <w:tcW w:type="dxa" w:w="176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ruby --version</w:t>
            </w:r>
          </w:p>
        </w:tc>
      </w:tr>
      <w:tr>
        <w:tc>
          <w:tcPr>
            <w:tcW w:type="dxa" w:w="14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Java</w:t>
            </w:r>
          </w:p>
        </w:tc>
        <w:tc>
          <w:tcPr>
            <w:tcW w:type="dxa" w:w="16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maven / gradle</w:t>
            </w:r>
          </w:p>
        </w:tc>
        <w:tc>
          <w:tcPr>
            <w:tcW w:type="dxa" w:w="24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mvn versions:display-dependency-updates</w:t>
            </w:r>
          </w:p>
        </w:tc>
        <w:tc>
          <w:tcPr>
            <w:tcW w:type="dxa" w:w="22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OWASP Dep-Check</w:t>
            </w:r>
          </w:p>
        </w:tc>
        <w:tc>
          <w:tcPr>
            <w:tcW w:type="dxa" w:w="176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java --version</w:t>
            </w:r>
          </w:p>
        </w:tc>
      </w:tr>
      <w:tr>
        <w:tc>
          <w:tcPr>
            <w:tcW w:type="dxa" w:w="14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.NET / C#</w:t>
            </w:r>
          </w:p>
        </w:tc>
        <w:tc>
          <w:tcPr>
            <w:tcW w:type="dxa" w:w="16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NuGet</w:t>
            </w:r>
          </w:p>
        </w:tc>
        <w:tc>
          <w:tcPr>
            <w:tcW w:type="dxa" w:w="24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dotnet list package --outdated</w:t>
            </w:r>
          </w:p>
        </w:tc>
        <w:tc>
          <w:tcPr>
            <w:tcW w:type="dxa" w:w="22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dotnet list package --vulnerable</w:t>
            </w:r>
          </w:p>
        </w:tc>
        <w:tc>
          <w:tcPr>
            <w:tcW w:type="dxa" w:w="176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dotnet --version</w:t>
            </w:r>
          </w:p>
        </w:tc>
      </w:tr>
      <w:tr>
        <w:tc>
          <w:tcPr>
            <w:tcW w:type="dxa" w:w="14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Go</w:t>
            </w:r>
          </w:p>
        </w:tc>
        <w:tc>
          <w:tcPr>
            <w:tcW w:type="dxa" w:w="16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go modules</w:t>
            </w:r>
          </w:p>
        </w:tc>
        <w:tc>
          <w:tcPr>
            <w:tcW w:type="dxa" w:w="24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go list -u -m all</w:t>
            </w:r>
          </w:p>
        </w:tc>
        <w:tc>
          <w:tcPr>
            <w:tcW w:type="dxa" w:w="22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govulncheck ./...</w:t>
            </w:r>
          </w:p>
        </w:tc>
        <w:tc>
          <w:tcPr>
            <w:tcW w:type="dxa" w:w="176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go version</w:t>
            </w:r>
          </w:p>
        </w:tc>
      </w:tr>
      <w:tr>
        <w:tc>
          <w:tcPr>
            <w:tcW w:type="dxa" w:w="14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WordPress</w:t>
            </w:r>
          </w:p>
        </w:tc>
        <w:tc>
          <w:tcPr>
            <w:tcW w:type="dxa" w:w="16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WP-CLI / composer</w:t>
            </w:r>
          </w:p>
        </w:tc>
        <w:tc>
          <w:tcPr>
            <w:tcW w:type="dxa" w:w="24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wp plugin list --update=available</w:t>
            </w:r>
          </w:p>
        </w:tc>
        <w:tc>
          <w:tcPr>
            <w:tcW w:type="dxa" w:w="22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wpscan / Snyk</w:t>
            </w:r>
          </w:p>
        </w:tc>
        <w:tc>
          <w:tcPr>
            <w:tcW w:type="dxa" w:w="176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wp core version</w:t>
            </w:r>
          </w:p>
        </w:tc>
      </w:tr>
      <w:tr>
        <w:tc>
          <w:tcPr>
            <w:tcW w:type="dxa" w:w="14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Container</w:t>
            </w:r>
          </w:p>
        </w:tc>
        <w:tc>
          <w:tcPr>
            <w:tcW w:type="dxa" w:w="16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Docker</w:t>
            </w:r>
          </w:p>
        </w:tc>
        <w:tc>
          <w:tcPr>
            <w:tcW w:type="dxa" w:w="24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Check base image tag vs latest</w:t>
            </w:r>
          </w:p>
        </w:tc>
        <w:tc>
          <w:tcPr>
            <w:tcW w:type="dxa" w:w="22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trivy image &lt;name&gt;</w:t>
            </w:r>
          </w:p>
        </w:tc>
        <w:tc>
          <w:tcPr>
            <w:tcW w:type="dxa" w:w="176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docker --version</w:t>
            </w:r>
          </w:p>
        </w:tc>
      </w:tr>
    </w:tbl>
    <w:p>
      <w:pPr>
        <w:spacing w:after="120" w:before="0"/>
      </w:pPr>
      <w:r>
        <w:t xml:space="preserve"/>
      </w:r>
    </w:p>
    <w:p>
      <w:pPr>
        <w:pStyle w:val="Clause"/>
      </w:pPr>
      <w:r>
        <w:t xml:space="preserve">For monorepos: run tools in each sub-package directory separately. Findings from all directories are consolidated into a single report.</w:t>
      </w:r>
    </w:p>
    <w:p>
      <w:pPr>
        <w:pStyle w:val="Clause"/>
      </w:pPr>
      <w:r>
        <w:t xml:space="preserve">endoflife.date is the reference for runtime and framework EOL status. Check it for every runtime version encountered.</w:t>
      </w:r>
    </w:p>
    <w:p>
      <w:pPr>
        <w:spacing w:after="40" w:before="300"/>
      </w:pPr>
      <w:r>
        <w:rPr>
          <w:b/>
          <w:bCs/>
          <w:color w:val="666666"/>
          <w:sz w:val="18"/>
          <w:szCs w:val="18"/>
        </w:rPr>
        <w:t xml:space="preserve">STAGE 4</w:t>
      </w:r>
      <w:r>
        <w:rPr>
          <w:sz w:val="18"/>
          <w:szCs w:val="18"/>
        </w:rPr>
        <w:t xml:space="preserve">    </w:t>
      </w:r>
      <w:r>
        <w:rPr>
          <w:b/>
          <w:bCs/>
          <w:color w:val="002352"/>
          <w:sz w:val="18"/>
          <w:szCs w:val="18"/>
        </w:rPr>
        <w:t xml:space="preserve">DAY 2</w:t>
      </w:r>
    </w:p>
    <w:p>
      <w:pPr>
        <w:pStyle w:val="Heading2"/>
      </w:pPr>
      <w:r>
        <w:t xml:space="preserve">Security posture review</w:t>
      </w:r>
    </w:p>
    <w:p>
      <w:pPr>
        <w:pStyle w:val="Clause"/>
      </w:pPr>
      <w:r>
        <w:t xml:space="preserve">Beyond CVEs in dependencies, these configuration-level checks are what separate a meaningful audit from a simple npm audit printout. Run every check below against every system, regardless of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760"/>
      </w:tblGrid>
      <w:tr>
        <w:tc>
          <w:tcPr>
            <w:tcW w:type="dxa" w:w="2600"/>
            <w:tcBorders>
              <w:top w:val="single" w:color="D8D8D8" w:sz="4"/>
              <w:left w:val="single" w:color="D8D8D8" w:sz="4"/>
              <w:bottom w:val="single" w:color="D8D8D8" w:sz="4"/>
              <w:right w:val="single" w:color="D8D8D8" w:sz="4"/>
            </w:tcBorders>
            <w:shd w:fill="F0F2F7" w:val="clear"/>
            <w:tcMar>
              <w:top w:type="dxa" w:w="100"/>
              <w:left w:type="dxa" w:w="140"/>
              <w:bottom w:type="dxa" w:w="100"/>
              <w:right w:type="dxa" w:w="140"/>
            </w:tcMar>
            <w:vAlign w:val="center"/>
          </w:tcPr>
          <w:p>
            <w:pPr>
              <w:spacing w:after="0" w:before="0"/>
            </w:pPr>
            <w:r>
              <w:rPr>
                <w:b/>
                <w:bCs/>
                <w:color w:val="002352"/>
                <w:sz w:val="20"/>
                <w:szCs w:val="20"/>
              </w:rPr>
              <w:t xml:space="preserve">Check</w:t>
            </w:r>
          </w:p>
        </w:tc>
        <w:tc>
          <w:tcPr>
            <w:tcW w:type="dxa" w:w="3000"/>
            <w:tcBorders>
              <w:top w:val="single" w:color="D8D8D8" w:sz="4"/>
              <w:left w:val="single" w:color="D8D8D8" w:sz="4"/>
              <w:bottom w:val="single" w:color="D8D8D8" w:sz="4"/>
              <w:right w:val="single" w:color="D8D8D8" w:sz="4"/>
            </w:tcBorders>
            <w:shd w:fill="F0F2F7" w:val="clear"/>
            <w:tcMar>
              <w:top w:type="dxa" w:w="100"/>
              <w:left w:type="dxa" w:w="140"/>
              <w:bottom w:type="dxa" w:w="100"/>
              <w:right w:type="dxa" w:w="140"/>
            </w:tcMar>
            <w:vAlign w:val="center"/>
          </w:tcPr>
          <w:p>
            <w:pPr>
              <w:spacing w:after="0" w:before="0"/>
            </w:pPr>
            <w:r>
              <w:rPr>
                <w:b/>
                <w:bCs/>
                <w:color w:val="002352"/>
                <w:sz w:val="20"/>
                <w:szCs w:val="20"/>
              </w:rPr>
              <w:t xml:space="preserve">Tool / method</w:t>
            </w:r>
          </w:p>
        </w:tc>
        <w:tc>
          <w:tcPr>
            <w:tcW w:type="dxa" w:w="3760"/>
            <w:tcBorders>
              <w:top w:val="single" w:color="D8D8D8" w:sz="4"/>
              <w:left w:val="single" w:color="D8D8D8" w:sz="4"/>
              <w:bottom w:val="single" w:color="D8D8D8" w:sz="4"/>
              <w:right w:val="single" w:color="D8D8D8" w:sz="4"/>
            </w:tcBorders>
            <w:shd w:fill="F0F2F7" w:val="clear"/>
            <w:tcMar>
              <w:top w:type="dxa" w:w="100"/>
              <w:left w:type="dxa" w:w="140"/>
              <w:bottom w:type="dxa" w:w="100"/>
              <w:right w:type="dxa" w:w="140"/>
            </w:tcMar>
            <w:vAlign w:val="center"/>
          </w:tcPr>
          <w:p>
            <w:pPr>
              <w:spacing w:after="0" w:before="0"/>
            </w:pPr>
            <w:r>
              <w:rPr>
                <w:b/>
                <w:bCs/>
                <w:color w:val="002352"/>
                <w:sz w:val="20"/>
                <w:szCs w:val="20"/>
              </w:rPr>
              <w:t xml:space="preserve">Note</w:t>
            </w:r>
          </w:p>
        </w:tc>
      </w:tr>
      <w:tr>
        <w:tc>
          <w:tcPr>
            <w:tcW w:type="dxa" w:w="26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Security headers</w:t>
            </w:r>
          </w:p>
        </w:tc>
        <w:tc>
          <w:tcPr>
            <w:tcW w:type="dxa" w:w="30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curl -I https://example.com</w:t>
            </w:r>
          </w:p>
        </w:tc>
        <w:tc>
          <w:tcPr>
            <w:tcW w:type="dxa" w:w="376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Look for: CSP, X-Frame-Options, HSTS, X-Content-Type-Options, Referrer-Policy, Permissions-Policy</w:t>
            </w:r>
          </w:p>
        </w:tc>
      </w:tr>
      <w:tr>
        <w:tc>
          <w:tcPr>
            <w:tcW w:type="dxa" w:w="26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HTTPS enforcement</w:t>
            </w:r>
          </w:p>
        </w:tc>
        <w:tc>
          <w:tcPr>
            <w:tcW w:type="dxa" w:w="30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curl -I http://example.com</w:t>
            </w:r>
          </w:p>
        </w:tc>
        <w:tc>
          <w:tcPr>
            <w:tcW w:type="dxa" w:w="376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Should 301 redirect to HTTPS. Check TLS grade at ssllabs.com — anything below A is a finding.</w:t>
            </w:r>
          </w:p>
        </w:tc>
      </w:tr>
      <w:tr>
        <w:tc>
          <w:tcPr>
            <w:tcW w:type="dxa" w:w="26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Secrets in codebase</w:t>
            </w:r>
          </w:p>
        </w:tc>
        <w:tc>
          <w:tcPr>
            <w:tcW w:type="dxa" w:w="30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gitleaks detect / trufflehog / git log -S</w:t>
            </w:r>
          </w:p>
        </w:tc>
        <w:tc>
          <w:tcPr>
            <w:tcW w:type="dxa" w:w="376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Check .env files committed, API keys hardcoded, AWS keys in history. Run gitleaks on the full history, not just HEAD.</w:t>
            </w:r>
          </w:p>
        </w:tc>
      </w:tr>
      <w:tr>
        <w:tc>
          <w:tcPr>
            <w:tcW w:type="dxa" w:w="26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Exposed admin panels</w:t>
            </w:r>
          </w:p>
        </w:tc>
        <w:tc>
          <w:tcPr>
            <w:tcW w:type="dxa" w:w="30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/admin /wp-admin /.env /phpinfo.php /.git/config</w:t>
            </w:r>
          </w:p>
        </w:tc>
        <w:tc>
          <w:tcPr>
            <w:tcW w:type="dxa" w:w="376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Check common paths on production. Any 200 response is a finding.</w:t>
            </w:r>
          </w:p>
        </w:tc>
      </w:tr>
      <w:tr>
        <w:tc>
          <w:tcPr>
            <w:tcW w:type="dxa" w:w="26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CORS configuration</w:t>
            </w:r>
          </w:p>
        </w:tc>
        <w:tc>
          <w:tcPr>
            <w:tcW w:type="dxa" w:w="30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Review API config or response headers</w:t>
            </w:r>
          </w:p>
        </w:tc>
        <w:tc>
          <w:tcPr>
            <w:tcW w:type="dxa" w:w="376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Wildcard Access-Control-Allow-Origin on authenticated endpoints is critical.</w:t>
            </w:r>
          </w:p>
        </w:tc>
      </w:tr>
      <w:tr>
        <w:tc>
          <w:tcPr>
            <w:tcW w:type="dxa" w:w="26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Auth &amp; session handling</w:t>
            </w:r>
          </w:p>
        </w:tc>
        <w:tc>
          <w:tcPr>
            <w:tcW w:type="dxa" w:w="30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Code review of auth middleware / session config</w:t>
            </w:r>
          </w:p>
        </w:tc>
        <w:tc>
          <w:tcPr>
            <w:tcW w:type="dxa" w:w="376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Look for: token expiry, secure/httpOnly cookies, password hashing algorithm (bcrypt/argon2 acceptable, MD5/SHA1 critical).</w:t>
            </w:r>
          </w:p>
        </w:tc>
      </w:tr>
      <w:tr>
        <w:tc>
          <w:tcPr>
            <w:tcW w:type="dxa" w:w="26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Error handling</w:t>
            </w:r>
          </w:p>
        </w:tc>
        <w:tc>
          <w:tcPr>
            <w:tcW w:type="dxa" w:w="30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Trigger a 404 or 500 on production</w:t>
            </w:r>
          </w:p>
        </w:tc>
        <w:tc>
          <w:tcPr>
            <w:tcW w:type="dxa" w:w="376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Stack traces should never be visible to end users in production.</w:t>
            </w:r>
          </w:p>
        </w:tc>
      </w:tr>
      <w:tr>
        <w:tc>
          <w:tcPr>
            <w:tcW w:type="dxa" w:w="26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Rate limiting</w:t>
            </w:r>
          </w:p>
        </w:tc>
        <w:tc>
          <w:tcPr>
            <w:tcW w:type="dxa" w:w="30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Check API / auth endpoints for limits</w:t>
            </w:r>
          </w:p>
        </w:tc>
        <w:tc>
          <w:tcPr>
            <w:tcW w:type="dxa" w:w="376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Login and password reset endpoints without rate limiting are high severity.</w:t>
            </w:r>
          </w:p>
        </w:tc>
      </w:tr>
    </w:tbl>
    <w:p>
      <w:pPr>
        <w:spacing w:after="40" w:before="300"/>
      </w:pPr>
      <w:r>
        <w:rPr>
          <w:b/>
          <w:bCs/>
          <w:color w:val="666666"/>
          <w:sz w:val="18"/>
          <w:szCs w:val="18"/>
        </w:rPr>
        <w:t xml:space="preserve">STAGE 5</w:t>
      </w:r>
      <w:r>
        <w:rPr>
          <w:sz w:val="18"/>
          <w:szCs w:val="18"/>
        </w:rPr>
        <w:t xml:space="preserve">    </w:t>
      </w:r>
      <w:r>
        <w:rPr>
          <w:b/>
          <w:bCs/>
          <w:color w:val="002352"/>
          <w:sz w:val="18"/>
          <w:szCs w:val="18"/>
        </w:rPr>
        <w:t xml:space="preserve">DAY 2</w:t>
      </w:r>
    </w:p>
    <w:p>
      <w:pPr>
        <w:pStyle w:val="Heading2"/>
      </w:pPr>
      <w:r>
        <w:t xml:space="preserve">Performance review</w:t>
      </w:r>
    </w:p>
    <w:p>
      <w:pPr>
        <w:pStyle w:val="Clause"/>
      </w:pPr>
      <w:r>
        <w:t xml:space="preserve">Run Lighthouse against the production URL (or staging if available). Performance testing only applies to web-facing applications — skip for pure API services or backend systems with no frontend.</w:t>
      </w:r>
    </w:p>
    <w:p>
      <w:pPr>
        <w:pBdr>
          <w:left w:val="single" w:color="002352" w:sz="24" w:space="8"/>
        </w:pBdr>
        <w:spacing w:after="120" w:before="120"/>
        <w:ind w:left="360"/>
      </w:pPr>
      <w:r>
        <w:rPr>
          <w:i/>
          <w:iCs/>
          <w:color w:val="333333"/>
          <w:sz w:val="20"/>
          <w:szCs w:val="20"/>
        </w:rPr>
        <w:t xml:space="preserve">Install Lighthouse CLI: npm install -g lighthouse. Run headlessly three times and report the median: lighthouse &lt;url&gt; --output json --chrome-flags="--headless". Lighthouse scores vary between runs — a single run is not a reliable data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D8D8D8" w:sz="4"/>
              <w:left w:val="single" w:color="D8D8D8" w:sz="4"/>
              <w:bottom w:val="single" w:color="D8D8D8" w:sz="4"/>
              <w:right w:val="single" w:color="D8D8D8" w:sz="4"/>
            </w:tcBorders>
            <w:shd w:fill="F0F2F7" w:val="clear"/>
            <w:tcMar>
              <w:top w:type="dxa" w:w="100"/>
              <w:left w:type="dxa" w:w="140"/>
              <w:bottom w:type="dxa" w:w="100"/>
              <w:right w:type="dxa" w:w="140"/>
            </w:tcMar>
            <w:vAlign w:val="center"/>
          </w:tcPr>
          <w:p>
            <w:pPr>
              <w:spacing w:after="0" w:before="0"/>
            </w:pPr>
            <w:r>
              <w:rPr>
                <w:b/>
                <w:bCs/>
                <w:color w:val="002352"/>
                <w:sz w:val="20"/>
                <w:szCs w:val="20"/>
              </w:rPr>
              <w:t xml:space="preserve">Check</w:t>
            </w:r>
          </w:p>
        </w:tc>
        <w:tc>
          <w:tcPr>
            <w:tcW w:type="dxa" w:w="2600"/>
            <w:tcBorders>
              <w:top w:val="single" w:color="D8D8D8" w:sz="4"/>
              <w:left w:val="single" w:color="D8D8D8" w:sz="4"/>
              <w:bottom w:val="single" w:color="D8D8D8" w:sz="4"/>
              <w:right w:val="single" w:color="D8D8D8" w:sz="4"/>
            </w:tcBorders>
            <w:shd w:fill="F0F2F7" w:val="clear"/>
            <w:tcMar>
              <w:top w:type="dxa" w:w="100"/>
              <w:left w:type="dxa" w:w="140"/>
              <w:bottom w:type="dxa" w:w="100"/>
              <w:right w:type="dxa" w:w="140"/>
            </w:tcMar>
            <w:vAlign w:val="center"/>
          </w:tcPr>
          <w:p>
            <w:pPr>
              <w:spacing w:after="0" w:before="0"/>
            </w:pPr>
            <w:r>
              <w:rPr>
                <w:b/>
                <w:bCs/>
                <w:color w:val="002352"/>
                <w:sz w:val="20"/>
                <w:szCs w:val="20"/>
              </w:rPr>
              <w:t xml:space="preserve">Tool</w:t>
            </w:r>
          </w:p>
        </w:tc>
        <w:tc>
          <w:tcPr>
            <w:tcW w:type="dxa" w:w="3960"/>
            <w:tcBorders>
              <w:top w:val="single" w:color="D8D8D8" w:sz="4"/>
              <w:left w:val="single" w:color="D8D8D8" w:sz="4"/>
              <w:bottom w:val="single" w:color="D8D8D8" w:sz="4"/>
              <w:right w:val="single" w:color="D8D8D8" w:sz="4"/>
            </w:tcBorders>
            <w:shd w:fill="F0F2F7" w:val="clear"/>
            <w:tcMar>
              <w:top w:type="dxa" w:w="100"/>
              <w:left w:type="dxa" w:w="140"/>
              <w:bottom w:type="dxa" w:w="100"/>
              <w:right w:type="dxa" w:w="140"/>
            </w:tcMar>
            <w:vAlign w:val="center"/>
          </w:tcPr>
          <w:p>
            <w:pPr>
              <w:spacing w:after="0" w:before="0"/>
            </w:pPr>
            <w:r>
              <w:rPr>
                <w:b/>
                <w:bCs/>
                <w:color w:val="002352"/>
                <w:sz w:val="20"/>
                <w:szCs w:val="20"/>
              </w:rPr>
              <w:t xml:space="preserve">What to note</w:t>
            </w:r>
          </w:p>
        </w:tc>
      </w:tr>
      <w:tr>
        <w:tc>
          <w:tcPr>
            <w:tcW w:type="dxa" w:w="28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Overall Lighthouse score</w:t>
            </w:r>
          </w:p>
        </w:tc>
        <w:tc>
          <w:tcPr>
            <w:tcW w:type="dxa" w:w="26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lighthouse &lt;url&gt; --output json</w:t>
            </w:r>
          </w:p>
        </w:tc>
        <w:tc>
          <w:tcPr>
            <w:tcW w:type="dxa" w:w="396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Score below 50 is poor. Note Performance, Accessibility, Best Practices, SEO separately.</w:t>
            </w:r>
          </w:p>
        </w:tc>
      </w:tr>
      <w:tr>
        <w:tc>
          <w:tcPr>
            <w:tcW w:type="dxa" w:w="28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Largest Contentful Paint (LCP)</w:t>
            </w:r>
          </w:p>
        </w:tc>
        <w:tc>
          <w:tcPr>
            <w:tcW w:type="dxa" w:w="26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Lighthouse output</w:t>
            </w:r>
          </w:p>
        </w:tc>
        <w:tc>
          <w:tcPr>
            <w:tcW w:type="dxa" w:w="396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Good: under 2.5s. Poor: over 4s.</w:t>
            </w:r>
          </w:p>
        </w:tc>
      </w:tr>
      <w:tr>
        <w:tc>
          <w:tcPr>
            <w:tcW w:type="dxa" w:w="28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Cumulative Layout Shift (CLS)</w:t>
            </w:r>
          </w:p>
        </w:tc>
        <w:tc>
          <w:tcPr>
            <w:tcW w:type="dxa" w:w="26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Lighthouse output</w:t>
            </w:r>
          </w:p>
        </w:tc>
        <w:tc>
          <w:tcPr>
            <w:tcW w:type="dxa" w:w="396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Good: under 0.1. Poor: over 0.25.</w:t>
            </w:r>
          </w:p>
        </w:tc>
      </w:tr>
      <w:tr>
        <w:tc>
          <w:tcPr>
            <w:tcW w:type="dxa" w:w="28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Total Blocking Time (TBT)</w:t>
            </w:r>
          </w:p>
        </w:tc>
        <w:tc>
          <w:tcPr>
            <w:tcW w:type="dxa" w:w="26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Lighthouse output</w:t>
            </w:r>
          </w:p>
        </w:tc>
        <w:tc>
          <w:tcPr>
            <w:tcW w:type="dxa" w:w="396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Good: under 200ms. Proxy for INP. Poor: over 600ms.</w:t>
            </w:r>
          </w:p>
        </w:tc>
      </w:tr>
      <w:tr>
        <w:tc>
          <w:tcPr>
            <w:tcW w:type="dxa" w:w="28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Image optimisation</w:t>
            </w:r>
          </w:p>
        </w:tc>
        <w:tc>
          <w:tcPr>
            <w:tcW w:type="dxa" w:w="26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Lighthouse → Opportunities</w:t>
            </w:r>
          </w:p>
        </w:tc>
        <w:tc>
          <w:tcPr>
            <w:tcW w:type="dxa" w:w="396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Uncompressed or oversized images. Note savings available.</w:t>
            </w:r>
          </w:p>
        </w:tc>
      </w:tr>
      <w:tr>
        <w:tc>
          <w:tcPr>
            <w:tcW w:type="dxa" w:w="28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Caching headers</w:t>
            </w:r>
          </w:p>
        </w:tc>
        <w:tc>
          <w:tcPr>
            <w:tcW w:type="dxa" w:w="26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curl -I &lt;url&gt; | grep -i cache</w:t>
            </w:r>
          </w:p>
        </w:tc>
        <w:tc>
          <w:tcPr>
            <w:tcW w:type="dxa" w:w="396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Static assets should have long max-age. HTML should be short or no-cache.</w:t>
            </w:r>
          </w:p>
        </w:tc>
      </w:tr>
    </w:tbl>
    <w:p>
      <w:pPr>
        <w:spacing w:after="40" w:before="300"/>
      </w:pPr>
      <w:r>
        <w:rPr>
          <w:b/>
          <w:bCs/>
          <w:color w:val="666666"/>
          <w:sz w:val="18"/>
          <w:szCs w:val="18"/>
        </w:rPr>
        <w:t xml:space="preserve">STAGE 6</w:t>
      </w:r>
      <w:r>
        <w:rPr>
          <w:sz w:val="18"/>
          <w:szCs w:val="18"/>
        </w:rPr>
        <w:t xml:space="preserve">    </w:t>
      </w:r>
      <w:r>
        <w:rPr>
          <w:b/>
          <w:bCs/>
          <w:color w:val="002352"/>
          <w:sz w:val="18"/>
          <w:szCs w:val="18"/>
        </w:rPr>
        <w:t xml:space="preserve">DAY 2</w:t>
      </w:r>
    </w:p>
    <w:p>
      <w:pPr>
        <w:pStyle w:val="Heading2"/>
      </w:pPr>
      <w:r>
        <w:t xml:space="preserve">Code health observations</w:t>
      </w:r>
    </w:p>
    <w:p>
      <w:pPr>
        <w:pStyle w:val="Clause"/>
      </w:pPr>
      <w:r>
        <w:t xml:space="preserve">These are not security findings but they belong in the report. They paint a picture of the system’s overall state and often explain why the dependency and security problems exist.</w:t>
      </w:r>
    </w:p>
    <w:p>
      <w:pPr>
        <w:pStyle w:val="Clause"/>
        <w:numPr>
          <w:ilvl w:val="0"/>
          <w:numId w:val="2"/>
        </w:numPr>
      </w:pPr>
      <w:r>
        <w:rPr>
          <w:b/>
          <w:bCs/>
        </w:rPr>
        <w:t xml:space="preserve">Runtime version — </w:t>
      </w:r>
      <w:r>
        <w:t xml:space="preserve">is Node / Python / PHP / Ruby / Java etc. on a supported, non-EOL version? Check endoflife.date for each.</w:t>
      </w:r>
    </w:p>
    <w:p>
      <w:pPr>
        <w:pStyle w:val="Clause"/>
        <w:numPr>
          <w:ilvl w:val="0"/>
          <w:numId w:val="2"/>
        </w:numPr>
      </w:pPr>
      <w:r>
        <w:rPr>
          <w:b/>
          <w:bCs/>
        </w:rPr>
        <w:t xml:space="preserve">Framework version — </w:t>
      </w:r>
      <w:r>
        <w:t xml:space="preserve">is the primary framework on a supported version? Note if LTS vs current.</w:t>
      </w:r>
    </w:p>
    <w:p>
      <w:pPr>
        <w:pStyle w:val="Clause"/>
        <w:numPr>
          <w:ilvl w:val="0"/>
          <w:numId w:val="2"/>
        </w:numPr>
      </w:pPr>
      <w:r>
        <w:rPr>
          <w:b/>
          <w:bCs/>
        </w:rPr>
        <w:t xml:space="preserve">Test coverage — </w:t>
      </w:r>
      <w:r>
        <w:t xml:space="preserve">are tests present? Does CI run them? Note absence but do not audit quality — outside scope.</w:t>
      </w:r>
    </w:p>
    <w:p>
      <w:pPr>
        <w:pStyle w:val="Clause"/>
        <w:numPr>
          <w:ilvl w:val="0"/>
          <w:numId w:val="2"/>
        </w:numPr>
      </w:pPr>
      <w:r>
        <w:rPr>
          <w:b/>
          <w:bCs/>
        </w:rPr>
        <w:t xml:space="preserve">CI/CD pipeline — </w:t>
      </w:r>
      <w:r>
        <w:t xml:space="preserve">is there a pipeline? Does it run security checks? Automated deploys reduce human error risk.</w:t>
      </w:r>
    </w:p>
    <w:p>
      <w:pPr>
        <w:pStyle w:val="Clause"/>
        <w:numPr>
          <w:ilvl w:val="0"/>
          <w:numId w:val="2"/>
        </w:numPr>
      </w:pPr>
      <w:r>
        <w:rPr>
          <w:b/>
          <w:bCs/>
        </w:rPr>
        <w:t xml:space="preserve">Error monitoring — </w:t>
      </w:r>
      <w:r>
        <w:t xml:space="preserve">is Sentry, Rollbar, or similar configured? Absence means production errors go undetected.</w:t>
      </w:r>
    </w:p>
    <w:p>
      <w:pPr>
        <w:pStyle w:val="Clause"/>
        <w:numPr>
          <w:ilvl w:val="0"/>
          <w:numId w:val="2"/>
        </w:numPr>
      </w:pPr>
      <w:r>
        <w:rPr>
          <w:b/>
          <w:bCs/>
        </w:rPr>
        <w:t xml:space="preserve">Logging — </w:t>
      </w:r>
      <w:r>
        <w:t xml:space="preserve">are application logs collected and accessible? Essential for incident response.</w:t>
      </w:r>
    </w:p>
    <w:p>
      <w:pPr>
        <w:pStyle w:val="Clause"/>
        <w:numPr>
          <w:ilvl w:val="0"/>
          <w:numId w:val="2"/>
        </w:numPr>
      </w:pPr>
      <w:r>
        <w:rPr>
          <w:b/>
          <w:bCs/>
        </w:rPr>
        <w:t xml:space="preserve">Backups — </w:t>
      </w:r>
      <w:r>
        <w:t xml:space="preserve">is database backup configured and tested? Note if unknown — worth asking the client.</w:t>
      </w:r>
    </w:p>
    <w:p>
      <w:pPr>
        <w:pStyle w:val="Clause"/>
        <w:numPr>
          <w:ilvl w:val="0"/>
          <w:numId w:val="2"/>
        </w:numPr>
      </w:pPr>
      <w:r>
        <w:rPr>
          <w:b/>
          <w:bCs/>
        </w:rPr>
        <w:t xml:space="preserve">Dependency lock files — </w:t>
      </w:r>
      <w:r>
        <w:t xml:space="preserve">are lock files committed and kept in sync with manifests?</w:t>
      </w:r>
    </w:p>
    <w:p>
      <w:pPr>
        <w:pStyle w:val="Heading1"/>
      </w:pPr>
      <w:r>
        <w:t xml:space="preserve">Severity classification</w:t>
      </w:r>
    </w:p>
    <w:p>
      <w:pPr>
        <w:pStyle w:val="Clause"/>
      </w:pPr>
      <w:r>
        <w:t xml:space="preserve">Every finding in the report gets a severity level. Use these definitions consistently. When in doubt, err towards the higher severity — it is easier to explain a lower impact than to under-report a real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0"/>
        <w:gridCol w:w="4400"/>
        <w:gridCol w:w="3280"/>
      </w:tblGrid>
      <w:tr>
        <w:tc>
          <w:tcPr>
            <w:tcW w:type="dxa" w:w="1680"/>
            <w:tcBorders>
              <w:top w:val="single" w:color="D8D8D8" w:sz="4"/>
              <w:left w:val="single" w:color="D8D8D8" w:sz="4"/>
              <w:bottom w:val="single" w:color="D8D8D8" w:sz="4"/>
              <w:right w:val="single" w:color="D8D8D8" w:sz="4"/>
            </w:tcBorders>
            <w:shd w:fill="F0F2F7" w:val="clear"/>
            <w:tcMar>
              <w:top w:type="dxa" w:w="100"/>
              <w:left w:type="dxa" w:w="140"/>
              <w:bottom w:type="dxa" w:w="100"/>
              <w:right w:type="dxa" w:w="140"/>
            </w:tcMar>
            <w:vAlign w:val="center"/>
          </w:tcPr>
          <w:p>
            <w:pPr>
              <w:spacing w:after="0" w:before="0"/>
            </w:pPr>
            <w:r>
              <w:rPr>
                <w:b/>
                <w:bCs/>
                <w:color w:val="002352"/>
                <w:sz w:val="20"/>
                <w:szCs w:val="20"/>
              </w:rPr>
              <w:t xml:space="preserve">Level</w:t>
            </w:r>
          </w:p>
        </w:tc>
        <w:tc>
          <w:tcPr>
            <w:tcW w:type="dxa" w:w="4400"/>
            <w:tcBorders>
              <w:top w:val="single" w:color="D8D8D8" w:sz="4"/>
              <w:left w:val="single" w:color="D8D8D8" w:sz="4"/>
              <w:bottom w:val="single" w:color="D8D8D8" w:sz="4"/>
              <w:right w:val="single" w:color="D8D8D8" w:sz="4"/>
            </w:tcBorders>
            <w:shd w:fill="F0F2F7" w:val="clear"/>
            <w:tcMar>
              <w:top w:type="dxa" w:w="100"/>
              <w:left w:type="dxa" w:w="140"/>
              <w:bottom w:type="dxa" w:w="100"/>
              <w:right w:type="dxa" w:w="140"/>
            </w:tcMar>
            <w:vAlign w:val="center"/>
          </w:tcPr>
          <w:p>
            <w:pPr>
              <w:spacing w:after="0" w:before="0"/>
            </w:pPr>
            <w:r>
              <w:rPr>
                <w:b/>
                <w:bCs/>
                <w:color w:val="002352"/>
                <w:sz w:val="20"/>
                <w:szCs w:val="20"/>
              </w:rPr>
              <w:t xml:space="preserve">Description</w:t>
            </w:r>
          </w:p>
        </w:tc>
        <w:tc>
          <w:tcPr>
            <w:tcW w:type="dxa" w:w="3280"/>
            <w:tcBorders>
              <w:top w:val="single" w:color="D8D8D8" w:sz="4"/>
              <w:left w:val="single" w:color="D8D8D8" w:sz="4"/>
              <w:bottom w:val="single" w:color="D8D8D8" w:sz="4"/>
              <w:right w:val="single" w:color="D8D8D8" w:sz="4"/>
            </w:tcBorders>
            <w:shd w:fill="F0F2F7" w:val="clear"/>
            <w:tcMar>
              <w:top w:type="dxa" w:w="100"/>
              <w:left w:type="dxa" w:w="140"/>
              <w:bottom w:type="dxa" w:w="100"/>
              <w:right w:type="dxa" w:w="140"/>
            </w:tcMar>
            <w:vAlign w:val="center"/>
          </w:tcPr>
          <w:p>
            <w:pPr>
              <w:spacing w:after="0" w:before="0"/>
            </w:pPr>
            <w:r>
              <w:rPr>
                <w:b/>
                <w:bCs/>
                <w:color w:val="002352"/>
                <w:sz w:val="20"/>
                <w:szCs w:val="20"/>
              </w:rPr>
              <w:t xml:space="preserve">Recommended action</w:t>
            </w:r>
          </w:p>
        </w:tc>
      </w:tr>
      <w:tr>
        <w:tc>
          <w:tcPr>
            <w:tcW w:type="dxa" w:w="168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b/>
                <w:bCs/>
                <w:color w:val="C00000"/>
                <w:sz w:val="20"/>
                <w:szCs w:val="20"/>
              </w:rPr>
              <w:t xml:space="preserve">Critical</w:t>
            </w:r>
          </w:p>
        </w:tc>
        <w:tc>
          <w:tcPr>
            <w:tcW w:type="dxa" w:w="44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Active vulnerability with known exploit, exposed secrets, or production system at immediate risk.</w:t>
            </w:r>
          </w:p>
        </w:tc>
        <w:tc>
          <w:tcPr>
            <w:tcW w:type="dxa" w:w="328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Flag to client immediately. Do not wait for report delivery.</w:t>
            </w:r>
          </w:p>
        </w:tc>
      </w:tr>
      <w:tr>
        <w:tc>
          <w:tcPr>
            <w:tcW w:type="dxa" w:w="168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b/>
                <w:bCs/>
                <w:color w:val="E07A00"/>
                <w:sz w:val="20"/>
                <w:szCs w:val="20"/>
              </w:rPr>
              <w:t xml:space="preserve">High</w:t>
            </w:r>
          </w:p>
        </w:tc>
        <w:tc>
          <w:tcPr>
            <w:tcW w:type="dxa" w:w="44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Serious vulnerability without known active exploit, or significant misconfiguration with clear attack vector.</w:t>
            </w:r>
          </w:p>
        </w:tc>
        <w:tc>
          <w:tcPr>
            <w:tcW w:type="dxa" w:w="328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Fix before next release cycle. Include in top recommendations.</w:t>
            </w:r>
          </w:p>
        </w:tc>
      </w:tr>
      <w:tr>
        <w:tc>
          <w:tcPr>
            <w:tcW w:type="dxa" w:w="168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b/>
                <w:bCs/>
                <w:color w:val="CC9900"/>
                <w:sz w:val="20"/>
                <w:szCs w:val="20"/>
              </w:rPr>
              <w:t xml:space="preserve">Medium</w:t>
            </w:r>
          </w:p>
        </w:tc>
        <w:tc>
          <w:tcPr>
            <w:tcW w:type="dxa" w:w="44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Vulnerability requiring specific conditions to exploit, or dependency significantly behind current stable.</w:t>
            </w:r>
          </w:p>
        </w:tc>
        <w:tc>
          <w:tcPr>
            <w:tcW w:type="dxa" w:w="328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Plan remediation within 30 days. Include in report with context.</w:t>
            </w:r>
          </w:p>
        </w:tc>
      </w:tr>
      <w:tr>
        <w:tc>
          <w:tcPr>
            <w:tcW w:type="dxa" w:w="168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b/>
                <w:bCs/>
                <w:color w:val="4472C4"/>
                <w:sz w:val="20"/>
                <w:szCs w:val="20"/>
              </w:rPr>
              <w:t xml:space="preserve">Low</w:t>
            </w:r>
          </w:p>
        </w:tc>
        <w:tc>
          <w:tcPr>
            <w:tcW w:type="dxa" w:w="44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Minor version drift, low-impact misconfiguration, or informational finding with negligible risk.</w:t>
            </w:r>
          </w:p>
        </w:tc>
        <w:tc>
          <w:tcPr>
            <w:tcW w:type="dxa" w:w="328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Note in report. Addressed as part of ongoing retainer if applicable.</w:t>
            </w:r>
          </w:p>
        </w:tc>
      </w:tr>
      <w:tr>
        <w:tc>
          <w:tcPr>
            <w:tcW w:type="dxa" w:w="168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b/>
                <w:bCs/>
                <w:color w:val="7F7F7F"/>
                <w:sz w:val="20"/>
                <w:szCs w:val="20"/>
              </w:rPr>
              <w:t xml:space="preserve">Informational</w:t>
            </w:r>
          </w:p>
        </w:tc>
        <w:tc>
          <w:tcPr>
            <w:tcW w:type="dxa" w:w="44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Observation about code quality, missing tooling, or best practice gap. No direct security impact.</w:t>
            </w:r>
          </w:p>
        </w:tc>
        <w:tc>
          <w:tcPr>
            <w:tcW w:type="dxa" w:w="328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Include in report under recommendations if relevant to client context.</w:t>
            </w:r>
          </w:p>
        </w:tc>
      </w:tr>
    </w:tbl>
    <w:p>
      <w:pPr>
        <w:spacing w:after="40" w:before="300"/>
      </w:pPr>
      <w:r>
        <w:rPr>
          <w:b/>
          <w:bCs/>
          <w:color w:val="666666"/>
          <w:sz w:val="18"/>
          <w:szCs w:val="18"/>
        </w:rPr>
        <w:t xml:space="preserve">STAGE 7</w:t>
      </w:r>
      <w:r>
        <w:rPr>
          <w:sz w:val="18"/>
          <w:szCs w:val="18"/>
        </w:rPr>
        <w:t xml:space="preserve">    </w:t>
      </w:r>
      <w:r>
        <w:rPr>
          <w:b/>
          <w:bCs/>
          <w:color w:val="002352"/>
          <w:sz w:val="18"/>
          <w:szCs w:val="18"/>
        </w:rPr>
        <w:t xml:space="preserve">DAY 3</w:t>
      </w:r>
    </w:p>
    <w:p>
      <w:pPr>
        <w:pStyle w:val="Heading2"/>
      </w:pPr>
      <w:r>
        <w:t xml:space="preserve">Prioritisation framework</w:t>
      </w:r>
    </w:p>
    <w:p>
      <w:pPr>
        <w:pStyle w:val="Clause"/>
      </w:pPr>
      <w:r>
        <w:t xml:space="preserve">The report must tell the client what to fix first, not just what is wrong. Use this framework to order recommendations.</w:t>
      </w:r>
    </w:p>
    <w:p>
      <w:pPr>
        <w:pStyle w:val="Heading3"/>
      </w:pPr>
      <w:r>
        <w:t xml:space="preserve">Fix immediately (before the report is even delivered)</w:t>
      </w:r>
    </w:p>
    <w:p>
      <w:pPr>
        <w:pStyle w:val="Clause"/>
        <w:numPr>
          <w:ilvl w:val="0"/>
          <w:numId w:val="2"/>
        </w:numPr>
      </w:pPr>
      <w:r>
        <w:t xml:space="preserve">Any Critical finding. Flag by email the moment it is identified. Do not wait.</w:t>
      </w:r>
    </w:p>
    <w:p>
      <w:pPr>
        <w:pStyle w:val="Heading3"/>
      </w:pPr>
      <w:r>
        <w:t xml:space="preserve">Fix within the week</w:t>
      </w:r>
    </w:p>
    <w:p>
      <w:pPr>
        <w:pStyle w:val="Clause"/>
        <w:numPr>
          <w:ilvl w:val="0"/>
          <w:numId w:val="2"/>
        </w:numPr>
      </w:pPr>
      <w:r>
        <w:t xml:space="preserve">High findings with a known CVE and available patch.</w:t>
      </w:r>
    </w:p>
    <w:p>
      <w:pPr>
        <w:pStyle w:val="Clause"/>
        <w:numPr>
          <w:ilvl w:val="0"/>
          <w:numId w:val="2"/>
        </w:numPr>
      </w:pPr>
      <w:r>
        <w:t xml:space="preserve">Exposed secrets or credentials in any environment.</w:t>
      </w:r>
    </w:p>
    <w:p>
      <w:pPr>
        <w:pStyle w:val="Clause"/>
        <w:numPr>
          <w:ilvl w:val="0"/>
          <w:numId w:val="2"/>
        </w:numPr>
      </w:pPr>
      <w:r>
        <w:t xml:space="preserve">Exposed admin panels or debug pages on production.</w:t>
      </w:r>
    </w:p>
    <w:p>
      <w:pPr>
        <w:pStyle w:val="Heading3"/>
      </w:pPr>
      <w:r>
        <w:t xml:space="preserve">Fix within the month</w:t>
      </w:r>
    </w:p>
    <w:p>
      <w:pPr>
        <w:pStyle w:val="Clause"/>
        <w:numPr>
          <w:ilvl w:val="0"/>
          <w:numId w:val="2"/>
        </w:numPr>
      </w:pPr>
      <w:r>
        <w:t xml:space="preserve">High findings without an immediately available patch (note mitigation steps).</w:t>
      </w:r>
    </w:p>
    <w:p>
      <w:pPr>
        <w:pStyle w:val="Clause"/>
        <w:numPr>
          <w:ilvl w:val="0"/>
          <w:numId w:val="2"/>
        </w:numPr>
      </w:pPr>
      <w:r>
        <w:t xml:space="preserve">Medium severity CVEs.</w:t>
      </w:r>
    </w:p>
    <w:p>
      <w:pPr>
        <w:pStyle w:val="Clause"/>
        <w:numPr>
          <w:ilvl w:val="0"/>
          <w:numId w:val="2"/>
        </w:numPr>
      </w:pPr>
      <w:r>
        <w:t xml:space="preserve">EOL runtime or framework version.</w:t>
      </w:r>
    </w:p>
    <w:p>
      <w:pPr>
        <w:pStyle w:val="Heading3"/>
      </w:pPr>
      <w:r>
        <w:t xml:space="preserve">Planned work (retainer or backlog)</w:t>
      </w:r>
    </w:p>
    <w:p>
      <w:pPr>
        <w:pStyle w:val="Clause"/>
        <w:numPr>
          <w:ilvl w:val="0"/>
          <w:numId w:val="2"/>
        </w:numPr>
      </w:pPr>
      <w:r>
        <w:t xml:space="preserve">Low severity findings.</w:t>
      </w:r>
    </w:p>
    <w:p>
      <w:pPr>
        <w:pStyle w:val="Clause"/>
        <w:numPr>
          <w:ilvl w:val="0"/>
          <w:numId w:val="2"/>
        </w:numPr>
      </w:pPr>
      <w:r>
        <w:t xml:space="preserve">Missing tooling (error monitoring, CI, backups).</w:t>
      </w:r>
    </w:p>
    <w:p>
      <w:pPr>
        <w:pStyle w:val="Clause"/>
        <w:numPr>
          <w:ilvl w:val="0"/>
          <w:numId w:val="2"/>
        </w:numPr>
      </w:pPr>
      <w:r>
        <w:t xml:space="preserve">Performance improvements.</w:t>
      </w:r>
    </w:p>
    <w:p>
      <w:pPr>
        <w:pStyle w:val="Clause"/>
        <w:numPr>
          <w:ilvl w:val="0"/>
          <w:numId w:val="2"/>
        </w:numPr>
      </w:pPr>
      <w:r>
        <w:t xml:space="preserve">Informational observations.</w:t>
      </w:r>
    </w:p>
    <w:p>
      <w:pPr>
        <w:spacing w:after="40" w:before="300"/>
      </w:pPr>
      <w:r>
        <w:rPr>
          <w:b/>
          <w:bCs/>
          <w:color w:val="666666"/>
          <w:sz w:val="18"/>
          <w:szCs w:val="18"/>
        </w:rPr>
        <w:t xml:space="preserve">STAGE 8</w:t>
      </w:r>
      <w:r>
        <w:rPr>
          <w:sz w:val="18"/>
          <w:szCs w:val="18"/>
        </w:rPr>
        <w:t xml:space="preserve">    </w:t>
      </w:r>
      <w:r>
        <w:rPr>
          <w:b/>
          <w:bCs/>
          <w:color w:val="002352"/>
          <w:sz w:val="18"/>
          <w:szCs w:val="18"/>
        </w:rPr>
        <w:t xml:space="preserve">DAY 3</w:t>
      </w:r>
    </w:p>
    <w:p>
      <w:pPr>
        <w:pStyle w:val="Heading2"/>
      </w:pPr>
      <w:r>
        <w:t xml:space="preserve">Writing the report</w:t>
      </w:r>
    </w:p>
    <w:p>
      <w:pPr>
        <w:pStyle w:val="Clause"/>
      </w:pPr>
      <w:r>
        <w:t xml:space="preserve">The report is 4 pages. It is written for a technical lead or CTO — someone who understands the concepts but does not need the basics explained. Write in plain sentences. Do not use bullet points to pad the page count.</w:t>
      </w:r>
    </w:p>
    <w:p>
      <w:pPr>
        <w:pStyle w:val="Heading3"/>
      </w:pPr>
      <w:r>
        <w:t xml:space="preserve">Report structure</w:t>
      </w:r>
    </w:p>
    <w:p>
      <w:pPr>
        <w:pStyle w:val="Clause"/>
        <w:numPr>
          <w:ilvl w:val="0"/>
          <w:numId w:val="2"/>
        </w:numPr>
      </w:pPr>
      <w:r>
        <w:rPr>
          <w:b/>
          <w:bCs/>
        </w:rPr>
        <w:t xml:space="preserve">Page 1 — Executive summary: </w:t>
      </w:r>
      <w:r>
        <w:t xml:space="preserve">what is the overall state of the system? What are the 2–3 most important things? What does the client need to know before reading further?</w:t>
      </w:r>
    </w:p>
    <w:p>
      <w:pPr>
        <w:pStyle w:val="Clause"/>
        <w:numPr>
          <w:ilvl w:val="0"/>
          <w:numId w:val="2"/>
        </w:numPr>
      </w:pPr>
      <w:r>
        <w:rPr>
          <w:b/>
          <w:bCs/>
        </w:rPr>
        <w:t xml:space="preserve">Page 2 — Findings: </w:t>
      </w:r>
      <w:r>
        <w:t xml:space="preserve">all findings listed by severity (Critical down to Low). Each finding gets a name, severity level, a plain-English description of the risk, and the recommended fix.</w:t>
      </w:r>
    </w:p>
    <w:p>
      <w:pPr>
        <w:pStyle w:val="Clause"/>
        <w:numPr>
          <w:ilvl w:val="0"/>
          <w:numId w:val="2"/>
        </w:numPr>
      </w:pPr>
      <w:r>
        <w:rPr>
          <w:b/>
          <w:bCs/>
        </w:rPr>
        <w:t xml:space="preserve">Page 3 — Dependency and runtime health: </w:t>
      </w:r>
      <w:r>
        <w:t xml:space="preserve">summary of the dependency audit. Number of Critical/High/Medium/Low vulnerabilities. Outdated runtime or framework. Table of significant packages needing attention.</w:t>
      </w:r>
    </w:p>
    <w:p>
      <w:pPr>
        <w:pStyle w:val="Clause"/>
        <w:numPr>
          <w:ilvl w:val="0"/>
          <w:numId w:val="2"/>
        </w:numPr>
      </w:pPr>
      <w:r>
        <w:rPr>
          <w:b/>
          <w:bCs/>
        </w:rPr>
        <w:t xml:space="preserve">Page 4 — Recommendations: </w:t>
      </w:r>
      <w:r>
        <w:t xml:space="preserve">what to do first, in order. Framed as a prioritised action list, not a raw dump of findings. Close with whether ongoing monitoring (the retainer) is appropriate for this system.</w:t>
      </w:r>
    </w:p>
    <w:p>
      <w:pPr>
        <w:pStyle w:val="Heading3"/>
      </w:pPr>
      <w:r>
        <w:t xml:space="preserve">Delivery</w:t>
      </w:r>
    </w:p>
    <w:p>
      <w:pPr>
        <w:pStyle w:val="Clause"/>
        <w:numPr>
          <w:ilvl w:val="0"/>
          <w:numId w:val="2"/>
        </w:numPr>
      </w:pPr>
      <w:r>
        <w:t xml:space="preserve">Send as a PDF by email to the primary contact.</w:t>
      </w:r>
    </w:p>
    <w:p>
      <w:pPr>
        <w:pStyle w:val="Clause"/>
        <w:numPr>
          <w:ilvl w:val="0"/>
          <w:numId w:val="2"/>
        </w:numPr>
      </w:pPr>
      <w:r>
        <w:t xml:space="preserve">Subject line: System Health Audit — [Client/System name] — [Date]</w:t>
      </w:r>
    </w:p>
    <w:p>
      <w:pPr>
        <w:pStyle w:val="Clause"/>
        <w:numPr>
          <w:ilvl w:val="0"/>
          <w:numId w:val="2"/>
        </w:numPr>
      </w:pPr>
      <w:r>
        <w:t xml:space="preserve">Include a 2–3 sentence plain-English cover note in the email body — not everyone reads the whole report immediately.</w:t>
      </w:r>
    </w:p>
    <w:p>
      <w:pPr>
        <w:pStyle w:val="Clause"/>
        <w:numPr>
          <w:ilvl w:val="0"/>
          <w:numId w:val="2"/>
        </w:numPr>
      </w:pPr>
      <w:r>
        <w:t xml:space="preserve">If a Critical finding was flagged during the audit, reference it in the cover note and confirm it was already communicated.</w:t>
      </w:r>
    </w:p>
    <w:p>
      <w:pPr>
        <w:pStyle w:val="Clause"/>
        <w:numPr>
          <w:ilvl w:val="0"/>
          <w:numId w:val="2"/>
        </w:numPr>
      </w:pPr>
      <w:r>
        <w:t xml:space="preserve">Do not attach raw tool output — it goes in the working notes, not the report.</w:t>
      </w:r>
    </w:p>
    <w:p>
      <w:pPr>
        <w:pStyle w:val="Heading3"/>
      </w:pPr>
      <w:r>
        <w:t xml:space="preserve">Working notes</w:t>
      </w:r>
    </w:p>
    <w:p>
      <w:pPr>
        <w:pStyle w:val="Clause"/>
      </w:pPr>
      <w:r>
        <w:t xml:space="preserve">For every audit, keep a private working notes document capturing the raw tool output, command history, and any observations that did not make the final report. Store in Drive under the client folder. This is useful if questions come up after delivery, and essential if the client becomes a retainer customer.</w:t>
      </w:r>
    </w:p>
    <w:p>
      <w:pPr>
        <w:spacing w:after="240" w:before="0"/>
      </w:pPr>
      <w:r>
        <w:t xml:space="preserve"/>
      </w:r>
    </w:p>
    <w:p>
      <w:pPr>
        <w:jc w:val="center"/>
      </w:pPr>
      <w:r>
        <w:rPr>
          <w:i/>
          <w:iCs/>
          <w:color w:val="666666"/>
          <w:sz w:val="20"/>
          <w:szCs w:val="20"/>
        </w:rPr>
        <w:t xml:space="preserve">Questions about this process? hello@tensileinfrastructure.co.uk</w:t>
      </w:r>
    </w:p>
    <w:sectPr>
      <w:headerReference w:type="default" r:id="rId7"/>
      <w:footerReference w:type="default" r:id="rId8"/>
      <w:pgSz w:w="12240" w:h="15840" w:orient="portrait"/>
      <w:pgMar w:top="180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8D8" w:sz="4" w:space="6"/>
      </w:pBdr>
      <w:tabs>
        <w:tab w:val="right" w:pos="9360"/>
      </w:tabs>
      <w:spacing w:before="60"/>
    </w:pPr>
    <w:r>
      <w:rPr>
        <w:color w:val="666666"/>
        <w:sz w:val="16"/>
        <w:szCs w:val="16"/>
      </w:rPr>
      <w:t xml:space="preserve">Tensile Infrastructure Ltd  ·  Company No. 17139591  ·  </w:t>
    </w:r>
    <w:r>
      <w:rPr>
        <w:i/>
        <w:iCs/>
        <w:color w:val="666666"/>
        <w:sz w:val="16"/>
        <w:szCs w:val="16"/>
      </w:rPr>
      <w:t xml:space="preserve">Audit Process Runbook · Internal</w:t>
    </w:r>
    <w:r>
      <w:rPr>
        <w:color w:val="666666"/>
        <w:sz w:val="16"/>
        <w:szCs w:val="16"/>
      </w:rPr>
      <w:t xml:space="preserve">	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left"/>
    </w:pPr>
    <w:r>
      <w:drawing>
        <wp:inline distT="0" distB="0" distL="0" distR="0">
          <wp:extent cx="1714500" cy="523875"/>
          <wp:effectExtent t="0" r="0" b="0" l="0"/>
          <wp:docPr id="1" name="logo" descr="Tensile Infrastructure logo" title="Tensile Infra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523875"/>
                  </a:xfrm>
                  <a:prstGeom prst="rect">
                    <a:avLst/>
                  </a:prstGeom>
                </pic:spPr>
              </pic:pic>
            </a:graphicData>
          </a:graphic>
        </wp:inline>
      </w:drawing>
    </w:r>
  </w:p>
  <w:p>
    <w:pPr>
      <w:pBdr>
        <w:bottom w:val="single" w:color="002352" w:sz="6" w:space="4"/>
      </w:pBdr>
      <w:spacing w:after="0" w:before="4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pPr>
    <w:rPr>
      <w:rFonts w:ascii="Arial" w:cs="Arial" w:eastAsia="Arial" w:hAnsi="Arial"/>
      <w:b/>
      <w:bCs/>
      <w:color w:val="002352"/>
      <w:sz w:val="44"/>
      <w:szCs w:val="44"/>
    </w:rPr>
  </w:style>
  <w:style w:type="paragraph" w:styleId="Subtitle">
    <w:name w:val="Subtitle"/>
    <w:basedOn w:val="Normal"/>
    <w:next w:val="Normal"/>
    <w:qFormat/>
    <w:pPr>
      <w:spacing w:after="360" w:before="0"/>
    </w:pPr>
    <w:rPr>
      <w:rFonts w:ascii="Arial" w:cs="Arial" w:eastAsia="Arial" w:hAnsi="Arial"/>
      <w:i w:val="false"/>
      <w:iCs w:val="false"/>
      <w:color w:val="666666"/>
      <w:sz w:val="22"/>
      <w:szCs w:val="22"/>
    </w:rPr>
  </w:style>
  <w:style w:type="paragraph" w:styleId="Heading1">
    <w:name w:val="Heading 1"/>
    <w:basedOn w:val="Normal"/>
    <w:next w:val="Normal"/>
    <w:qFormat/>
    <w:pPr>
      <w:spacing w:after="160" w:before="360"/>
      <w:outlineLvl w:val="0"/>
    </w:pPr>
    <w:rPr>
      <w:rFonts w:ascii="Arial" w:cs="Arial" w:eastAsia="Arial" w:hAnsi="Arial"/>
      <w:b/>
      <w:bCs/>
      <w:color w:val="002352"/>
      <w:sz w:val="30"/>
      <w:szCs w:val="30"/>
    </w:rPr>
  </w:style>
  <w:style w:type="paragraph" w:styleId="Heading2">
    <w:name w:val="Heading 2"/>
    <w:basedOn w:val="Normal"/>
    <w:next w:val="Normal"/>
    <w:qFormat/>
    <w:pPr>
      <w:spacing w:after="120" w:before="280"/>
      <w:outlineLvl w:val="1"/>
    </w:pPr>
    <w:rPr>
      <w:rFonts w:ascii="Arial" w:cs="Arial" w:eastAsia="Arial" w:hAnsi="Arial"/>
      <w:b/>
      <w:bCs/>
      <w:color w:val="002352"/>
      <w:sz w:val="24"/>
      <w:szCs w:val="24"/>
    </w:rPr>
  </w:style>
  <w:style w:type="paragraph" w:styleId="Heading3">
    <w:name w:val="Heading 3"/>
    <w:basedOn w:val="Normal"/>
    <w:next w:val="Normal"/>
    <w:qFormat/>
    <w:pPr>
      <w:spacing w:after="80" w:before="240"/>
      <w:outlineLvl w:val="2"/>
    </w:pPr>
    <w:rPr>
      <w:rFonts w:ascii="Arial" w:cs="Arial" w:eastAsia="Arial" w:hAnsi="Arial"/>
      <w:b/>
      <w:bCs/>
      <w:color w:val="1A1A1A"/>
      <w:sz w:val="22"/>
      <w:szCs w:val="22"/>
    </w:rPr>
  </w:style>
  <w:style w:type="paragraph" w:styleId="Clause">
    <w:name w:val="Clause"/>
    <w:basedOn w:val="Normal"/>
    <w:next w:val="Normal"/>
    <w:pPr>
      <w:spacing w:after="80" w:before="80" w:line="300"/>
    </w:pPr>
    <w:rPr>
      <w:rFonts w:ascii="Arial" w:cs="Arial" w:eastAsia="Arial" w:hAnsi="Arial"/>
      <w:color w:val="333333"/>
      <w:sz w:val="22"/>
      <w:szCs w:val="22"/>
    </w:rPr>
  </w:style>
  <w:style w:type="paragraph" w:styleId="Caption">
    <w:name w:val="Caption"/>
    <w:basedOn w:val="Normal"/>
    <w:next w:val="Normal"/>
    <w:pPr>
      <w:spacing w:after="120" w:before="60"/>
    </w:pPr>
    <w:rPr>
      <w:rFonts w:ascii="Arial" w:cs="Arial" w:eastAsia="Arial" w:hAnsi="Arial"/>
      <w:i/>
      <w:iCs/>
      <w:color w:val="666666"/>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37bb148841f003836646a851760eaf898653db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Process Runbook</dc:title>
  <dc:creator>Tensile Infrastructure Ltd</dc:creator>
  <dc:description>Internal audit runbook</dc:description>
  <cp:lastModifiedBy>Un-named</cp:lastModifiedBy>
  <cp:revision>1</cp:revision>
  <dcterms:created xsi:type="dcterms:W3CDTF">2026-04-10T06:23:53.656Z</dcterms:created>
  <dcterms:modified xsi:type="dcterms:W3CDTF">2026-04-10T06:23:53.657Z</dcterms:modified>
</cp:coreProperties>
</file>

<file path=docProps/custom.xml><?xml version="1.0" encoding="utf-8"?>
<Properties xmlns="http://schemas.openxmlformats.org/officeDocument/2006/custom-properties" xmlns:vt="http://schemas.openxmlformats.org/officeDocument/2006/docPropsVTypes"/>
</file>