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40" w:before="200"/>
      </w:pPr>
      <w:r>
        <w:rPr>
          <w:b/>
          <w:bCs/>
          <w:color w:val="666666"/>
          <w:spacing w:val="60"/>
          <w:sz w:val="20"/>
          <w:szCs w:val="20"/>
        </w:rPr>
        <w:t xml:space="preserve">SYSTEM HEALTH AUDIT</w:t>
      </w:r>
    </w:p>
    <w:p>
      <w:pPr>
        <w:pStyle w:val="Title"/>
      </w:pPr>
      <w:r>
        <w:t xml:space="preserve">[Client or system name]</w:t>
      </w:r>
    </w:p>
    <w:p>
      <w:pPr>
        <w:pStyle w:val="Subtitle"/>
      </w:pPr>
      <w:r>
        <w:t xml:space="preserve">Prepared by Tensile Infrastructure · [Date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Prepared for</w:t>
            </w:r>
          </w:p>
        </w:tc>
        <w:tc>
          <w:tcPr>
            <w:tcW w:type="dxa" w:w="6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name and primary contact]</w:t>
            </w:r>
          </w:p>
        </w:tc>
      </w:tr>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System audited</w:t>
            </w:r>
          </w:p>
        </w:tc>
        <w:tc>
          <w:tcPr>
            <w:tcW w:type="dxa" w:w="6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[Covered core system name and production URL]</w:t>
            </w:r>
          </w:p>
        </w:tc>
      </w:tr>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Audit period</w:t>
            </w:r>
          </w:p>
        </w:tc>
        <w:tc>
          <w:tcPr>
            <w:tcW w:type="dxa" w:w="6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[Start date – end date]</w:t>
            </w:r>
          </w:p>
        </w:tc>
      </w:tr>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Prepared by</w:t>
            </w:r>
          </w:p>
        </w:tc>
        <w:tc>
          <w:tcPr>
            <w:tcW w:type="dxa" w:w="6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Tensile Infrastructure Ltd · Company No. 17139591</w:t>
            </w:r>
          </w:p>
        </w:tc>
      </w:tr>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Document reference</w:t>
            </w:r>
          </w:p>
        </w:tc>
        <w:tc>
          <w:tcPr>
            <w:tcW w:type="dxa" w:w="6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Audit / [Client slug] / [YYYY-MM-DD]</w:t>
            </w:r>
          </w:p>
        </w:tc>
      </w:tr>
    </w:tbl>
    <w:p>
      <w:pPr>
        <w:spacing w:after="300" w:before="0"/>
      </w:pPr>
      <w:r>
        <w:t xml:space="preserve"/>
      </w:r>
    </w:p>
    <w:p>
      <w:pPr>
        <w:pStyle w:val="Heading1"/>
      </w:pPr>
      <w:r>
        <w:t xml:space="preserve">Executive summary</w:t>
      </w:r>
    </w:p>
    <w:p>
      <w:pPr>
        <w:pBdr>
          <w:left w:val="single" w:color="002352" w:sz="24" w:space="8"/>
        </w:pBdr>
        <w:spacing w:after="120" w:before="120"/>
        <w:ind w:left="360"/>
      </w:pPr>
      <w:r>
        <w:rPr>
          <w:b/>
          <w:bCs/>
          <w:color w:val="002352"/>
          <w:sz w:val="22"/>
          <w:szCs w:val="22"/>
        </w:rPr>
        <w:t xml:space="preserve">Bottom line:  </w:t>
      </w:r>
      <w:r>
        <w:rPr>
          <w:i/>
          <w:iCs/>
          <w:color w:val="1A1A1A"/>
          <w:sz w:val="22"/>
          <w:szCs w:val="22"/>
        </w:rPr>
        <w:t xml:space="preserve">[One-sentence verdict. Be direct. Is the system in good shape, poor shape, or somewhere in between? Replace before delivery.]</w:t>
      </w:r>
    </w:p>
    <w:p>
      <w:pPr>
        <w:pStyle w:val="Clause"/>
      </w:pPr>
      <w:r>
        <w:t xml:space="preserve">[Write 2–3 sentences summarising the overall state of the system. What is the dominant theme — dependency drift, a specific security issue, performance problems? This sets the tone for everything that follows.]</w:t>
      </w:r>
    </w:p>
    <w:p>
      <w:pPr>
        <w:pStyle w:val="Clause"/>
      </w:pPr>
      <w:r>
        <w:t xml:space="preserve">[Second paragraph if needed. Close with a clear statement of the most important thing the client should take away from this report. E.g. “The most pressing issue is X. Everything else is manageable as planned work.”]</w:t>
      </w:r>
    </w:p>
    <w:p>
      <w:pPr>
        <w:pStyle w:val="Heading2"/>
      </w:pPr>
      <w: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8D8D8" w:sz="4"/>
              <w:left w:val="single" w:color="D8D8D8" w:sz="4"/>
              <w:bottom w:val="single" w:color="D8D8D8" w:sz="4"/>
              <w:right w:val="single" w:color="D8D8D8" w:sz="4"/>
            </w:tcBorders>
            <w:shd w:fill="C00000"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b/>
                <w:bCs/>
                <w:color w:val="FFFFFF"/>
                <w:sz w:val="16"/>
                <w:szCs w:val="16"/>
              </w:rPr>
              <w:t xml:space="preserve">CRITICAL</w:t>
            </w:r>
          </w:p>
        </w:tc>
        <w:tc>
          <w:tcPr>
            <w:tcW w:type="dxa" w:w="1872"/>
            <w:tcBorders>
              <w:top w:val="single" w:color="D8D8D8" w:sz="4"/>
              <w:left w:val="single" w:color="D8D8D8" w:sz="4"/>
              <w:bottom w:val="single" w:color="D8D8D8" w:sz="4"/>
              <w:right w:val="single" w:color="D8D8D8" w:sz="4"/>
            </w:tcBorders>
            <w:shd w:fill="E07A00"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b/>
                <w:bCs/>
                <w:color w:val="FFFFFF"/>
                <w:sz w:val="16"/>
                <w:szCs w:val="16"/>
              </w:rPr>
              <w:t xml:space="preserve">HIGH</w:t>
            </w:r>
          </w:p>
        </w:tc>
        <w:tc>
          <w:tcPr>
            <w:tcW w:type="dxa" w:w="1872"/>
            <w:tcBorders>
              <w:top w:val="single" w:color="D8D8D8" w:sz="4"/>
              <w:left w:val="single" w:color="D8D8D8" w:sz="4"/>
              <w:bottom w:val="single" w:color="D8D8D8" w:sz="4"/>
              <w:right w:val="single" w:color="D8D8D8" w:sz="4"/>
            </w:tcBorders>
            <w:shd w:fill="CC9900"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b/>
                <w:bCs/>
                <w:color w:val="FFFFFF"/>
                <w:sz w:val="16"/>
                <w:szCs w:val="16"/>
              </w:rPr>
              <w:t xml:space="preserve">MEDIUM</w:t>
            </w:r>
          </w:p>
        </w:tc>
        <w:tc>
          <w:tcPr>
            <w:tcW w:type="dxa" w:w="1872"/>
            <w:tcBorders>
              <w:top w:val="single" w:color="D8D8D8" w:sz="4"/>
              <w:left w:val="single" w:color="D8D8D8" w:sz="4"/>
              <w:bottom w:val="single" w:color="D8D8D8" w:sz="4"/>
              <w:right w:val="single" w:color="D8D8D8" w:sz="4"/>
            </w:tcBorders>
            <w:shd w:fill="4472C4"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b/>
                <w:bCs/>
                <w:color w:val="FFFFFF"/>
                <w:sz w:val="16"/>
                <w:szCs w:val="16"/>
              </w:rPr>
              <w:t xml:space="preserve">LOW</w:t>
            </w:r>
          </w:p>
        </w:tc>
        <w:tc>
          <w:tcPr>
            <w:tcW w:type="dxa" w:w="1872"/>
            <w:tcBorders>
              <w:top w:val="single" w:color="D8D8D8" w:sz="4"/>
              <w:left w:val="single" w:color="D8D8D8" w:sz="4"/>
              <w:bottom w:val="single" w:color="D8D8D8" w:sz="4"/>
              <w:right w:val="single" w:color="D8D8D8" w:sz="4"/>
            </w:tcBorders>
            <w:shd w:fill="7F7F7F"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36"/>
                <w:szCs w:val="36"/>
              </w:rPr>
              <w:t xml:space="preserve">0</w:t>
            </w:r>
          </w:p>
          <w:p>
            <w:pPr>
              <w:spacing w:after="0" w:before="0"/>
              <w:jc w:val="center"/>
            </w:pPr>
            <w:r>
              <w:rPr>
                <w:rFonts w:ascii="Arial" w:cs="Arial" w:eastAsia="Arial" w:hAnsi="Arial"/>
                <w:b/>
                <w:bCs/>
                <w:color w:val="FFFFFF"/>
                <w:sz w:val="16"/>
                <w:szCs w:val="16"/>
              </w:rPr>
              <w:t xml:space="preserve">INFO</w:t>
            </w:r>
          </w:p>
        </w:tc>
      </w:tr>
    </w:tbl>
    <w:p>
      <w:pPr>
        <w:pStyle w:val="Caption"/>
      </w:pPr>
      <w:r>
        <w:t xml:space="preserve">Update the counts above to match total findings before delivery. If Critical and High are both zero, say so explicitly in the summary above.</w:t>
      </w:r>
    </w:p>
    <w:p>
      <w:pPr>
        <w:pStyle w:val="Heading2"/>
      </w:pPr>
      <w:r>
        <w:t xml:space="preserve">The three things that matter most</w:t>
      </w:r>
    </w:p>
    <w:p>
      <w:pPr>
        <w:pStyle w:val="Clause"/>
      </w:pPr>
      <w:r>
        <w:t xml:space="preserve">[Pull out the 2–3 most important items and state them plainly. Delete this section if there are five or fewer findings total.]</w:t>
      </w:r>
    </w:p>
    <w:p>
      <w:pPr>
        <w:pStyle w:val="Clause"/>
        <w:numPr>
          <w:ilvl w:val="0"/>
          <w:numId w:val="2"/>
        </w:numPr>
      </w:pPr>
      <w:r>
        <w:rPr>
          <w:b/>
          <w:bCs/>
        </w:rPr>
        <w:t xml:space="preserve">First priority — </w:t>
      </w:r>
      <w:r>
        <w:t xml:space="preserve">[Plain-English statement of the most critical finding and why it matters. One sentence.]</w:t>
      </w:r>
    </w:p>
    <w:p>
      <w:pPr>
        <w:pStyle w:val="Clause"/>
        <w:numPr>
          <w:ilvl w:val="0"/>
          <w:numId w:val="2"/>
        </w:numPr>
      </w:pPr>
      <w:r>
        <w:rPr>
          <w:b/>
          <w:bCs/>
        </w:rPr>
        <w:t xml:space="preserve">Second priority — </w:t>
      </w:r>
      <w:r>
        <w:t xml:space="preserve">[Second most important finding. One sentence.]</w:t>
      </w:r>
    </w:p>
    <w:p>
      <w:pPr>
        <w:pStyle w:val="Clause"/>
        <w:numPr>
          <w:ilvl w:val="0"/>
          <w:numId w:val="2"/>
        </w:numPr>
      </w:pPr>
      <w:r>
        <w:rPr>
          <w:b/>
          <w:bCs/>
        </w:rPr>
        <w:t xml:space="preserve">Third priority — </w:t>
      </w:r>
      <w:r>
        <w:t xml:space="preserve">[Third. Delete if there are only one or two things.]</w:t>
      </w:r>
    </w:p>
    <w:p>
      <w:pPr>
        <w:pageBreakBefore/>
      </w:pPr>
      <w:r>
        <w:t xml:space="preserve"/>
      </w:r>
    </w:p>
    <w:p>
      <w:pPr>
        <w:pStyle w:val="Heading1"/>
      </w:pPr>
      <w:r>
        <w:t xml:space="preserve">Findings</w:t>
      </w:r>
    </w:p>
    <w:p>
      <w:pPr>
        <w:pStyle w:val="Clause"/>
      </w:pPr>
      <w:r>
        <w:t xml:space="preserve">Findings are listed Critical first, descending to Informational. Each finding includes a plain-English description of the risk and a specific recommendation. Delete placeholder findings below and replace with actual findings. If a severity level has no findings, omit it entirely.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0000" w:sz="24"/>
              <w:bottom w:val="single" w:color="D8D8D8" w:sz="4"/>
              <w:right w:val="none" w:color="FFFFFF" w:sz="0"/>
            </w:tcBorders>
            <w:tcMar>
              <w:top w:type="dxa" w:w="80"/>
              <w:left w:type="dxa" w:w="200"/>
              <w:bottom w:type="dxa" w:w="80"/>
              <w:right w:type="dxa" w:w="120"/>
            </w:tcMar>
          </w:tcPr>
          <w:p>
            <w:pPr>
              <w:spacing w:after="40" w:before="200"/>
            </w:pPr>
            <w:r>
              <w:rPr>
                <w:b/>
                <w:bCs/>
                <w:color w:val="C00000"/>
                <w:sz w:val="18"/>
                <w:szCs w:val="18"/>
              </w:rPr>
              <w:t xml:space="preserve">CRITICAL</w:t>
            </w:r>
            <w:r>
              <w:rPr>
                <w:sz w:val="18"/>
                <w:szCs w:val="18"/>
              </w:rPr>
              <w:t xml:space="preserve">   </w:t>
            </w:r>
            <w:r>
              <w:rPr>
                <w:b/>
                <w:bCs/>
                <w:color w:val="1A1A1A"/>
                <w:sz w:val="22"/>
                <w:szCs w:val="22"/>
              </w:rPr>
              <w:t xml:space="preserve">[Finding title — e.g. Exposed API key in git history]</w:t>
            </w:r>
          </w:p>
          <w:p>
            <w:pPr>
              <w:spacing w:after="40" w:before="40"/>
            </w:pPr>
            <w:r>
              <w:rPr>
                <w:color w:val="333333"/>
                <w:sz w:val="20"/>
                <w:szCs w:val="20"/>
              </w:rPr>
              <w:t xml:space="preserve">[Describe what was found and why it is a risk. Write for a technical lead — assume they understand the concepts but spell out the specific impact. E.g. “A live AWS access key was found committed in the git history at commit abc1234. The key has IAM permissions including S3 write access. Any party with read access to the repository could use this key.”]</w:t>
            </w:r>
          </w:p>
          <w:p>
            <w:pPr>
              <w:spacing w:after="120" w:before="40"/>
            </w:pPr>
            <w:r>
              <w:rPr>
                <w:b/>
                <w:bCs/>
                <w:color w:val="002352"/>
                <w:sz w:val="20"/>
                <w:szCs w:val="20"/>
              </w:rPr>
              <w:t xml:space="preserve">Recommendation  </w:t>
            </w:r>
            <w:r>
              <w:rPr>
                <w:color w:val="333333"/>
                <w:sz w:val="20"/>
                <w:szCs w:val="20"/>
              </w:rPr>
              <w:t xml:space="preserve">[State the specific fix. E.g. “Rotate the key immediately via the AWS console. Add the .env file to .gitignore and use git-filter-repo or BFG to purge the key from history. Audit CloudTrail for unauthorised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A00" w:sz="24"/>
              <w:bottom w:val="single" w:color="D8D8D8" w:sz="4"/>
              <w:right w:val="none" w:color="FFFFFF" w:sz="0"/>
            </w:tcBorders>
            <w:tcMar>
              <w:top w:type="dxa" w:w="80"/>
              <w:left w:type="dxa" w:w="200"/>
              <w:bottom w:type="dxa" w:w="80"/>
              <w:right w:type="dxa" w:w="120"/>
            </w:tcMar>
          </w:tcPr>
          <w:p>
            <w:pPr>
              <w:spacing w:after="40" w:before="200"/>
            </w:pPr>
            <w:r>
              <w:rPr>
                <w:b/>
                <w:bCs/>
                <w:color w:val="E07A00"/>
                <w:sz w:val="18"/>
                <w:szCs w:val="18"/>
              </w:rPr>
              <w:t xml:space="preserve">HIGH</w:t>
            </w:r>
            <w:r>
              <w:rPr>
                <w:sz w:val="18"/>
                <w:szCs w:val="18"/>
              </w:rPr>
              <w:t xml:space="preserve">   </w:t>
            </w:r>
            <w:r>
              <w:rPr>
                <w:b/>
                <w:bCs/>
                <w:color w:val="1A1A1A"/>
                <w:sz w:val="22"/>
                <w:szCs w:val="22"/>
              </w:rPr>
              <w:t xml:space="preserve">[Finding title — e.g. express 4.18.1 — CVE-XXXX-XXXX]</w:t>
            </w:r>
          </w:p>
          <w:p>
            <w:pPr>
              <w:spacing w:after="40" w:before="40"/>
            </w:pPr>
            <w:r>
              <w:rPr>
                <w:color w:val="333333"/>
                <w:sz w:val="20"/>
                <w:szCs w:val="20"/>
              </w:rPr>
              <w:t xml:space="preserve">[Description of the vulnerability. Include the CVE reference, what the vulnerability allows an attacker to do, and any conditions required to exploit it.]</w:t>
            </w:r>
          </w:p>
          <w:p>
            <w:pPr>
              <w:spacing w:after="120" w:before="40"/>
            </w:pPr>
            <w:r>
              <w:rPr>
                <w:b/>
                <w:bCs/>
                <w:color w:val="002352"/>
                <w:sz w:val="20"/>
                <w:szCs w:val="20"/>
              </w:rPr>
              <w:t xml:space="preserve">Recommendation  </w:t>
            </w:r>
            <w:r>
              <w:rPr>
                <w:color w:val="333333"/>
                <w:sz w:val="20"/>
                <w:szCs w:val="20"/>
              </w:rPr>
              <w:t xml:space="preserve">[E.g. “Update express to 4.19.0 or later. This is a drop-in patch with no breaking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9900" w:sz="24"/>
              <w:bottom w:val="single" w:color="D8D8D8" w:sz="4"/>
              <w:right w:val="none" w:color="FFFFFF" w:sz="0"/>
            </w:tcBorders>
            <w:tcMar>
              <w:top w:type="dxa" w:w="80"/>
              <w:left w:type="dxa" w:w="200"/>
              <w:bottom w:type="dxa" w:w="80"/>
              <w:right w:type="dxa" w:w="120"/>
            </w:tcMar>
          </w:tcPr>
          <w:p>
            <w:pPr>
              <w:spacing w:after="40" w:before="200"/>
            </w:pPr>
            <w:r>
              <w:rPr>
                <w:b/>
                <w:bCs/>
                <w:color w:val="CC9900"/>
                <w:sz w:val="18"/>
                <w:szCs w:val="18"/>
              </w:rPr>
              <w:t xml:space="preserve">MEDIUM</w:t>
            </w:r>
            <w:r>
              <w:rPr>
                <w:sz w:val="18"/>
                <w:szCs w:val="18"/>
              </w:rPr>
              <w:t xml:space="preserve">   </w:t>
            </w:r>
            <w:r>
              <w:rPr>
                <w:b/>
                <w:bCs/>
                <w:color w:val="1A1A1A"/>
                <w:sz w:val="22"/>
                <w:szCs w:val="22"/>
              </w:rPr>
              <w:t xml:space="preserve">[Finding title — e.g. Missing Content Security Policy header]</w:t>
            </w:r>
          </w:p>
          <w:p>
            <w:pPr>
              <w:spacing w:after="40" w:before="40"/>
            </w:pPr>
            <w:r>
              <w:rPr>
                <w:color w:val="333333"/>
                <w:sz w:val="20"/>
                <w:szCs w:val="20"/>
              </w:rPr>
              <w:t xml:space="preserve">[Description. E.g. “No Content-Security-Policy header is set on any response. Without CSP, the application provides no browser-level defence against cross-site scripting attacks. This is particularly relevant given the inline scripts present in the page source.”]</w:t>
            </w:r>
          </w:p>
          <w:p>
            <w:pPr>
              <w:spacing w:after="120" w:before="40"/>
            </w:pPr>
            <w:r>
              <w:rPr>
                <w:b/>
                <w:bCs/>
                <w:color w:val="002352"/>
                <w:sz w:val="20"/>
                <w:szCs w:val="20"/>
              </w:rPr>
              <w:t xml:space="preserve">Recommendation  </w:t>
            </w:r>
            <w:r>
              <w:rPr>
                <w:color w:val="333333"/>
                <w:sz w:val="20"/>
                <w:szCs w:val="20"/>
              </w:rPr>
              <w:t xml:space="preserve">[E.g. “Define and deploy a CSP header. Start with a report-only policy to identify violations before enforcing. A minimal starting policy is provided in the working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24"/>
              <w:bottom w:val="single" w:color="D8D8D8" w:sz="4"/>
              <w:right w:val="none" w:color="FFFFFF" w:sz="0"/>
            </w:tcBorders>
            <w:tcMar>
              <w:top w:type="dxa" w:w="80"/>
              <w:left w:type="dxa" w:w="200"/>
              <w:bottom w:type="dxa" w:w="80"/>
              <w:right w:type="dxa" w:w="120"/>
            </w:tcMar>
          </w:tcPr>
          <w:p>
            <w:pPr>
              <w:spacing w:after="40" w:before="200"/>
            </w:pPr>
            <w:r>
              <w:rPr>
                <w:b/>
                <w:bCs/>
                <w:color w:val="4472C4"/>
                <w:sz w:val="18"/>
                <w:szCs w:val="18"/>
              </w:rPr>
              <w:t xml:space="preserve">LOW</w:t>
            </w:r>
            <w:r>
              <w:rPr>
                <w:sz w:val="18"/>
                <w:szCs w:val="18"/>
              </w:rPr>
              <w:t xml:space="preserve">   </w:t>
            </w:r>
            <w:r>
              <w:rPr>
                <w:b/>
                <w:bCs/>
                <w:color w:val="1A1A1A"/>
                <w:sz w:val="22"/>
                <w:szCs w:val="22"/>
              </w:rPr>
              <w:t xml:space="preserve">[Finding title — e.g. lodash 4.17.19 — minor version drift]</w:t>
            </w:r>
          </w:p>
          <w:p>
            <w:pPr>
              <w:spacing w:after="40" w:before="40"/>
            </w:pPr>
            <w:r>
              <w:rPr>
                <w:color w:val="333333"/>
                <w:sz w:val="20"/>
                <w:szCs w:val="20"/>
              </w:rPr>
              <w:t xml:space="preserve">[Description. E.g. “lodash is three minor versions behind the current stable release. No security advisories are associated with the current version, but staying current reduces the surface area for future vulnerability exposure.”]</w:t>
            </w:r>
          </w:p>
          <w:p>
            <w:pPr>
              <w:spacing w:after="120" w:before="40"/>
            </w:pPr>
            <w:r>
              <w:rPr>
                <w:b/>
                <w:bCs/>
                <w:color w:val="002352"/>
                <w:sz w:val="20"/>
                <w:szCs w:val="20"/>
              </w:rPr>
              <w:t xml:space="preserve">Recommendation  </w:t>
            </w:r>
            <w:r>
              <w:rPr>
                <w:color w:val="333333"/>
                <w:sz w:val="20"/>
                <w:szCs w:val="20"/>
              </w:rPr>
              <w:t xml:space="preserve">[E.g. “Update to the latest minor version at the next convenient opportunity. No breaking changes expected.”]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7F7F" w:sz="24"/>
              <w:bottom w:val="single" w:color="D8D8D8" w:sz="4"/>
              <w:right w:val="none" w:color="FFFFFF" w:sz="0"/>
            </w:tcBorders>
            <w:tcMar>
              <w:top w:type="dxa" w:w="80"/>
              <w:left w:type="dxa" w:w="200"/>
              <w:bottom w:type="dxa" w:w="80"/>
              <w:right w:type="dxa" w:w="120"/>
            </w:tcMar>
          </w:tcPr>
          <w:p>
            <w:pPr>
              <w:spacing w:after="40" w:before="200"/>
            </w:pPr>
            <w:r>
              <w:rPr>
                <w:b/>
                <w:bCs/>
                <w:color w:val="7F7F7F"/>
                <w:sz w:val="18"/>
                <w:szCs w:val="18"/>
              </w:rPr>
              <w:t xml:space="preserve">INFORMATIONAL</w:t>
            </w:r>
            <w:r>
              <w:rPr>
                <w:sz w:val="18"/>
                <w:szCs w:val="18"/>
              </w:rPr>
              <w:t xml:space="preserve">   </w:t>
            </w:r>
            <w:r>
              <w:rPr>
                <w:b/>
                <w:bCs/>
                <w:color w:val="1A1A1A"/>
                <w:sz w:val="22"/>
                <w:szCs w:val="22"/>
              </w:rPr>
              <w:t xml:space="preserve">[Finding title — e.g. No error monitoring configured]</w:t>
            </w:r>
          </w:p>
          <w:p>
            <w:pPr>
              <w:spacing w:after="40" w:before="40"/>
            </w:pPr>
            <w:r>
              <w:rPr>
                <w:color w:val="333333"/>
                <w:sz w:val="20"/>
                <w:szCs w:val="20"/>
              </w:rPr>
              <w:t xml:space="preserve">[Description. E.g. “No error monitoring service (Sentry, Rollbar, or similar) appears to be configured. This means production errors are only discoverable if they cause visible user impact or appear in server logs — assuming logs are being collected.”]</w:t>
            </w:r>
          </w:p>
          <w:p>
            <w:pPr>
              <w:spacing w:after="120" w:before="40"/>
            </w:pPr>
            <w:r>
              <w:rPr>
                <w:b/>
                <w:bCs/>
                <w:color w:val="002352"/>
                <w:sz w:val="20"/>
                <w:szCs w:val="20"/>
              </w:rPr>
              <w:t xml:space="preserve">Recommendation  </w:t>
            </w:r>
            <w:r>
              <w:rPr>
                <w:color w:val="333333"/>
                <w:sz w:val="20"/>
                <w:szCs w:val="20"/>
              </w:rPr>
              <w:t xml:space="preserve">[E.g. “Configuring Sentry on the free tier takes under an hour and provides immediate visibility into production errors. Recommended as a low-effort improvement.”]</w:t>
            </w:r>
          </w:p>
        </w:tc>
      </w:tr>
    </w:tbl>
    <w:p>
      <w:pPr>
        <w:pageBreakBefore/>
      </w:pPr>
      <w:r>
        <w:t xml:space="preserve"/>
      </w:r>
    </w:p>
    <w:p>
      <w:pPr>
        <w:pStyle w:val="Heading1"/>
      </w:pPr>
      <w:r>
        <w:t xml:space="preserve">Dependency and runtime health</w:t>
      </w:r>
    </w:p>
    <w:p>
      <w:pPr>
        <w:pStyle w:val="Heading2"/>
      </w:pPr>
      <w:r>
        <w:t xml:space="preserve">Runtime and framework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Component</w:t>
            </w:r>
          </w:p>
        </w:tc>
        <w:tc>
          <w:tcPr>
            <w:tcW w:type="dxa" w:w="20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Version in use</w:t>
            </w:r>
          </w:p>
        </w:tc>
        <w:tc>
          <w:tcPr>
            <w:tcW w:type="dxa" w:w="20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Current stable</w:t>
            </w:r>
          </w:p>
        </w:tc>
        <w:tc>
          <w:tcPr>
            <w:tcW w:type="dxa" w:w="20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Status</w:t>
            </w:r>
          </w:p>
        </w:tc>
      </w:tr>
      <w:tr>
        <w:tc>
          <w:tcPr>
            <w:tcW w:type="dxa" w:w="33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[Node.js / Python / PHP / Ruby etc.]</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[18.x]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[22.x]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Supported — update recommended</w:t>
            </w:r>
          </w:p>
        </w:tc>
      </w:tr>
      <w:tr>
        <w:tc>
          <w:tcPr>
            <w:tcW w:type="dxa" w:w="33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[Framework name]</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[4.x]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[5.x]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One major version behind</w:t>
            </w:r>
          </w:p>
        </w:tc>
      </w:tr>
      <w:tr>
        <w:tc>
          <w:tcPr>
            <w:tcW w:type="dxa" w:w="33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[Runtime component]</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[x.x]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[x.x]</w:t>
            </w:r>
          </w:p>
        </w:tc>
        <w:tc>
          <w:tcPr>
            <w:tcW w:type="dxa" w:w="20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End of life — upgrade urgently</w:t>
            </w:r>
          </w:p>
        </w:tc>
      </w:tr>
    </w:tbl>
    <w:p>
      <w:pPr>
        <w:spacing w:after="200" w:before="0"/>
      </w:pPr>
      <w:r>
        <w:t xml:space="preserve"/>
      </w:r>
    </w:p>
    <w:p>
      <w:pPr>
        <w:pStyle w:val="Heading2"/>
      </w:pPr>
      <w:r>
        <w:t xml:space="preserve">Dependency vulnerability summary</w:t>
      </w:r>
    </w:p>
    <w:p>
      <w:pPr>
        <w:pStyle w:val="Clause"/>
      </w:pPr>
      <w:r>
        <w:t xml:space="preserve">[X] critical · [X] high · [X] medium · [X] low</w:t>
      </w:r>
    </w:p>
    <w:p>
      <w:pPr>
        <w:pStyle w:val="Heading3"/>
      </w:pPr>
      <w:r>
        <w:t xml:space="preserve">Notable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1500"/>
        <w:gridCol w:w="1960"/>
      </w:tblGrid>
      <w:tr>
        <w:tc>
          <w:tcPr>
            <w:tcW w:type="dxa" w:w="28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Package</w:t>
            </w:r>
          </w:p>
        </w:tc>
        <w:tc>
          <w:tcPr>
            <w:tcW w:type="dxa" w:w="1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Current</w:t>
            </w:r>
          </w:p>
        </w:tc>
        <w:tc>
          <w:tcPr>
            <w:tcW w:type="dxa" w:w="17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Latest</w:t>
            </w:r>
          </w:p>
        </w:tc>
        <w:tc>
          <w:tcPr>
            <w:tcW w:type="dxa" w:w="15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Severity</w:t>
            </w:r>
          </w:p>
        </w:tc>
        <w:tc>
          <w:tcPr>
            <w:tcW w:type="dxa" w:w="196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Recommended action</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[package-name]</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[1.2.3]</w:t>
            </w:r>
          </w:p>
        </w:tc>
        <w:tc>
          <w:tcPr>
            <w:tcW w:type="dxa" w:w="17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[1.2.4]</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E07A00"/>
                <w:sz w:val="20"/>
                <w:szCs w:val="20"/>
              </w:rPr>
              <w:t xml:space="preserve">High</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Update immediately — patches CVE-XXXX-XXXX</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[package-name]</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[4.0.1]</w:t>
            </w:r>
          </w:p>
        </w:tc>
        <w:tc>
          <w:tcPr>
            <w:tcW w:type="dxa" w:w="17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[5.0.0]</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CC9900"/>
                <w:sz w:val="20"/>
                <w:szCs w:val="20"/>
              </w:rPr>
              <w:t xml:space="preserve">Medium</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Breaking change — plan migration this month</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[package-name]</w:t>
            </w:r>
          </w:p>
        </w:tc>
        <w:tc>
          <w:tcPr>
            <w:tcW w:type="dxa" w:w="1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[2.1.0]</w:t>
            </w:r>
          </w:p>
        </w:tc>
        <w:tc>
          <w:tcPr>
            <w:tcW w:type="dxa" w:w="17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[2.3.1]</w:t>
            </w:r>
          </w:p>
        </w:tc>
        <w:tc>
          <w:tcPr>
            <w:tcW w:type="dxa" w:w="15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4472C4"/>
                <w:sz w:val="20"/>
                <w:szCs w:val="20"/>
              </w:rPr>
              <w:t xml:space="preserve">Low</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Minor drift — update at next opportunity</w:t>
            </w:r>
          </w:p>
        </w:tc>
      </w:tr>
    </w:tbl>
    <w:p>
      <w:pPr>
        <w:pStyle w:val="Caption"/>
      </w:pPr>
      <w:r>
        <w:t xml:space="preserve">Only include packages in this table that have a finding above, or that are significantly out of date. Routine minor version drift does not need a row here.</w:t>
      </w:r>
    </w:p>
    <w:p>
      <w:pPr>
        <w:pStyle w:val="Heading2"/>
      </w:pPr>
      <w:r>
        <w:t xml:space="preserve">Tooling used</w:t>
      </w:r>
    </w:p>
    <w:p>
      <w:pPr>
        <w:pStyle w:val="Clause"/>
      </w:pPr>
      <w:r>
        <w:t xml:space="preserve">[List the tools run during this audit. E.g. npm audit, Snyk, Lighthouse CLI, curl for headers, SSLLabs for TLS grade, gitleaks for secret scanning, endoflife.date for runtime EOL status.]</w:t>
      </w:r>
    </w:p>
    <w:p>
      <w:pPr>
        <w:pageBreakBefore/>
      </w:pPr>
      <w:r>
        <w:t xml:space="preserve"/>
      </w:r>
    </w:p>
    <w:p>
      <w:pPr>
        <w:pStyle w:val="Heading1"/>
      </w:pPr>
      <w:r>
        <w:t xml:space="preserve">Recommendations</w:t>
      </w:r>
    </w:p>
    <w:p>
      <w:pPr>
        <w:pStyle w:val="Clause"/>
      </w:pPr>
      <w:r>
        <w:t xml:space="preserve">The following is a prioritised action list based on the findings in this report. Items are ordered by urgency, not effort. Some will take minutes, some will take a sprint.</w:t>
      </w:r>
    </w:p>
    <w:p>
      <w:pPr>
        <w:pStyle w:val="Heading2"/>
      </w:pPr>
      <w:r>
        <w:t xml:space="preserve">Fix immediately</w:t>
      </w:r>
    </w:p>
    <w:p>
      <w:pPr>
        <w:pStyle w:val="Clause"/>
        <w:numPr>
          <w:ilvl w:val="0"/>
          <w:numId w:val="3"/>
        </w:numPr>
      </w:pPr>
      <w:r>
        <w:t xml:space="preserve">[Action 1] — [One sentence on what to do and why it cannot wait. Reference the finding from page 2.]</w:t>
      </w:r>
    </w:p>
    <w:p>
      <w:pPr>
        <w:pStyle w:val="Clause"/>
        <w:numPr>
          <w:ilvl w:val="0"/>
          <w:numId w:val="3"/>
        </w:numPr>
      </w:pPr>
      <w:r>
        <w:t xml:space="preserve">[Action 2] — [Same format. Delete if there is only one immediate action.]</w:t>
      </w:r>
    </w:p>
    <w:p>
      <w:pPr>
        <w:pStyle w:val="Caption"/>
      </w:pPr>
      <w:r>
        <w:t xml:space="preserve">Delete this section if there are no Critical or High findings requiring immediate action.</w:t>
      </w:r>
    </w:p>
    <w:p>
      <w:pPr>
        <w:pStyle w:val="Heading2"/>
      </w:pPr>
      <w:r>
        <w:t xml:space="preserve">Fix within the week</w:t>
      </w:r>
    </w:p>
    <w:p>
      <w:pPr>
        <w:pStyle w:val="Clause"/>
        <w:numPr>
          <w:ilvl w:val="0"/>
          <w:numId w:val="3"/>
        </w:numPr>
      </w:pPr>
      <w:r>
        <w:t xml:space="preserve">[Action] — [High findings with an available patch. Specific and clear. Reference CVE or finding name.]</w:t>
      </w:r>
    </w:p>
    <w:p>
      <w:pPr>
        <w:pStyle w:val="Clause"/>
        <w:numPr>
          <w:ilvl w:val="0"/>
          <w:numId w:val="3"/>
        </w:numPr>
      </w:pPr>
      <w:r>
        <w:t xml:space="preserve">[Action] — [Add rows as needed.]</w:t>
      </w:r>
    </w:p>
    <w:p>
      <w:pPr>
        <w:pStyle w:val="Heading2"/>
      </w:pPr>
      <w:r>
        <w:t xml:space="preserve">Fix within the month</w:t>
      </w:r>
    </w:p>
    <w:p>
      <w:pPr>
        <w:pStyle w:val="Clause"/>
        <w:numPr>
          <w:ilvl w:val="0"/>
          <w:numId w:val="3"/>
        </w:numPr>
      </w:pPr>
      <w:r>
        <w:t xml:space="preserve">[Action] — [Medium findings, EOL runtime or framework versions, significant dependency drift.]</w:t>
      </w:r>
    </w:p>
    <w:p>
      <w:pPr>
        <w:pStyle w:val="Clause"/>
        <w:numPr>
          <w:ilvl w:val="0"/>
          <w:numId w:val="3"/>
        </w:numPr>
      </w:pPr>
      <w:r>
        <w:t xml:space="preserve">[Action] — [Add rows as needed.]</w:t>
      </w:r>
    </w:p>
    <w:p>
      <w:pPr>
        <w:pStyle w:val="Heading2"/>
      </w:pPr>
      <w:r>
        <w:t xml:space="preserve">Planned work</w:t>
      </w:r>
    </w:p>
    <w:p>
      <w:pPr>
        <w:pStyle w:val="Clause"/>
        <w:numPr>
          <w:ilvl w:val="0"/>
          <w:numId w:val="2"/>
        </w:numPr>
      </w:pPr>
      <w:r>
        <w:t xml:space="preserve">[Low severity findings, missing tooling, performance improvements, informational observations. These are worth doing but not urgent. Suitable for a retainer on this covered core system or a backlog sprint.]</w:t>
      </w:r>
    </w:p>
    <w:p>
      <w:pPr>
        <w:pStyle w:val="Clause"/>
        <w:numPr>
          <w:ilvl w:val="0"/>
          <w:numId w:val="2"/>
        </w:numPr>
      </w:pPr>
      <w:r>
        <w:t xml:space="preserve">[Add items as needed.]</w:t>
      </w:r>
    </w:p>
    <w:p>
      <w:pPr>
        <w:pStyle w:val="Heading1"/>
      </w:pPr>
      <w:r>
        <w:t xml:space="preserve">Closing note</w:t>
      </w:r>
    </w:p>
    <w:p>
      <w:pPr>
        <w:pStyle w:val="Clause"/>
      </w:pPr>
      <w:r>
        <w:t xml:space="preserve">[Write a short closing paragraph in plain English. Acknowledge that the client now has a clear picture of where things stand. If the system has ongoing maintenance needs that a retainer would address, say so plainly — do not oversell.]</w:t>
      </w:r>
    </w:p>
    <w:p>
      <w:pPr>
        <w:pStyle w:val="Clause"/>
      </w:pPr>
      <w:r>
        <w:t xml:space="preserve">[Example: “The findings above are fixable. The larger question is whether this kind of drift happens again in six months. If ongoing monitoring on this covered core system would be useful, our retainer is £1,500 per month per covered core system, covering dependency updates, security patches, uptime monitoring, and an 8-business-hour response SLA on critical incidents.”]</w:t>
      </w:r>
    </w:p>
    <w:p>
      <w:pPr>
        <w:pStyle w:val="Clause"/>
      </w:pPr>
      <w:r>
        <w:t xml:space="preserve">[If a retainer makes no sense for this system, say that too. Credibility matters more than the upsell.]</w:t>
      </w:r>
    </w:p>
    <w:p>
      <w:pPr>
        <w:spacing w:after="200" w:before="0"/>
      </w:pPr>
      <w:r>
        <w:t xml:space="preserve"/>
      </w:r>
    </w:p>
    <w:p>
      <w:pPr>
        <w:spacing w:before="200"/>
        <w:jc w:val="center"/>
      </w:pPr>
      <w:r>
        <w:rPr>
          <w:color w:val="666666"/>
          <w:sz w:val="20"/>
          <w:szCs w:val="20"/>
        </w:rPr>
        <w:t xml:space="preserve">Questions about this report? </w:t>
      </w:r>
      <w:r>
        <w:rPr>
          <w:b/>
          <w:bCs/>
          <w:color w:val="002352"/>
          <w:sz w:val="20"/>
          <w:szCs w:val="20"/>
        </w:rPr>
        <w:t xml:space="preserve">hello@tensileinfrastructure.co.uk</w:t>
      </w:r>
    </w:p>
    <w:p>
      <w:pPr>
        <w:pStyle w:val="Caption"/>
      </w:pPr>
      <w:r>
        <w:t xml:space="preserve">This report reflects the state of the system on the date of delivery. Dependency and vulnerability landscapes change daily. Tensile Infrastructure Ltd accepts no liability for findings or omissions beyond those set out in its standard terms of business.</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System Health Audit · Confidential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Health Audit Report</dc:title>
  <dc:creator>Tensile Infrastructure Ltd</dc:creator>
  <dc:description>Audit report template</dc:description>
  <cp:lastModifiedBy>Un-named</cp:lastModifiedBy>
  <cp:revision>1</cp:revision>
  <dcterms:created xsi:type="dcterms:W3CDTF">2026-04-10T06:23:53.570Z</dcterms:created>
  <dcterms:modified xsi:type="dcterms:W3CDTF">2026-04-10T06:23:53.570Z</dcterms:modified>
</cp:coreProperties>
</file>

<file path=docProps/custom.xml><?xml version="1.0" encoding="utf-8"?>
<Properties xmlns="http://schemas.openxmlformats.org/officeDocument/2006/custom-properties" xmlns:vt="http://schemas.openxmlformats.org/officeDocument/2006/docPropsVTypes"/>
</file>