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Client Onboarding Checklist</w:t>
      </w:r>
    </w:p>
    <w:p>
      <w:pPr>
        <w:pStyle w:val="Subtitle"/>
      </w:pPr>
      <w:r>
        <w:t xml:space="preserve">Complete every item before issuing the first monthly update</w:t>
      </w:r>
    </w:p>
    <w:p>
      <w:pPr>
        <w:pStyle w:val="Clause"/>
      </w:pPr>
      <w:r>
        <w:t xml:space="preserve">Nothing ships until this checklist is complete. Use one copy of this document per new client, save it in that client’s Drive folder, and keep it as the record of onboarding.</w:t>
      </w:r>
    </w:p>
    <w:p>
      <w:pPr>
        <w:pStyle w:val="Heading1"/>
      </w:pPr>
      <w:r>
        <w:t xml:space="preserve">Client details</w:t>
      </w:r>
    </w:p>
    <w:p>
      <w:pPr>
        <w:pStyle w:val="Clause"/>
      </w:pPr>
      <w:r>
        <w:t xml:space="preserve">Record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Client / organisation name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Primary contact name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Primary contact email</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Primary contact phone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Who receives the monthly update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Covered core system name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Production URL(s)</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Repository URL</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Hosting provider</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Retainer start date</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Invoice contact / billing email</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Client PO number (if required)</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Client VAT number (if VAT registered)</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spacing w:after="200" w:before="0"/>
      </w:pPr>
      <w:r>
        <w:t xml:space="preserve"/>
      </w:r>
    </w:p>
    <w:p>
      <w:pPr>
        <w:spacing w:after="60" w:before="300"/>
      </w:pPr>
      <w:r>
        <w:rPr>
          <w:b/>
          <w:bCs/>
          <w:color w:val="666666"/>
          <w:sz w:val="18"/>
          <w:szCs w:val="18"/>
        </w:rPr>
        <w:t xml:space="preserve">SECTION 1</w:t>
      </w:r>
    </w:p>
    <w:p>
      <w:pPr>
        <w:pStyle w:val="Heading2"/>
      </w:pPr>
      <w:r>
        <w:t xml:space="preserve">Commercial</w:t>
      </w:r>
    </w:p>
    <w:p>
      <w:pPr>
        <w:pStyle w:val="Clause"/>
        <w:numPr>
          <w:ilvl w:val="0"/>
          <w:numId w:val="2"/>
        </w:numPr>
      </w:pPr>
      <w:r>
        <w:t xml:space="preserve">Retainer agreement signed by both parties, filed in Drive, and checked against the named covered core system in Schedule A.</w:t>
      </w:r>
    </w:p>
    <w:p>
      <w:pPr>
        <w:pStyle w:val="Clause"/>
        <w:numPr>
          <w:ilvl w:val="0"/>
          <w:numId w:val="2"/>
        </w:numPr>
      </w:pPr>
      <w:r>
        <w:t xml:space="preserve">IR35 status confirmed in writing: Provider is outside IR35, operating as a genuine business providing services to multiple clients. Confirmation filed with the signed retainer.</w:t>
      </w:r>
    </w:p>
    <w:p>
      <w:pPr>
        <w:pStyle w:val="Clause"/>
        <w:numPr>
          <w:ilvl w:val="0"/>
          <w:numId w:val="2"/>
        </w:numPr>
      </w:pPr>
      <w:r>
        <w:t xml:space="preserve">Payment method confirmed — first month invoiced and payment received, or due date confirmed with the client.</w:t>
      </w:r>
    </w:p>
    <w:p>
      <w:pPr>
        <w:pStyle w:val="Clause"/>
        <w:numPr>
          <w:ilvl w:val="0"/>
          <w:numId w:val="2"/>
        </w:numPr>
      </w:pPr>
      <w:r>
        <w:t xml:space="preserve">Client added to Xero as a contact with correct billing details, VAT number (if applicable), and PO number (if required).</w:t>
      </w:r>
    </w:p>
    <w:p>
      <w:pPr>
        <w:pStyle w:val="Clause"/>
        <w:numPr>
          <w:ilvl w:val="0"/>
          <w:numId w:val="2"/>
        </w:numPr>
      </w:pPr>
      <w:r>
        <w:t xml:space="preserve">Recurring invoice scheduled in Xero for the 1st of each month, with the covered core system named exactly as it appears in Schedule A, and with the invoice line item matching the monitoring and monthly reporting scope.</w:t>
      </w:r>
    </w:p>
    <w:p>
      <w:pPr>
        <w:pStyle w:val="Clause"/>
        <w:numPr>
          <w:ilvl w:val="0"/>
          <w:numId w:val="2"/>
        </w:numPr>
      </w:pPr>
      <w:r>
        <w:t xml:space="preserve">Late Payment Act terms understood: if payment is not received within 14 days, interest at 8% plus Bank of England base rate is chargeable under the Late Payment of Commercial Debts (Interest) Act 1998.</w:t>
      </w:r>
    </w:p>
    <w:p>
      <w:pPr>
        <w:spacing w:after="60" w:before="300"/>
      </w:pPr>
      <w:r>
        <w:rPr>
          <w:b/>
          <w:bCs/>
          <w:color w:val="666666"/>
          <w:sz w:val="18"/>
          <w:szCs w:val="18"/>
        </w:rPr>
        <w:t xml:space="preserve">SECTION 2</w:t>
      </w:r>
    </w:p>
    <w:p>
      <w:pPr>
        <w:pStyle w:val="Heading2"/>
      </w:pPr>
      <w:r>
        <w:t xml:space="preserve">Access and repositories</w:t>
      </w:r>
    </w:p>
    <w:p>
      <w:pPr>
        <w:pStyle w:val="Clause"/>
        <w:numPr>
          <w:ilvl w:val="0"/>
          <w:numId w:val="2"/>
        </w:numPr>
      </w:pPr>
      <w:r>
        <w:t xml:space="preserve">Repository access granted — collaborator invite accepted and repository is cloneable on first attempt.</w:t>
      </w:r>
    </w:p>
    <w:p>
      <w:pPr>
        <w:pStyle w:val="Clause"/>
        <w:pBdr>
          <w:left w:val="single" w:color="002352" w:sz="12" w:space="8"/>
        </w:pBdr>
        <w:spacing w:after="120" w:before="40"/>
        <w:ind w:left="360"/>
      </w:pPr>
      <w:r>
        <w:rPr>
          <w:i/>
          <w:iCs/>
          <w:color w:val="666666"/>
          <w:sz w:val="20"/>
          <w:szCs w:val="20"/>
        </w:rPr>
        <w:t xml:space="preserve">GitHub: Settings → Collaborators → invite jack@tensileinfrastructure.co.uk with Write access. For GitLab/Bitbucket, equivalent Developer/Write role.</w:t>
      </w:r>
    </w:p>
    <w:p>
      <w:pPr>
        <w:pStyle w:val="Clause"/>
        <w:numPr>
          <w:ilvl w:val="0"/>
          <w:numId w:val="2"/>
        </w:numPr>
      </w:pPr>
      <w:r>
        <w:t xml:space="preserve">Branching strategy understood — confirmed how PRs are reviewed and merged on the client side.</w:t>
      </w:r>
    </w:p>
    <w:p>
      <w:pPr>
        <w:pStyle w:val="Clause"/>
        <w:pBdr>
          <w:left w:val="single" w:color="002352" w:sz="12" w:space="8"/>
        </w:pBdr>
        <w:spacing w:after="120" w:before="40"/>
        <w:ind w:left="360"/>
      </w:pPr>
      <w:r>
        <w:rPr>
          <w:i/>
          <w:iCs/>
          <w:color w:val="666666"/>
          <w:sz w:val="20"/>
          <w:szCs w:val="20"/>
        </w:rPr>
        <w:t xml:space="preserve">Ask: who approves and merges dependency update PRs? Is there a preferred branch naming convention? Are there protected branches or required status checks?</w:t>
      </w:r>
    </w:p>
    <w:p>
      <w:pPr>
        <w:pStyle w:val="Clause"/>
        <w:numPr>
          <w:ilvl w:val="0"/>
          <w:numId w:val="2"/>
        </w:numPr>
      </w:pPr>
      <w:r>
        <w:t xml:space="preserve">CI/CD pipeline reviewed — understand what runs on merge (tests, deploys, checks) and where deploy logs live.</w:t>
      </w:r>
    </w:p>
    <w:p>
      <w:pPr>
        <w:pStyle w:val="Clause"/>
        <w:numPr>
          <w:ilvl w:val="0"/>
          <w:numId w:val="2"/>
        </w:numPr>
      </w:pPr>
      <w:r>
        <w:t xml:space="preserve">Hosting access noted — if direct access to hosting or infrastructure is required, credentials stored in 1Password and not anywhere else.</w:t>
      </w:r>
    </w:p>
    <w:p>
      <w:pPr>
        <w:pStyle w:val="Clause"/>
        <w:numPr>
          <w:ilvl w:val="0"/>
          <w:numId w:val="2"/>
        </w:numPr>
      </w:pPr>
      <w:r>
        <w:t xml:space="preserve">Written confirmation from client that access is limited to the Provider and that no credentials leave 1Password, in line with clause 11 of the retainer agreement.</w:t>
      </w:r>
    </w:p>
    <w:p>
      <w:pPr>
        <w:spacing w:after="60" w:before="300"/>
      </w:pPr>
      <w:r>
        <w:rPr>
          <w:b/>
          <w:bCs/>
          <w:color w:val="666666"/>
          <w:sz w:val="18"/>
          <w:szCs w:val="18"/>
        </w:rPr>
        <w:t xml:space="preserve">SECTION 3</w:t>
      </w:r>
    </w:p>
    <w:p>
      <w:pPr>
        <w:pStyle w:val="Heading2"/>
      </w:pPr>
      <w:r>
        <w:t xml:space="preserve">1Password — Credential management</w:t>
      </w:r>
    </w:p>
    <w:p>
      <w:pPr>
        <w:pStyle w:val="Clause"/>
        <w:numPr>
          <w:ilvl w:val="0"/>
          <w:numId w:val="2"/>
        </w:numPr>
      </w:pPr>
      <w:r>
        <w:t xml:space="preserve">Client vault created in 1Password, named exactly after the client organisation.</w:t>
      </w:r>
    </w:p>
    <w:p>
      <w:pPr>
        <w:pStyle w:val="Clause"/>
        <w:numPr>
          <w:ilvl w:val="0"/>
          <w:numId w:val="2"/>
        </w:numPr>
      </w:pPr>
      <w:r>
        <w:t xml:space="preserve">Repository credentials added if SSH key or personal access token is required.</w:t>
      </w:r>
    </w:p>
    <w:p>
      <w:pPr>
        <w:pStyle w:val="Clause"/>
        <w:numPr>
          <w:ilvl w:val="0"/>
          <w:numId w:val="2"/>
        </w:numPr>
      </w:pPr>
      <w:r>
        <w:t xml:space="preserve">Hosting credentials added (if applicable).</w:t>
      </w:r>
    </w:p>
    <w:p>
      <w:pPr>
        <w:pStyle w:val="Clause"/>
        <w:numPr>
          <w:ilvl w:val="0"/>
          <w:numId w:val="2"/>
        </w:numPr>
      </w:pPr>
      <w:r>
        <w:t xml:space="preserve">Any other shared credentials added (staging logins, admin panels, API keys provided by the client, DNS access if needed).</w:t>
      </w:r>
    </w:p>
    <w:p>
      <w:pPr>
        <w:pStyle w:val="Clause"/>
        <w:numPr>
          <w:ilvl w:val="0"/>
          <w:numId w:val="2"/>
        </w:numPr>
      </w:pPr>
      <w:r>
        <w:t xml:space="preserve">Multi-factor authentication confirmed as enabled on every credential that supports it.</w:t>
      </w:r>
    </w:p>
    <w:p>
      <w:pPr>
        <w:pStyle w:val="Clause"/>
        <w:numPr>
          <w:ilvl w:val="0"/>
          <w:numId w:val="2"/>
        </w:numPr>
      </w:pPr>
      <w:r>
        <w:t xml:space="preserve">Vault access review — only authorised Tensile personnel have access to this vault.</w:t>
      </w:r>
    </w:p>
    <w:p>
      <w:pPr>
        <w:spacing w:after="60" w:before="300"/>
      </w:pPr>
      <w:r>
        <w:rPr>
          <w:b/>
          <w:bCs/>
          <w:color w:val="666666"/>
          <w:sz w:val="18"/>
          <w:szCs w:val="18"/>
        </w:rPr>
        <w:t xml:space="preserve">SECTION 4</w:t>
      </w:r>
    </w:p>
    <w:p>
      <w:pPr>
        <w:pStyle w:val="Heading2"/>
      </w:pPr>
      <w:r>
        <w:t xml:space="preserve">BetterStack — Uptime monitoring</w:t>
      </w:r>
    </w:p>
    <w:p>
      <w:pPr>
        <w:pStyle w:val="Clause"/>
        <w:numPr>
          <w:ilvl w:val="0"/>
          <w:numId w:val="2"/>
        </w:numPr>
      </w:pPr>
      <w:r>
        <w:t xml:space="preserve">Monitor created for the primary production URL.</w:t>
      </w:r>
    </w:p>
    <w:p>
      <w:pPr>
        <w:pStyle w:val="Clause"/>
        <w:pBdr>
          <w:left w:val="single" w:color="002352" w:sz="12" w:space="8"/>
        </w:pBdr>
        <w:spacing w:after="120" w:before="40"/>
        <w:ind w:left="360"/>
      </w:pPr>
      <w:r>
        <w:rPr>
          <w:i/>
          <w:iCs/>
          <w:color w:val="666666"/>
          <w:sz w:val="20"/>
          <w:szCs w:val="20"/>
        </w:rPr>
        <w:t xml:space="preserve">Check interval: 3 minutes. Alert after: 1 failed check. Method: HTTP(S). Expected status: 200–299.</w:t>
      </w:r>
    </w:p>
    <w:p>
      <w:pPr>
        <w:pStyle w:val="Clause"/>
        <w:numPr>
          <w:ilvl w:val="0"/>
          <w:numId w:val="2"/>
        </w:numPr>
      </w:pPr>
      <w:r>
        <w:t xml:space="preserve">Additional monitors created for any other critical endpoints (API health checks, subdomains, checkout flows, authentication endpoints).</w:t>
      </w:r>
    </w:p>
    <w:p>
      <w:pPr>
        <w:pStyle w:val="Clause"/>
        <w:numPr>
          <w:ilvl w:val="0"/>
          <w:numId w:val="2"/>
        </w:numPr>
      </w:pPr>
      <w:r>
        <w:t xml:space="preserve">Alert destination confirmed — alerts route to jack@tensileinfrastructure.co.uk and to the on-call phone number.</w:t>
      </w:r>
    </w:p>
    <w:p>
      <w:pPr>
        <w:pStyle w:val="Clause"/>
        <w:numPr>
          <w:ilvl w:val="0"/>
          <w:numId w:val="2"/>
        </w:numPr>
      </w:pPr>
      <w:r>
        <w:t xml:space="preserve">Baseline uptime noted — monitoring is live and first successful checks logged before the start date.</w:t>
      </w:r>
    </w:p>
    <w:p>
      <w:pPr>
        <w:pStyle w:val="Clause"/>
        <w:numPr>
          <w:ilvl w:val="0"/>
          <w:numId w:val="2"/>
        </w:numPr>
      </w:pPr>
      <w:r>
        <w:t xml:space="preserve">Client informed that uptime monitoring is active from the start date and applies only to the covered core system and its directly supporting services.</w:t>
      </w:r>
    </w:p>
    <w:p>
      <w:pPr>
        <w:spacing w:after="60" w:before="300"/>
      </w:pPr>
      <w:r>
        <w:rPr>
          <w:b/>
          <w:bCs/>
          <w:color w:val="666666"/>
          <w:sz w:val="18"/>
          <w:szCs w:val="18"/>
        </w:rPr>
        <w:t xml:space="preserve">SECTION 5</w:t>
      </w:r>
    </w:p>
    <w:p>
      <w:pPr>
        <w:pStyle w:val="Heading2"/>
      </w:pPr>
      <w:r>
        <w:t xml:space="preserve">Renovate — Dependency management</w:t>
      </w:r>
    </w:p>
    <w:p>
      <w:pPr>
        <w:pStyle w:val="Clause"/>
        <w:numPr>
          <w:ilvl w:val="0"/>
          <w:numId w:val="2"/>
        </w:numPr>
      </w:pPr>
      <w:r>
        <w:t xml:space="preserve">Renovate app installed on the client repository.</w:t>
      </w:r>
    </w:p>
    <w:p>
      <w:pPr>
        <w:pStyle w:val="Clause"/>
        <w:pBdr>
          <w:left w:val="single" w:color="002352" w:sz="12" w:space="8"/>
        </w:pBdr>
        <w:spacing w:after="120" w:before="40"/>
        <w:ind w:left="360"/>
      </w:pPr>
      <w:r>
        <w:rPr>
          <w:i/>
          <w:iCs/>
          <w:color w:val="666666"/>
          <w:sz w:val="20"/>
          <w:szCs w:val="20"/>
        </w:rPr>
        <w:t xml:space="preserve">GitHub: github.com/apps/renovate — install and grant access to the specific repository only, never the whole organisation.</w:t>
      </w:r>
    </w:p>
    <w:p>
      <w:pPr>
        <w:pStyle w:val="Clause"/>
        <w:numPr>
          <w:ilvl w:val="0"/>
          <w:numId w:val="2"/>
        </w:numPr>
      </w:pPr>
      <w:r>
        <w:t xml:space="preserve">renovate.json config committed to the repository root.</w:t>
      </w:r>
    </w:p>
    <w:p>
      <w:pPr>
        <w:pStyle w:val="Clause"/>
        <w:pBdr>
          <w:left w:val="single" w:color="002352" w:sz="12" w:space="8"/>
        </w:pBdr>
        <w:spacing w:after="120" w:before="40"/>
        <w:ind w:left="360"/>
      </w:pPr>
      <w:r>
        <w:rPr>
          <w:i/>
          <w:iCs/>
          <w:color w:val="666666"/>
          <w:sz w:val="20"/>
          <w:szCs w:val="20"/>
        </w:rPr>
        <w:t xml:space="preserve">Use the standard Tensile config: extends base, schedule weekly, patch automerge off by default, grouped minor/patch PRs.</w:t>
      </w:r>
    </w:p>
    <w:p>
      <w:pPr>
        <w:pStyle w:val="Clause"/>
        <w:numPr>
          <w:ilvl w:val="0"/>
          <w:numId w:val="2"/>
        </w:numPr>
      </w:pPr>
      <w:r>
        <w:t xml:space="preserve">First Renovate run completed — initial dependency PRs opened or confirmed up to date.</w:t>
      </w:r>
    </w:p>
    <w:p>
      <w:pPr>
        <w:pStyle w:val="Clause"/>
        <w:numPr>
          <w:ilvl w:val="0"/>
          <w:numId w:val="2"/>
        </w:numPr>
      </w:pPr>
      <w:r>
        <w:t xml:space="preserve">PR review process confirmed — client knows Renovate PRs will appear and who should merge them.</w:t>
      </w:r>
    </w:p>
    <w:p>
      <w:pPr>
        <w:pStyle w:val="Clause"/>
        <w:pBdr>
          <w:left w:val="single" w:color="002352" w:sz="12" w:space="8"/>
        </w:pBdr>
        <w:spacing w:after="120" w:before="40"/>
        <w:ind w:left="360"/>
      </w:pPr>
      <w:r>
        <w:rPr>
          <w:i/>
          <w:iCs/>
          <w:color w:val="666666"/>
          <w:sz w:val="20"/>
          <w:szCs w:val="20"/>
        </w:rPr>
        <w:t xml:space="preserve">Make clear: Renovate raises the PRs, Tensile reviews them for safety, client or Tensile merges depending on agreed process. Document the agreed process in the working notes.</w:t>
      </w:r>
    </w:p>
    <w:p>
      <w:pPr>
        <w:pStyle w:val="Clause"/>
        <w:numPr>
          <w:ilvl w:val="0"/>
          <w:numId w:val="2"/>
        </w:numPr>
      </w:pPr>
      <w:r>
        <w:t xml:space="preserve">Automerge settings confirmed in writing with the client. Default: off. Only enable for patch updates on pre-agreed projects with written client approval.</w:t>
      </w:r>
    </w:p>
    <w:p>
      <w:pPr>
        <w:spacing w:after="60" w:before="300"/>
      </w:pPr>
      <w:r>
        <w:rPr>
          <w:b/>
          <w:bCs/>
          <w:color w:val="666666"/>
          <w:sz w:val="18"/>
          <w:szCs w:val="18"/>
        </w:rPr>
        <w:t xml:space="preserve">SECTION 6</w:t>
      </w:r>
    </w:p>
    <w:p>
      <w:pPr>
        <w:pStyle w:val="Heading2"/>
      </w:pPr>
      <w:r>
        <w:t xml:space="preserve">Snyk — Vulnerability monitoring</w:t>
      </w:r>
    </w:p>
    <w:p>
      <w:pPr>
        <w:pStyle w:val="Clause"/>
        <w:numPr>
          <w:ilvl w:val="0"/>
          <w:numId w:val="2"/>
        </w:numPr>
      </w:pPr>
      <w:r>
        <w:t xml:space="preserve">Snyk project created and connected to the client repository.</w:t>
      </w:r>
    </w:p>
    <w:p>
      <w:pPr>
        <w:pStyle w:val="Clause"/>
        <w:numPr>
          <w:ilvl w:val="0"/>
          <w:numId w:val="2"/>
        </w:numPr>
      </w:pPr>
      <w:r>
        <w:t xml:space="preserve">Baseline scan completed — initial vulnerability report reviewed and findings noted.</w:t>
      </w:r>
    </w:p>
    <w:p>
      <w:pPr>
        <w:pStyle w:val="Clause"/>
        <w:pBdr>
          <w:left w:val="single" w:color="002352" w:sz="12" w:space="8"/>
        </w:pBdr>
        <w:spacing w:after="120" w:before="40"/>
        <w:ind w:left="360"/>
      </w:pPr>
      <w:r>
        <w:rPr>
          <w:i/>
          <w:iCs/>
          <w:color w:val="666666"/>
          <w:sz w:val="20"/>
          <w:szCs w:val="20"/>
        </w:rPr>
        <w:t xml:space="preserve">Any Critical or High findings at baseline must be flagged to the client immediately by email, before the first monthly update. Do not wait.</w:t>
      </w:r>
    </w:p>
    <w:p>
      <w:pPr>
        <w:pStyle w:val="Clause"/>
        <w:numPr>
          <w:ilvl w:val="0"/>
          <w:numId w:val="2"/>
        </w:numPr>
      </w:pPr>
      <w:r>
        <w:t xml:space="preserve">Snyk alerts configured to notify jack@tensileinfrastructure.co.uk on any new CVE affecting the dependency tree.</w:t>
      </w:r>
    </w:p>
    <w:p>
      <w:pPr>
        <w:pStyle w:val="Clause"/>
        <w:numPr>
          <w:ilvl w:val="0"/>
          <w:numId w:val="2"/>
        </w:numPr>
      </w:pPr>
      <w:r>
        <w:t xml:space="preserve">Baseline findings documented in the client working notes in Drive.</w:t>
      </w:r>
    </w:p>
    <w:p>
      <w:pPr>
        <w:spacing w:after="60" w:before="300"/>
      </w:pPr>
      <w:r>
        <w:rPr>
          <w:b/>
          <w:bCs/>
          <w:color w:val="666666"/>
          <w:sz w:val="18"/>
          <w:szCs w:val="18"/>
        </w:rPr>
        <w:t xml:space="preserve">SECTION 7</w:t>
      </w:r>
    </w:p>
    <w:p>
      <w:pPr>
        <w:pStyle w:val="Heading2"/>
      </w:pPr>
      <w:r>
        <w:t xml:space="preserve">Linear — Ticketing</w:t>
      </w:r>
    </w:p>
    <w:p>
      <w:pPr>
        <w:pStyle w:val="Clause"/>
        <w:numPr>
          <w:ilvl w:val="0"/>
          <w:numId w:val="2"/>
        </w:numPr>
      </w:pPr>
      <w:r>
        <w:t xml:space="preserve">Linear project created for this client, using the standard project template.</w:t>
      </w:r>
    </w:p>
    <w:p>
      <w:pPr>
        <w:pStyle w:val="Clause"/>
        <w:numPr>
          <w:ilvl w:val="0"/>
          <w:numId w:val="2"/>
        </w:numPr>
      </w:pPr>
      <w:r>
        <w:t xml:space="preserve">support@ forwarding confirmed — emails to support@tensileinfrastructure.co.uk create tickets in this project.</w:t>
      </w:r>
    </w:p>
    <w:p>
      <w:pPr>
        <w:pStyle w:val="Clause"/>
        <w:pBdr>
          <w:left w:val="single" w:color="002352" w:sz="12" w:space="8"/>
        </w:pBdr>
        <w:spacing w:after="120" w:before="40"/>
        <w:ind w:left="360"/>
      </w:pPr>
      <w:r>
        <w:rPr>
          <w:i/>
          <w:iCs/>
          <w:color w:val="666666"/>
          <w:sz w:val="20"/>
          <w:szCs w:val="20"/>
        </w:rPr>
        <w:t xml:space="preserve">Gmail filter for support@ should forward to the Linear inbound address. Verify by sending a test email and checking the ticket is created correctly.</w:t>
      </w:r>
    </w:p>
    <w:p>
      <w:pPr>
        <w:pStyle w:val="Clause"/>
        <w:numPr>
          <w:ilvl w:val="0"/>
          <w:numId w:val="2"/>
        </w:numPr>
      </w:pPr>
      <w:r>
        <w:t xml:space="preserve">Client informed in writing that support@tensileinfrastructure.co.uk is the correct address for any urgent production issues.</w:t>
      </w:r>
    </w:p>
    <w:p>
      <w:pPr>
        <w:pStyle w:val="Clause"/>
        <w:numPr>
          <w:ilvl w:val="0"/>
          <w:numId w:val="2"/>
        </w:numPr>
      </w:pPr>
      <w:r>
        <w:t xml:space="preserve">SLA recorded in the Linear project description: 8 business-hour response SLA for critical production breaks (Monday to Friday, 09:00–17:00 UK time). Out-of-hours incidents are not covered.</w:t>
      </w:r>
    </w:p>
    <w:p>
      <w:pPr>
        <w:spacing w:after="60" w:before="300"/>
      </w:pPr>
      <w:r>
        <w:rPr>
          <w:b/>
          <w:bCs/>
          <w:color w:val="666666"/>
          <w:sz w:val="18"/>
          <w:szCs w:val="18"/>
        </w:rPr>
        <w:t xml:space="preserve">SECTION 8</w:t>
      </w:r>
    </w:p>
    <w:p>
      <w:pPr>
        <w:pStyle w:val="Heading2"/>
      </w:pPr>
      <w:r>
        <w:t xml:space="preserve">Google Drive — Client folder</w:t>
      </w:r>
    </w:p>
    <w:p>
      <w:pPr>
        <w:pStyle w:val="Clause"/>
        <w:numPr>
          <w:ilvl w:val="0"/>
          <w:numId w:val="2"/>
        </w:numPr>
      </w:pPr>
      <w:r>
        <w:t xml:space="preserve">Client folder created in Drive: Clients / [Client Name] /</w:t>
      </w:r>
    </w:p>
    <w:p>
      <w:pPr>
        <w:pStyle w:val="Clause"/>
        <w:numPr>
          <w:ilvl w:val="0"/>
          <w:numId w:val="2"/>
        </w:numPr>
      </w:pPr>
      <w:r>
        <w:t xml:space="preserve">Signed retainer agreement filed in the client folder.</w:t>
      </w:r>
    </w:p>
    <w:p>
      <w:pPr>
        <w:pStyle w:val="Clause"/>
        <w:numPr>
          <w:ilvl w:val="0"/>
          <w:numId w:val="2"/>
        </w:numPr>
      </w:pPr>
      <w:r>
        <w:t xml:space="preserve">Audit report filed if the client came via a System Health Audit.</w:t>
      </w:r>
    </w:p>
    <w:p>
      <w:pPr>
        <w:pStyle w:val="Clause"/>
        <w:numPr>
          <w:ilvl w:val="0"/>
          <w:numId w:val="2"/>
        </w:numPr>
      </w:pPr>
      <w:r>
        <w:t xml:space="preserve">Data Processing Agreement signed and filed (if applicable under clause 11 of the retainer).</w:t>
      </w:r>
    </w:p>
    <w:p>
      <w:pPr>
        <w:pStyle w:val="Clause"/>
        <w:numPr>
          <w:ilvl w:val="0"/>
          <w:numId w:val="2"/>
        </w:numPr>
      </w:pPr>
      <w:r>
        <w:t xml:space="preserve">Working notes document created — captures baseline state, tool output, and ongoing notes.</w:t>
      </w:r>
    </w:p>
    <w:p>
      <w:pPr>
        <w:pStyle w:val="Clause"/>
        <w:numPr>
          <w:ilvl w:val="0"/>
          <w:numId w:val="2"/>
        </w:numPr>
      </w:pPr>
      <w:r>
        <w:t xml:space="preserve">Monthly updates subfolder created: Clients / [Client Name] / Monthly Updates /</w:t>
      </w:r>
    </w:p>
    <w:p>
      <w:pPr>
        <w:spacing w:after="60" w:before="300"/>
      </w:pPr>
      <w:r>
        <w:rPr>
          <w:b/>
          <w:bCs/>
          <w:color w:val="666666"/>
          <w:sz w:val="18"/>
          <w:szCs w:val="18"/>
        </w:rPr>
        <w:t xml:space="preserve">SECTION 9</w:t>
      </w:r>
    </w:p>
    <w:p>
      <w:pPr>
        <w:pStyle w:val="Heading2"/>
      </w:pPr>
      <w:r>
        <w:t xml:space="preserve">Baseline documentation</w:t>
      </w:r>
    </w:p>
    <w:p>
      <w:pPr>
        <w:pStyle w:val="Clause"/>
        <w:numPr>
          <w:ilvl w:val="0"/>
          <w:numId w:val="2"/>
        </w:numPr>
      </w:pPr>
      <w:r>
        <w:t xml:space="preserve">Working notes document populated with the initial state of the system.</w:t>
      </w:r>
    </w:p>
    <w:p>
      <w:pPr>
        <w:pStyle w:val="Clause"/>
        <w:pBdr>
          <w:left w:val="single" w:color="002352" w:sz="12" w:space="8"/>
        </w:pBdr>
        <w:spacing w:after="120" w:before="40"/>
        <w:ind w:left="360"/>
      </w:pPr>
      <w:r>
        <w:rPr>
          <w:i/>
          <w:iCs/>
          <w:color w:val="666666"/>
          <w:sz w:val="20"/>
          <w:szCs w:val="20"/>
        </w:rPr>
        <w:t xml:space="preserve">Record: runtime versions, framework version, dependency count, initial vulnerability counts from Snyk, Lighthouse scores if applicable, any known issues reported by the client.</w:t>
      </w:r>
    </w:p>
    <w:p>
      <w:pPr>
        <w:pStyle w:val="Clause"/>
        <w:numPr>
          <w:ilvl w:val="0"/>
          <w:numId w:val="2"/>
        </w:numPr>
      </w:pPr>
      <w:r>
        <w:t xml:space="preserve">Month 1 update template prepared — open the monthly update template and pre-fill client name, covered core system name, monitoring targets, and any known upcoming work.</w:t>
      </w:r>
    </w:p>
    <w:p>
      <w:pPr>
        <w:spacing w:after="60" w:before="300"/>
      </w:pPr>
      <w:r>
        <w:rPr>
          <w:b/>
          <w:bCs/>
          <w:color w:val="666666"/>
          <w:sz w:val="18"/>
          <w:szCs w:val="18"/>
        </w:rPr>
        <w:t xml:space="preserve">SECTION 10</w:t>
      </w:r>
    </w:p>
    <w:p>
      <w:pPr>
        <w:pStyle w:val="Heading2"/>
      </w:pPr>
      <w:r>
        <w:t xml:space="preserve">Client communication</w:t>
      </w:r>
    </w:p>
    <w:p>
      <w:pPr>
        <w:pStyle w:val="Clause"/>
        <w:numPr>
          <w:ilvl w:val="0"/>
          <w:numId w:val="2"/>
        </w:numPr>
      </w:pPr>
      <w:r>
        <w:t xml:space="preserve">Onboarding email sent confirming: retainer is live, monitoring is active, support@ address, and the date of the first monthly update.</w:t>
      </w:r>
    </w:p>
    <w:p>
      <w:pPr>
        <w:pStyle w:val="Clause"/>
        <w:numPr>
          <w:ilvl w:val="0"/>
          <w:numId w:val="2"/>
        </w:numPr>
      </w:pPr>
      <w:r>
        <w:t xml:space="preserve">First update delivery date confirmed — end of the first calendar month of the retainer.</w:t>
      </w:r>
    </w:p>
    <w:p>
      <w:pPr>
        <w:pStyle w:val="Clause"/>
        <w:numPr>
          <w:ilvl w:val="0"/>
          <w:numId w:val="2"/>
        </w:numPr>
      </w:pPr>
      <w:r>
        <w:t xml:space="preserve">Escalation path agreed — client knows how to reach us for critical issues outside of email (phone, WhatsApp, or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Escalation contact method</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pStyle w:val="Clause"/>
        <w:numPr>
          <w:ilvl w:val="0"/>
          <w:numId w:val="2"/>
        </w:numPr>
      </w:pPr>
      <w:r>
        <w:t xml:space="preserve">Anti-creep reminder: client understands the Monthly Cap under clause 2 of the retainer — eight hours of active work per covered core system per month, no rollover.</w:t>
      </w:r>
    </w:p>
    <w:p>
      <w:pPr>
        <w:spacing w:after="300" w:before="0"/>
      </w:pPr>
      <w:r>
        <w:t xml:space="preserve"/>
      </w:r>
    </w:p>
    <w:p>
      <w:pPr>
        <w:pStyle w:val="Heading1"/>
      </w:pPr>
      <w:r>
        <w:t xml:space="preserve">Sign-off</w:t>
      </w:r>
    </w:p>
    <w:p>
      <w:pPr>
        <w:pStyle w:val="Clause"/>
      </w:pPr>
      <w:r>
        <w:t xml:space="preserve">Onboarding is complete when every item above is ticked. Record the completion date and the date of the first scheduled monthly update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Onboarding completed on</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Completed by</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3200"/>
            <w:tcBorders>
              <w:top w:val="single" w:color="D8D8D8" w:sz="4"/>
              <w:left w:val="single" w:color="D8D8D8" w:sz="4"/>
              <w:bottom w:val="single" w:color="D8D8D8" w:sz="4"/>
              <w:right w:val="single" w:color="D8D8D8" w:sz="4"/>
            </w:tcBorders>
            <w:shd w:fill="F7F8FB" w:val="clear"/>
            <w:tcMar>
              <w:top w:type="dxa" w:w="100"/>
              <w:left w:type="dxa" w:w="140"/>
              <w:bottom w:type="dxa" w:w="100"/>
              <w:right w:type="dxa" w:w="140"/>
            </w:tcMar>
            <w:vAlign w:val="center"/>
          </w:tcPr>
          <w:p>
            <w:pPr>
              <w:spacing w:after="0" w:before="0"/>
            </w:pPr>
            <w:r>
              <w:rPr>
                <w:b/>
                <w:bCs/>
                <w:color w:val="002352"/>
                <w:sz w:val="20"/>
                <w:szCs w:val="20"/>
              </w:rPr>
              <w:t xml:space="preserve">First monthly update scheduled for</w:t>
            </w:r>
          </w:p>
        </w:tc>
        <w:tc>
          <w:tcPr>
            <w:tcW w:type="dxa" w:w="6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Client Onboarding Checklist · v2.0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Checklist</dc:title>
  <dc:creator>Tensile Infrastructure Ltd</dc:creator>
  <dc:description>Standard onboarding checklist for new retainer clients</dc:description>
  <cp:lastModifiedBy>Un-named</cp:lastModifiedBy>
  <cp:revision>1</cp:revision>
  <dcterms:created xsi:type="dcterms:W3CDTF">2026-04-10T06:23:53.482Z</dcterms:created>
  <dcterms:modified xsi:type="dcterms:W3CDTF">2026-04-10T06:23:53.482Z</dcterms:modified>
</cp:coreProperties>
</file>

<file path=docProps/custom.xml><?xml version="1.0" encoding="utf-8"?>
<Properties xmlns="http://schemas.openxmlformats.org/officeDocument/2006/custom-properties" xmlns:vt="http://schemas.openxmlformats.org/officeDocument/2006/docPropsVTypes"/>
</file>