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Processing Agreement</w:t>
      </w:r>
    </w:p>
    <w:p>
      <w:pPr>
        <w:pStyle w:val="Subtitle"/>
      </w:pPr>
      <w:r>
        <w:t xml:space="preserve">UK GDPR Article 28 processor terms — standalone 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Controller</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LEGAL NAME], of [CLIENT REGISTERED ADDRESS] (Company No. [CLIENT COMPANY NUMBER]) (the "Controller").</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Processor</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Tensile Infrastructure Ltd, a company registered in England and Wales (Company No. 17139591), whose registered office is at 71-75 Shelton Street, Covent Garden, London, WC2H 9JQ (the "Processor").</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Effective date</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[EFFECTIVE DATE]</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Principal agreement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Software Maintenance Retainer Agreement and/or System Health Audit Engagement Letter between the parties (the "Principal Agreement").</w:t>
            </w:r>
          </w:p>
        </w:tc>
      </w:tr>
    </w:tbl>
    <w:p>
      <w:pPr>
        <w:spacing w:after="200" w:before="0"/>
      </w:pPr>
      <w:r>
        <w:t xml:space="preserve"/>
      </w:r>
    </w:p>
    <w:p>
      <w:pPr>
        <w:pStyle w:val="Clause"/>
      </w:pPr>
      <w:r>
        <w:t xml:space="preserve">This Data Processing Agreement (the "DPA") sets out the terms on which the Processor processes personal data on behalf of the Controller. It is executed as a standalone agreement and forms part of, and is incorporated into, the Principal Agreement. If any conflict arises between this DPA and the Principal Agreement in respect of the processing of personal data, this DPA shall prevail.</w:t>
      </w:r>
    </w:p>
    <w:p>
      <w:pPr>
        <w:pStyle w:val="Heading2"/>
      </w:pPr>
      <w:r>
        <w:t xml:space="preserve">1. Definitions</w:t>
      </w:r>
    </w:p>
    <w:p>
      <w:pPr>
        <w:pStyle w:val="Clause"/>
      </w:pPr>
      <w:r>
        <w:t xml:space="preserve">"Data Protection Laws" means the UK General Data Protection Regulation (UK GDPR) as incorporated into UK law by the Data Protection Act 2018, the Data Protection Act 2018, the Privacy and Electronic Communications (EC Directive) Regulations 2003, and any other applicable law or regulation relating to the processing of personal data and privacy.</w:t>
      </w:r>
    </w:p>
    <w:p>
      <w:pPr>
        <w:pStyle w:val="Clause"/>
      </w:pPr>
      <w:r>
        <w:t xml:space="preserve">"Personal Data", "Controller", "Processor", "Data Subject", "Processing", "Personal Data Breach", and "Supervisory Authority" have the meanings given to them in the UK GDPR.</w:t>
      </w:r>
    </w:p>
    <w:p>
      <w:pPr>
        <w:pStyle w:val="Clause"/>
      </w:pPr>
      <w:r>
        <w:t xml:space="preserve">"Sub-processor" means any third party engaged by the Processor to carry out processing activities on behalf of the Controller.</w:t>
      </w:r>
    </w:p>
    <w:p>
      <w:pPr>
        <w:pStyle w:val="Clause"/>
      </w:pPr>
      <w:r>
        <w:t xml:space="preserve">"Services" means the software maintenance, audit, and related technical services provided by the Processor to the Controller under the Principal Agreement.</w:t>
      </w:r>
    </w:p>
    <w:p>
      <w:pPr>
        <w:pStyle w:val="Heading2"/>
      </w:pPr>
      <w:r>
        <w:t xml:space="preserve">2. Scope and Subject-Matter</w:t>
      </w:r>
    </w:p>
    <w:p>
      <w:pPr>
        <w:pStyle w:val="Clause"/>
      </w:pPr>
      <w:r>
        <w:t xml:space="preserve">The subject-matter of the processing is the provision of the Services. The nature and purpose of the processing is to enable the Processor to perform its obligations under the Principal Agreement, including maintaining, monitoring, patching, and auditing the Controller's production systems.</w:t>
      </w:r>
    </w:p>
    <w:p>
      <w:pPr>
        <w:pStyle w:val="Clause"/>
      </w:pPr>
      <w:r>
        <w:t xml:space="preserve">The duration of processing is the term of the Principal Agreement, plus any retention period set out in clause 11 of this DPA.</w:t>
      </w:r>
    </w:p>
    <w:p>
      <w:pPr>
        <w:pStyle w:val="Clause"/>
      </w:pPr>
      <w:r>
        <w:t xml:space="preserve">The types of Personal Data processed, and the categories of Data Subject affected, are set out in Annex 1 to this DPA.</w:t>
      </w:r>
    </w:p>
    <w:p>
      <w:pPr>
        <w:pStyle w:val="Heading2"/>
      </w:pPr>
      <w:r>
        <w:t xml:space="preserve">3. Roles of the Parties</w:t>
      </w:r>
    </w:p>
    <w:p>
      <w:pPr>
        <w:pStyle w:val="Clause"/>
      </w:pPr>
      <w:r>
        <w:t xml:space="preserve">In respect of all Personal Data made available by the Controller under the Principal Agreement, the Controller is the Controller and the Processor is a Processor. The Processor shall process Personal Data only on documented instructions from the Controller. The Principal Agreement and this DPA constitute the Controller's complete and final instructions to the Processor in respect of the Processing.</w:t>
      </w:r>
    </w:p>
    <w:p>
      <w:pPr>
        <w:pStyle w:val="Clause"/>
      </w:pPr>
      <w:r>
        <w:t xml:space="preserve">The Processor shall immediately inform the Controller if, in its opinion, an instruction from the Controller infringes Data Protection Laws.</w:t>
      </w:r>
    </w:p>
    <w:p>
      <w:pPr>
        <w:pStyle w:val="Heading2"/>
      </w:pPr>
      <w:r>
        <w:t xml:space="preserve">4. Processor Obligations</w:t>
      </w:r>
    </w:p>
    <w:p>
      <w:pPr>
        <w:pStyle w:val="Clause"/>
      </w:pPr>
      <w:r>
        <w:t xml:space="preserve">The Processor shall:</w:t>
      </w:r>
    </w:p>
    <w:p>
      <w:pPr>
        <w:pStyle w:val="Clause"/>
        <w:numPr>
          <w:ilvl w:val="0"/>
          <w:numId w:val="2"/>
        </w:numPr>
      </w:pPr>
      <w:r>
        <w:t xml:space="preserve">Process Personal Data only on documented instructions from the Controller, including with regard to transfers of Personal Data to a third country, unless required to do otherwise by law; where such legal requirement applies, the Processor shall inform the Controller of that legal requirement before processing, unless that law prohibits such disclosure on important grounds of public interest.</w:t>
      </w:r>
    </w:p>
    <w:p>
      <w:pPr>
        <w:pStyle w:val="Clause"/>
        <w:numPr>
          <w:ilvl w:val="0"/>
          <w:numId w:val="2"/>
        </w:numPr>
      </w:pPr>
      <w:r>
        <w:t xml:space="preserve">Ensure that all persons authorised to process the Personal Data have committed themselves to confidentiality or are under an appropriate statutory obligation of confidentiality.</w:t>
      </w:r>
    </w:p>
    <w:p>
      <w:pPr>
        <w:pStyle w:val="Clause"/>
        <w:numPr>
          <w:ilvl w:val="0"/>
          <w:numId w:val="2"/>
        </w:numPr>
      </w:pPr>
      <w:r>
        <w:t xml:space="preserve">Take all measures required pursuant to Article 32 of the UK GDPR (security of processing) as set out in clause 6 of this DPA.</w:t>
      </w:r>
    </w:p>
    <w:p>
      <w:pPr>
        <w:pStyle w:val="Clause"/>
        <w:numPr>
          <w:ilvl w:val="0"/>
          <w:numId w:val="2"/>
        </w:numPr>
      </w:pPr>
      <w:r>
        <w:t xml:space="preserve">Respect the conditions set out in clause 5 of this DPA for engaging Sub-processors.</w:t>
      </w:r>
    </w:p>
    <w:p>
      <w:pPr>
        <w:pStyle w:val="Clause"/>
        <w:numPr>
          <w:ilvl w:val="0"/>
          <w:numId w:val="2"/>
        </w:numPr>
      </w:pPr>
      <w:r>
        <w:t xml:space="preserve">Taking into account the nature of the processing, assist the Controller by appropriate technical and organisational measures, insofar as possible, in fulfilling the Controller's obligation to respond to requests for exercising Data Subject rights under Chapter III of the UK GDPR.</w:t>
      </w:r>
    </w:p>
    <w:p>
      <w:pPr>
        <w:pStyle w:val="Clause"/>
        <w:numPr>
          <w:ilvl w:val="0"/>
          <w:numId w:val="2"/>
        </w:numPr>
      </w:pPr>
      <w:r>
        <w:t xml:space="preserve">Assist the Controller in ensuring compliance with obligations pursuant to Articles 32 to 36 of the UK GDPR (security, breach notification, data protection impact assessments, and prior consultation with the Supervisory Authority), taking into account the nature of the processing and the information available to the Processor.</w:t>
      </w:r>
    </w:p>
    <w:p>
      <w:pPr>
        <w:pStyle w:val="Clause"/>
        <w:numPr>
          <w:ilvl w:val="0"/>
          <w:numId w:val="2"/>
        </w:numPr>
      </w:pPr>
      <w:r>
        <w:t xml:space="preserve">At the choice of the Controller, delete or return all Personal Data to the Controller after the end of the provision of Services relating to processing, and delete existing copies, unless law requires storage of the Personal Data.</w:t>
      </w:r>
    </w:p>
    <w:p>
      <w:pPr>
        <w:pStyle w:val="Clause"/>
        <w:numPr>
          <w:ilvl w:val="0"/>
          <w:numId w:val="2"/>
        </w:numPr>
      </w:pPr>
      <w:r>
        <w:t xml:space="preserve">Make available to the Controller all information necessary to demonstrate compliance with the obligations laid down in Article 28 of the UK GDPR, and allow for and contribute to audits, including inspections, conducted by the Controller or another auditor mandated by the Controller, subject to clause 7 of this DPA.</w:t>
      </w:r>
    </w:p>
    <w:p>
      <w:pPr>
        <w:pStyle w:val="Heading2"/>
      </w:pPr>
      <w:r>
        <w:t xml:space="preserve">5. Sub-processors</w:t>
      </w:r>
    </w:p>
    <w:p>
      <w:pPr>
        <w:pStyle w:val="Clause"/>
      </w:pPr>
      <w:r>
        <w:t xml:space="preserve">The Controller grants the Processor general authorisation to engage Sub-processors to process the Personal Data, subject to the conditions in this clause. A list of approved Sub-processors as at the Effective Date is set out in Annex 2 to this DPA.</w:t>
      </w:r>
    </w:p>
    <w:p>
      <w:pPr>
        <w:pStyle w:val="Clause"/>
      </w:pPr>
      <w:r>
        <w:t xml:space="preserve">The Processor shall impose on any Sub-processor the same data-protection obligations as are imposed on the Processor under this DPA by way of a written contract, in particular providing sufficient guarantees to implement appropriate technical and organisational measures in such a manner that the processing will meet the requirements of the UK GDPR.</w:t>
      </w:r>
    </w:p>
    <w:p>
      <w:pPr>
        <w:pStyle w:val="Clause"/>
      </w:pPr>
      <w:r>
        <w:t xml:space="preserve">The Processor shall provide the Controller with at least thirty (30) days' prior written notice of any intended changes concerning the addition or replacement of a Sub-processor, thereby giving the Controller the opportunity to object to such changes. If the Controller reasonably objects to the change on data-protection grounds and the parties cannot agree a resolution, either party may terminate the Principal Agreement with effect from the date the Sub-processor change would take effect.</w:t>
      </w:r>
    </w:p>
    <w:p>
      <w:pPr>
        <w:pStyle w:val="Clause"/>
      </w:pPr>
      <w:r>
        <w:t xml:space="preserve">The Processor shall remain fully liable to the Controller for the performance of any Sub-processor's obligations.</w:t>
      </w:r>
    </w:p>
    <w:p>
      <w:pPr>
        <w:pStyle w:val="Heading2"/>
      </w:pPr>
      <w:r>
        <w:t xml:space="preserve">6. Security</w:t>
      </w:r>
    </w:p>
    <w:p>
      <w:pPr>
        <w:pStyle w:val="Clause"/>
      </w:pPr>
      <w:r>
        <w:t xml:space="preserve">Taking into account the state of the art, the costs of implementation, and the nature, scope, context, and purposes of processing as well as the risk of varying likelihood and severity for the rights and freedoms of natural persons, the Processor shall implement appropriate technical and organisational measures to ensure a level of security appropriate to the risk. The measures currently in place are set out in Annex 3 and include, as a minimum:</w:t>
      </w:r>
    </w:p>
    <w:p>
      <w:pPr>
        <w:pStyle w:val="Clause"/>
        <w:numPr>
          <w:ilvl w:val="0"/>
          <w:numId w:val="2"/>
        </w:numPr>
      </w:pPr>
      <w:r>
        <w:t xml:space="preserve">Encryption of Personal Data in transit using TLS 1.2 or above.</w:t>
      </w:r>
    </w:p>
    <w:p>
      <w:pPr>
        <w:pStyle w:val="Clause"/>
        <w:numPr>
          <w:ilvl w:val="0"/>
          <w:numId w:val="2"/>
        </w:numPr>
      </w:pPr>
      <w:r>
        <w:t xml:space="preserve">Encryption at rest of any Personal Data held on Processor devices, using full-disk encryption (FileVault, LUKS, or equivalent).</w:t>
      </w:r>
    </w:p>
    <w:p>
      <w:pPr>
        <w:pStyle w:val="Clause"/>
        <w:numPr>
          <w:ilvl w:val="0"/>
          <w:numId w:val="2"/>
        </w:numPr>
      </w:pPr>
      <w:r>
        <w:t xml:space="preserve">Strong authentication and access controls, including multi-factor authentication on all Processor accounts with access to Client systems.</w:t>
      </w:r>
    </w:p>
    <w:p>
      <w:pPr>
        <w:pStyle w:val="Clause"/>
        <w:numPr>
          <w:ilvl w:val="0"/>
          <w:numId w:val="2"/>
        </w:numPr>
      </w:pPr>
      <w:r>
        <w:t xml:space="preserve">The principle of least privilege — Processor staff receive only the minimum access necessary for the Services.</w:t>
      </w:r>
    </w:p>
    <w:p>
      <w:pPr>
        <w:pStyle w:val="Clause"/>
        <w:numPr>
          <w:ilvl w:val="0"/>
          <w:numId w:val="2"/>
        </w:numPr>
      </w:pPr>
      <w:r>
        <w:t xml:space="preserve">Secrets managed through a reputable password manager (1Password or equivalent) and never committed to source control.</w:t>
      </w:r>
    </w:p>
    <w:p>
      <w:pPr>
        <w:pStyle w:val="Clause"/>
        <w:numPr>
          <w:ilvl w:val="0"/>
          <w:numId w:val="2"/>
        </w:numPr>
      </w:pPr>
      <w:r>
        <w:t xml:space="preserve">A documented and tested process for responding to Personal Data Breaches (clause 8).</w:t>
      </w:r>
    </w:p>
    <w:p>
      <w:pPr>
        <w:pStyle w:val="Clause"/>
        <w:numPr>
          <w:ilvl w:val="0"/>
          <w:numId w:val="2"/>
        </w:numPr>
      </w:pPr>
      <w:r>
        <w:t xml:space="preserve">Regular review of security posture, and application of security patches within a reasonable period of their release.</w:t>
      </w:r>
    </w:p>
    <w:p>
      <w:pPr>
        <w:pStyle w:val="Heading2"/>
      </w:pPr>
      <w:r>
        <w:t xml:space="preserve">7. Audits</w:t>
      </w:r>
    </w:p>
    <w:p>
      <w:pPr>
        <w:pStyle w:val="Clause"/>
      </w:pPr>
      <w:r>
        <w:t xml:space="preserve">The Processor shall, on reasonable prior written notice and no more than once in any twelve-month period (save where required by the Supervisory Authority or following a Personal Data Breach), make available to the Controller information reasonably necessary to demonstrate compliance with this DPA, and allow the Controller or an independent auditor it appoints to audit the Processor's compliance.</w:t>
      </w:r>
    </w:p>
    <w:p>
      <w:pPr>
        <w:pStyle w:val="Clause"/>
      </w:pPr>
      <w:r>
        <w:t xml:space="preserve">Audits shall be carried out during normal business hours, shall not unreasonably interfere with the Processor's operations, and shall be subject to appropriate confidentiality obligations. Where an audit is requested in the absence of a Personal Data Breach or regulatory demand, the Controller shall bear the reasonable costs of the Processor in facilitating the audit.</w:t>
      </w:r>
    </w:p>
    <w:p>
      <w:pPr>
        <w:pStyle w:val="Heading2"/>
      </w:pPr>
      <w:r>
        <w:t xml:space="preserve">8. Personal Data Breach</w:t>
      </w:r>
    </w:p>
    <w:p>
      <w:pPr>
        <w:pStyle w:val="Clause"/>
      </w:pPr>
      <w:r>
        <w:t xml:space="preserve">The Processor shall notify the Controller without undue delay, and in any event within twenty-four (24) hours, of becoming aware of a Personal Data Breach affecting the Controller's Personal Data.</w:t>
      </w:r>
    </w:p>
    <w:p>
      <w:pPr>
        <w:pStyle w:val="Clause"/>
      </w:pPr>
      <w:r>
        <w:t xml:space="preserve">The notification shall, at a minimum: (a) describe the nature of the Personal Data Breach including, where possible, the categories and approximate number of Data Subjects concerned and the categories and approximate number of Personal Data records concerned; (b) communicate the name and contact details of the Processor's point of contact for the incident; (c) describe the likely consequences of the Personal Data Breach; and (d) describe the measures taken or proposed to be taken by the Processor to address the Personal Data Breach, including, where appropriate, measures to mitigate its possible adverse effects.</w:t>
      </w:r>
    </w:p>
    <w:p>
      <w:pPr>
        <w:pStyle w:val="Clause"/>
      </w:pPr>
      <w:r>
        <w:t xml:space="preserve">The Processor shall co-operate with the Controller and take such reasonable steps as are directed by the Controller to assist in the investigation, mitigation, and remediation of the Personal Data Breach.</w:t>
      </w:r>
    </w:p>
    <w:p>
      <w:pPr>
        <w:pStyle w:val="Heading2"/>
      </w:pPr>
      <w:r>
        <w:t xml:space="preserve">9. Data Subject Rights</w:t>
      </w:r>
    </w:p>
    <w:p>
      <w:pPr>
        <w:pStyle w:val="Clause"/>
      </w:pPr>
      <w:r>
        <w:t xml:space="preserve">Taking into account the nature of the processing, the Processor shall assist the Controller by appropriate technical and organisational measures, insofar as this is possible, in fulfilling the Controller's obligation to respond to requests for exercising Data Subject rights under Chapter III of the UK GDPR, including requests for access, rectification, erasure, restriction, portability, and objection.</w:t>
      </w:r>
    </w:p>
    <w:p>
      <w:pPr>
        <w:pStyle w:val="Clause"/>
      </w:pPr>
      <w:r>
        <w:t xml:space="preserve">If a Data Subject sends a request directly to the Processor, the Processor shall not respond substantively and shall forward the request to the Controller without undue delay.</w:t>
      </w:r>
    </w:p>
    <w:p>
      <w:pPr>
        <w:pStyle w:val="Heading2"/>
      </w:pPr>
      <w:r>
        <w:t xml:space="preserve">10. International Transfers</w:t>
      </w:r>
    </w:p>
    <w:p>
      <w:pPr>
        <w:pStyle w:val="Clause"/>
      </w:pPr>
      <w:r>
        <w:t xml:space="preserve">The Processor shall not transfer Personal Data outside the United Kingdom without the prior written consent of the Controller. Where such transfer is necessary and approved, the Processor shall ensure that an appropriate transfer mechanism is in place, such as an adequacy regulation made by the Secretary of State under section 17A of the Data Protection Act 2018, the UK International Data Transfer Agreement, the UK Addendum to the EU Standard Contractual Clauses, or another mechanism approved under UK GDPR.</w:t>
      </w:r>
    </w:p>
    <w:p>
      <w:pPr>
        <w:pStyle w:val="Clause"/>
      </w:pPr>
      <w:r>
        <w:t xml:space="preserve">The list of approved Sub-processors in Annex 2 identifies the country in which each Sub-processor principally processes Personal Data and the applicable transfer mechanism.</w:t>
      </w:r>
    </w:p>
    <w:p>
      <w:pPr>
        <w:pStyle w:val="Heading2"/>
      </w:pPr>
      <w:r>
        <w:t xml:space="preserve">11. Controller Responsibilities</w:t>
      </w:r>
    </w:p>
    <w:p>
      <w:pPr>
        <w:pStyle w:val="Clause"/>
      </w:pPr>
      <w:r>
        <w:t xml:space="preserve">The Controller warrants that it has all necessary rights, consents, and lawful bases under Data Protection Laws to provide the Personal Data to the Processor for the purposes described in the Principal Agreement and this DPA, and that its instructions to the Processor will not cause the Processor to breach Data Protection Laws.</w:t>
      </w:r>
    </w:p>
    <w:p>
      <w:pPr>
        <w:pStyle w:val="Clause"/>
      </w:pPr>
      <w:r>
        <w:t xml:space="preserve">The Controller is responsible for: (a) ensuring that its privacy notices to Data Subjects adequately describe the processing carried out by the Processor on its behalf; (b) determining the lawful basis for the processing; and (c) responding to Data Subject requests, with assistance from the Processor as set out in clause 9.</w:t>
      </w:r>
    </w:p>
    <w:p>
      <w:pPr>
        <w:pStyle w:val="Heading2"/>
      </w:pPr>
      <w:r>
        <w:t xml:space="preserve">12. Return and Deletion of Personal Data</w:t>
      </w:r>
    </w:p>
    <w:p>
      <w:pPr>
        <w:pStyle w:val="Clause"/>
      </w:pPr>
      <w:r>
        <w:t xml:space="preserve">On termination or expiry of the Principal Agreement, or on earlier written request by the Controller, the Processor shall, at the Controller's choice, return or delete all Personal Data processed on behalf of the Controller, and delete all existing copies within thirty (30) days, save to the extent that applicable law requires storage of the Personal Data.</w:t>
      </w:r>
    </w:p>
    <w:p>
      <w:pPr>
        <w:pStyle w:val="Clause"/>
      </w:pPr>
      <w:r>
        <w:t xml:space="preserve">The Processor may retain: (a) the minimum Personal Data necessary to comply with its legal and regulatory obligations (including HMRC tax records for six years); and (b) limited Personal Data contained in executed contracts, invoices, and audit trails, for a period of six (6) years from the end of the Principal Agreement, for legal and limitation-period purposes.</w:t>
      </w:r>
    </w:p>
    <w:p>
      <w:pPr>
        <w:pStyle w:val="Clause"/>
      </w:pPr>
      <w:r>
        <w:t xml:space="preserve">On request by the Controller, the Processor shall provide written confirmation that deletion or return has been completed.</w:t>
      </w:r>
    </w:p>
    <w:p>
      <w:pPr>
        <w:pStyle w:val="Heading2"/>
      </w:pPr>
      <w:r>
        <w:t xml:space="preserve">13. Liability</w:t>
      </w:r>
    </w:p>
    <w:p>
      <w:pPr>
        <w:pStyle w:val="Clause"/>
      </w:pPr>
      <w:r>
        <w:t xml:space="preserve">Each party's liability arising out of or in connection with this DPA is subject to, and shall be counted towards, the aggregate liability cap set out in the Principal Agreement. Nothing in this DPA limits or excludes any liability that cannot lawfully be limited or excluded, including liability arising under Article 82 of the UK GDPR to Data Subjects.</w:t>
      </w:r>
    </w:p>
    <w:p>
      <w:pPr>
        <w:pStyle w:val="Heading2"/>
      </w:pPr>
      <w:r>
        <w:t xml:space="preserve">14. General</w:t>
      </w:r>
    </w:p>
    <w:p>
      <w:pPr>
        <w:pStyle w:val="Clause"/>
      </w:pPr>
      <w:r>
        <w:t xml:space="preserve">This DPA may only be varied by written agreement signed by both parties. If any provision of this DPA is held to be invalid or unenforceable, the remainder of the DPA shall continue in full force and effect.</w:t>
      </w:r>
    </w:p>
    <w:p>
      <w:pPr>
        <w:pStyle w:val="Clause"/>
      </w:pPr>
      <w:r>
        <w:t xml:space="preserve">This DPA is governed by the laws of England and Wales and the parties submit to the exclusive jurisdiction of the courts of England and Wales.</w:t>
      </w:r>
    </w:p>
    <w:p>
      <w:pPr>
        <w:pStyle w:val="Clause"/>
      </w:pPr>
      <w:r>
        <w:t xml:space="preserve">This DPA may be executed in counterparts, including by electronic signature.</w:t>
      </w:r>
    </w:p>
    <w:p>
      <w:pPr>
        <w:spacing w:after="300" w:before="0"/>
      </w:pPr>
      <w:r>
        <w:t xml:space="preserve"/>
      </w:r>
    </w:p>
    <w:p>
      <w:pPr>
        <w:pStyle w:val="Heading2"/>
      </w:pPr>
      <w:r>
        <w:t xml:space="preserve">Signed for and on behalf of the Controller</w:t>
      </w:r>
    </w:p>
    <w:p>
      <w:pPr>
        <w:pStyle w:val="Clause"/>
      </w:pPr>
      <w:r>
        <w:rPr>
          <w:b/>
          <w:bCs/>
        </w:rPr>
        <w:t xml:space="preserve">[CLIENT LEGAL NAME]</w:t>
      </w:r>
    </w:p>
    <w:p>
      <w:pPr>
        <w:pBdr>
          <w:bottom w:val="single" w:color="333333" w:sz="6" w:space="1"/>
        </w:pBdr>
        <w:spacing w:after="0" w:before="360"/>
      </w:pPr>
      <w:r>
        <w:t xml:space="preserve"/>
      </w:r>
    </w:p>
    <w:p>
      <w:pPr>
        <w:pStyle w:val="Clause"/>
      </w:pPr>
      <w:r>
        <w:t xml:space="preserve">Name: [CLIENT SIGNATORY NAME]</w:t>
      </w:r>
    </w:p>
    <w:p>
      <w:pPr>
        <w:pStyle w:val="Clause"/>
      </w:pPr>
      <w:r>
        <w:t xml:space="preserve">Title: [CLIENT SIGNATORY TITLE]</w:t>
      </w:r>
    </w:p>
    <w:p>
      <w:pPr>
        <w:pStyle w:val="Clause"/>
      </w:pPr>
      <w:r>
        <w:t xml:space="preserve">Date: ______________________</w:t>
      </w:r>
    </w:p>
    <w:p>
      <w:pPr>
        <w:spacing w:after="240" w:before="0"/>
      </w:pPr>
      <w:r>
        <w:t xml:space="preserve"/>
      </w:r>
    </w:p>
    <w:p>
      <w:pPr>
        <w:pStyle w:val="Heading2"/>
      </w:pPr>
      <w:r>
        <w:t xml:space="preserve">Signed for and on behalf of the Processor</w:t>
      </w:r>
    </w:p>
    <w:p>
      <w:pPr>
        <w:pStyle w:val="Clause"/>
      </w:pPr>
      <w:r>
        <w:rPr>
          <w:b/>
          <w:bCs/>
        </w:rPr>
        <w:t xml:space="preserve">Tensile Infrastructure Ltd</w:t>
      </w:r>
    </w:p>
    <w:p>
      <w:pPr>
        <w:pBdr>
          <w:bottom w:val="single" w:color="333333" w:sz="6" w:space="1"/>
        </w:pBdr>
        <w:spacing w:after="0" w:before="360"/>
      </w:pPr>
      <w:r>
        <w:t xml:space="preserve"/>
      </w:r>
    </w:p>
    <w:p>
      <w:pPr>
        <w:pStyle w:val="Clause"/>
      </w:pPr>
      <w:r>
        <w:t xml:space="preserve">Name: [PROVIDER SIGNATORY NAME]</w:t>
      </w:r>
    </w:p>
    <w:p>
      <w:pPr>
        <w:pStyle w:val="Clause"/>
      </w:pPr>
      <w:r>
        <w:t xml:space="preserve">Title: Director</w:t>
      </w:r>
    </w:p>
    <w:p>
      <w:pPr>
        <w:pStyle w:val="Clause"/>
      </w:pPr>
      <w:r>
        <w:t xml:space="preserve">Date: ______________________</w:t>
      </w:r>
    </w:p>
    <w:p>
      <w:pPr>
        <w:pageBreakBefore/>
      </w:pPr>
      <w:r>
        <w:t xml:space="preserve"/>
      </w:r>
    </w:p>
    <w:p>
      <w:pPr>
        <w:pStyle w:val="Heading1"/>
      </w:pPr>
      <w:r>
        <w:t xml:space="preserve">Annex 1 — Details of the Processing</w:t>
      </w:r>
    </w:p>
    <w:p>
      <w:pPr>
        <w:pStyle w:val="Heading3"/>
      </w:pPr>
      <w:r>
        <w:t xml:space="preserve">Subject-matter of the processing</w:t>
      </w:r>
    </w:p>
    <w:p>
      <w:pPr>
        <w:pStyle w:val="Clause"/>
      </w:pPr>
      <w:r>
        <w:t xml:space="preserve">Provision of software maintenance, monitoring, patching, and audit services by the Processor to the Controller under the Principal Agreement.</w:t>
      </w:r>
    </w:p>
    <w:p>
      <w:pPr>
        <w:pStyle w:val="Heading3"/>
      </w:pPr>
      <w:r>
        <w:t xml:space="preserve">Duration of the processing</w:t>
      </w:r>
    </w:p>
    <w:p>
      <w:pPr>
        <w:pStyle w:val="Clause"/>
      </w:pPr>
      <w:r>
        <w:t xml:space="preserve">For the term of the Principal Agreement, plus the retention period set out in clause 11 of this DPA.</w:t>
      </w:r>
    </w:p>
    <w:p>
      <w:pPr>
        <w:pStyle w:val="Heading3"/>
      </w:pPr>
      <w:r>
        <w:t xml:space="preserve">Nature and purpose of the processing</w:t>
      </w:r>
    </w:p>
    <w:p>
      <w:pPr>
        <w:pStyle w:val="Clause"/>
      </w:pPr>
      <w:r>
        <w:t xml:space="preserve">Processing is incidental to the technical services provided. Personal Data is not the subject of the processing; it arises from the fact that production systems maintained by the Processor necessarily contain Personal Data belonging to the Controller's end users. Purposes include diagnosing production incidents, applying security patches, testing fixes in staging environments where realistic data is required, and investigating errors surfaced in logs.</w:t>
      </w:r>
    </w:p>
    <w:p>
      <w:pPr>
        <w:pStyle w:val="Heading3"/>
      </w:pPr>
      <w:r>
        <w:t xml:space="preserve">Types of Personal Data (illustrative — to be confirmed per engagement)</w:t>
      </w:r>
    </w:p>
    <w:p>
      <w:pPr>
        <w:pStyle w:val="Clause"/>
        <w:numPr>
          <w:ilvl w:val="0"/>
          <w:numId w:val="2"/>
        </w:numPr>
      </w:pPr>
      <w:r>
        <w:t xml:space="preserve">Identification data of the Controller's end users (names, user IDs, email addresses).</w:t>
      </w:r>
    </w:p>
    <w:p>
      <w:pPr>
        <w:pStyle w:val="Clause"/>
        <w:numPr>
          <w:ilvl w:val="0"/>
          <w:numId w:val="2"/>
        </w:numPr>
      </w:pPr>
      <w:r>
        <w:t xml:space="preserve">Authentication data (hashed passwords, session tokens, API keys) — accessed only in exceptional incident-response circumstances.</w:t>
      </w:r>
    </w:p>
    <w:p>
      <w:pPr>
        <w:pStyle w:val="Clause"/>
        <w:numPr>
          <w:ilvl w:val="0"/>
          <w:numId w:val="2"/>
        </w:numPr>
      </w:pPr>
      <w:r>
        <w:t xml:space="preserve">Contact data (email addresses, postal addresses, telephone numbers) where present in the Controller's application database.</w:t>
      </w:r>
    </w:p>
    <w:p>
      <w:pPr>
        <w:pStyle w:val="Clause"/>
        <w:numPr>
          <w:ilvl w:val="0"/>
          <w:numId w:val="2"/>
        </w:numPr>
      </w:pPr>
      <w:r>
        <w:t xml:space="preserve">Usage and log data (IP addresses, timestamps, request paths, user-agent strings) observable in application logs and observability tooling.</w:t>
      </w:r>
    </w:p>
    <w:p>
      <w:pPr>
        <w:pStyle w:val="Clause"/>
        <w:numPr>
          <w:ilvl w:val="0"/>
          <w:numId w:val="2"/>
        </w:numPr>
      </w:pPr>
      <w:r>
        <w:t xml:space="preserve">Any other Personal Data incidentally present in code, configuration, logs, or databases of the systems maintained under the Principal Agreement.</w:t>
      </w:r>
    </w:p>
    <w:p>
      <w:pPr>
        <w:pStyle w:val="Heading3"/>
      </w:pPr>
      <w:r>
        <w:t xml:space="preserve">Categories of Data Subject</w:t>
      </w:r>
    </w:p>
    <w:p>
      <w:pPr>
        <w:pStyle w:val="Clause"/>
        <w:numPr>
          <w:ilvl w:val="0"/>
          <w:numId w:val="2"/>
        </w:numPr>
      </w:pPr>
      <w:r>
        <w:t xml:space="preserve">End users of the Controller's systems (customers, registered users, site visitors).</w:t>
      </w:r>
    </w:p>
    <w:p>
      <w:pPr>
        <w:pStyle w:val="Clause"/>
        <w:numPr>
          <w:ilvl w:val="0"/>
          <w:numId w:val="2"/>
        </w:numPr>
      </w:pPr>
      <w:r>
        <w:t xml:space="preserve">Employees and contractors of the Controller with accounts in the systems.</w:t>
      </w:r>
    </w:p>
    <w:p>
      <w:pPr>
        <w:pStyle w:val="Clause"/>
        <w:numPr>
          <w:ilvl w:val="0"/>
          <w:numId w:val="2"/>
        </w:numPr>
      </w:pPr>
      <w:r>
        <w:t xml:space="preserve">Any other individuals whose Personal Data is held by the Controller in the systems.</w:t>
      </w:r>
    </w:p>
    <w:p>
      <w:pPr>
        <w:pStyle w:val="Heading3"/>
      </w:pPr>
      <w:r>
        <w:t xml:space="preserve">Special category data</w:t>
      </w:r>
    </w:p>
    <w:p>
      <w:pPr>
        <w:pStyle w:val="Clause"/>
      </w:pPr>
      <w:r>
        <w:t xml:space="preserve">Not routinely processed. The Controller shall inform the Processor in advance if any covered system contains special category data under Article 9 UK GDPR or criminal-offence data under Article 10 UK GDPR, so that additional safeguards can be agreed before work commences.</w:t>
      </w:r>
    </w:p>
    <w:p>
      <w:pPr>
        <w:spacing w:after="300" w:before="0"/>
      </w:pPr>
      <w:r>
        <w:t xml:space="preserve"/>
      </w:r>
    </w:p>
    <w:p>
      <w:pPr>
        <w:pStyle w:val="Heading1"/>
      </w:pPr>
      <w:r>
        <w:t xml:space="preserve">Annex 2 — Approved Sub-processors</w:t>
      </w:r>
    </w:p>
    <w:p>
      <w:pPr>
        <w:pStyle w:val="Clause"/>
      </w:pPr>
      <w:r>
        <w:t xml:space="preserve">The Processor uses the following Sub-processors as at the Effective Date. Each is used because it is essential to the operation of the Processor's business, has industry-standard security and data-protection practices, and offers contractual processor terms compatible with this DPA.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Sub-processor</w:t>
            </w:r>
          </w:p>
        </w:tc>
        <w:tc>
          <w:tcPr>
            <w:tcW w:type="dxa" w:w="3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Purpose</w:t>
            </w:r>
          </w:p>
        </w:tc>
        <w:tc>
          <w:tcPr>
            <w:tcW w:type="dxa" w:w="18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Location</w:t>
            </w:r>
          </w:p>
        </w:tc>
        <w:tc>
          <w:tcPr>
            <w:tcW w:type="dxa" w:w="196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Transfer mechanism</w:t>
            </w:r>
          </w:p>
        </w:tc>
      </w:tr>
      <w:tr>
        <w:tc>
          <w:tcPr>
            <w:tcW w:type="dxa" w:w="2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Google (Google Workspace)</w:t>
            </w:r>
          </w:p>
        </w:tc>
        <w:tc>
          <w:tcPr>
            <w:tcW w:type="dxa" w:w="32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Business email, document storage, calendar</w:t>
            </w:r>
          </w:p>
        </w:tc>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EU / US</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IDTA / UK Addendum to EU SCCs</w:t>
            </w:r>
          </w:p>
        </w:tc>
      </w:tr>
      <w:tr>
        <w:tc>
          <w:tcPr>
            <w:tcW w:type="dxa" w:w="2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Linear Orbit Inc.</w:t>
            </w:r>
          </w:p>
        </w:tc>
        <w:tc>
          <w:tcPr>
            <w:tcW w:type="dxa" w:w="32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Ticket and issue tracking</w:t>
            </w:r>
          </w:p>
        </w:tc>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US</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IDTA / UK Addendum</w:t>
            </w:r>
          </w:p>
        </w:tc>
      </w:tr>
      <w:tr>
        <w:tc>
          <w:tcPr>
            <w:tcW w:type="dxa" w:w="2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Slack Technologies LLC</w:t>
            </w:r>
          </w:p>
        </w:tc>
        <w:tc>
          <w:tcPr>
            <w:tcW w:type="dxa" w:w="32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communications via Slack Connect</w:t>
            </w:r>
          </w:p>
        </w:tc>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US</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IDTA / UK Addendum</w:t>
            </w:r>
          </w:p>
        </w:tc>
      </w:tr>
      <w:tr>
        <w:tc>
          <w:tcPr>
            <w:tcW w:type="dxa" w:w="2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Stripe Payments UK Ltd</w:t>
            </w:r>
          </w:p>
        </w:tc>
        <w:tc>
          <w:tcPr>
            <w:tcW w:type="dxa" w:w="32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Invoicing and payment processing (billing contact data only)</w:t>
            </w:r>
          </w:p>
        </w:tc>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 EU</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(adequate)</w:t>
            </w:r>
          </w:p>
        </w:tc>
      </w:tr>
      <w:tr>
        <w:tc>
          <w:tcPr>
            <w:tcW w:type="dxa" w:w="2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AgileBits Inc. (1Password)</w:t>
            </w:r>
          </w:p>
        </w:tc>
        <w:tc>
          <w:tcPr>
            <w:tcW w:type="dxa" w:w="32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Encrypted credential storage</w:t>
            </w:r>
          </w:p>
        </w:tc>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Canada</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adequacy regulation</w:t>
            </w:r>
          </w:p>
        </w:tc>
      </w:tr>
      <w:tr>
        <w:tc>
          <w:tcPr>
            <w:tcW w:type="dxa" w:w="24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FreeAgent Central Ltd (or Xero)</w:t>
            </w:r>
          </w:p>
        </w:tc>
        <w:tc>
          <w:tcPr>
            <w:tcW w:type="dxa" w:w="32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Accounting and invoice records</w:t>
            </w:r>
          </w:p>
        </w:tc>
        <w:tc>
          <w:tcPr>
            <w:tcW w:type="dxa" w:w="1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w:t>
            </w:r>
          </w:p>
        </w:tc>
        <w:tc>
          <w:tcPr>
            <w:tcW w:type="dxa" w:w="19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UK (no transfer)</w:t>
            </w:r>
          </w:p>
        </w:tc>
      </w:tr>
    </w:tbl>
    <w:p>
      <w:pPr>
        <w:spacing w:after="200" w:before="0"/>
      </w:pPr>
      <w:r>
        <w:t xml:space="preserve"/>
      </w:r>
    </w:p>
    <w:p>
      <w:pPr>
        <w:pStyle w:val="Clause"/>
      </w:pPr>
      <w:r>
        <w:rPr>
          <w:color w:val="666666"/>
        </w:rPr>
        <w:t xml:space="preserve">The Processor will update this Annex via a formal amendment to this DPA whenever a Sub-processor is added, removed, or replaced, in accordance with clause 5.</w:t>
      </w:r>
    </w:p>
    <w:p>
      <w:pPr>
        <w:spacing w:after="300" w:before="0"/>
      </w:pPr>
      <w:r>
        <w:t xml:space="preserve"/>
      </w:r>
    </w:p>
    <w:p>
      <w:pPr>
        <w:pStyle w:val="Heading1"/>
      </w:pPr>
      <w:r>
        <w:t xml:space="preserve">Annex 3 — Technical and Organisational Measures</w:t>
      </w:r>
    </w:p>
    <w:p>
      <w:pPr>
        <w:pStyle w:val="Heading3"/>
      </w:pPr>
      <w:r>
        <w:t xml:space="preserve">Access control</w:t>
      </w:r>
    </w:p>
    <w:p>
      <w:pPr>
        <w:pStyle w:val="Clause"/>
        <w:numPr>
          <w:ilvl w:val="0"/>
          <w:numId w:val="2"/>
        </w:numPr>
      </w:pPr>
      <w:r>
        <w:t xml:space="preserve">All Processor accounts with access to Controller systems protected by multi-factor authentication.</w:t>
      </w:r>
    </w:p>
    <w:p>
      <w:pPr>
        <w:pStyle w:val="Clause"/>
        <w:numPr>
          <w:ilvl w:val="0"/>
          <w:numId w:val="2"/>
        </w:numPr>
      </w:pPr>
      <w:r>
        <w:t xml:space="preserve">Principle of least privilege — access granted only where necessary, removed promptly when no longer needed.</w:t>
      </w:r>
    </w:p>
    <w:p>
      <w:pPr>
        <w:pStyle w:val="Clause"/>
        <w:numPr>
          <w:ilvl w:val="0"/>
          <w:numId w:val="2"/>
        </w:numPr>
      </w:pPr>
      <w:r>
        <w:t xml:space="preserve">Device-level controls: automatic screen lock, strong passcode, and full-disk encryption on all Processor devices.</w:t>
      </w:r>
    </w:p>
    <w:p>
      <w:pPr>
        <w:pStyle w:val="Heading3"/>
      </w:pPr>
      <w:r>
        <w:t xml:space="preserve">Data protection in transit and at rest</w:t>
      </w:r>
    </w:p>
    <w:p>
      <w:pPr>
        <w:pStyle w:val="Clause"/>
        <w:numPr>
          <w:ilvl w:val="0"/>
          <w:numId w:val="2"/>
        </w:numPr>
      </w:pPr>
      <w:r>
        <w:t xml:space="preserve">All network connections to Controller systems via TLS 1.2 or above.</w:t>
      </w:r>
    </w:p>
    <w:p>
      <w:pPr>
        <w:pStyle w:val="Clause"/>
        <w:numPr>
          <w:ilvl w:val="0"/>
          <w:numId w:val="2"/>
        </w:numPr>
      </w:pPr>
      <w:r>
        <w:t xml:space="preserve">Source code repositories stored on encrypted disks on Processor devices only for the duration needed.</w:t>
      </w:r>
    </w:p>
    <w:p>
      <w:pPr>
        <w:pStyle w:val="Clause"/>
        <w:numPr>
          <w:ilvl w:val="0"/>
          <w:numId w:val="2"/>
        </w:numPr>
      </w:pPr>
      <w:r>
        <w:t xml:space="preserve">Credentials stored exclusively in 1Password (or equivalent audited password manager) and never in plaintext.</w:t>
      </w:r>
    </w:p>
    <w:p>
      <w:pPr>
        <w:pStyle w:val="Heading3"/>
      </w:pPr>
      <w:r>
        <w:t xml:space="preserve">Operational security</w:t>
      </w:r>
    </w:p>
    <w:p>
      <w:pPr>
        <w:pStyle w:val="Clause"/>
        <w:numPr>
          <w:ilvl w:val="0"/>
          <w:numId w:val="2"/>
        </w:numPr>
      </w:pPr>
      <w:r>
        <w:t xml:space="preserve">Documented incident response playbook covering detection, containment, communication, and remediation.</w:t>
      </w:r>
    </w:p>
    <w:p>
      <w:pPr>
        <w:pStyle w:val="Clause"/>
        <w:numPr>
          <w:ilvl w:val="0"/>
          <w:numId w:val="2"/>
        </w:numPr>
      </w:pPr>
      <w:r>
        <w:t xml:space="preserve">Regular review of access lists and Sub-processor posture.</w:t>
      </w:r>
    </w:p>
    <w:p>
      <w:pPr>
        <w:pStyle w:val="Clause"/>
        <w:numPr>
          <w:ilvl w:val="0"/>
          <w:numId w:val="2"/>
        </w:numPr>
      </w:pPr>
      <w:r>
        <w:t xml:space="preserve">Security patches applied to Processor devices within a reasonable period of release.</w:t>
      </w:r>
    </w:p>
    <w:p>
      <w:pPr>
        <w:pStyle w:val="Clause"/>
        <w:numPr>
          <w:ilvl w:val="0"/>
          <w:numId w:val="2"/>
        </w:numPr>
      </w:pPr>
      <w:r>
        <w:t xml:space="preserve">No use of shared accounts; all actions attributable to an individual user.</w:t>
      </w:r>
    </w:p>
    <w:p>
      <w:pPr>
        <w:pStyle w:val="Heading3"/>
      </w:pPr>
      <w:r>
        <w:t xml:space="preserve">Personnel</w:t>
      </w:r>
    </w:p>
    <w:p>
      <w:pPr>
        <w:pStyle w:val="Clause"/>
        <w:numPr>
          <w:ilvl w:val="0"/>
          <w:numId w:val="2"/>
        </w:numPr>
      </w:pPr>
      <w:r>
        <w:t xml:space="preserve">All personnel bound by written confidentiality obligations.</w:t>
      </w:r>
    </w:p>
    <w:p>
      <w:pPr>
        <w:pStyle w:val="Clause"/>
        <w:numPr>
          <w:ilvl w:val="0"/>
          <w:numId w:val="2"/>
        </w:numPr>
      </w:pPr>
      <w:r>
        <w:t xml:space="preserve">Data-protection and security awareness maintained through periodic review.</w:t>
      </w:r>
    </w:p>
    <w:p>
      <w:pPr>
        <w:pStyle w:val="Heading3"/>
      </w:pPr>
      <w:r>
        <w:t xml:space="preserve">Business continuity</w:t>
      </w:r>
    </w:p>
    <w:p>
      <w:pPr>
        <w:pStyle w:val="Clause"/>
        <w:numPr>
          <w:ilvl w:val="0"/>
          <w:numId w:val="2"/>
        </w:numPr>
      </w:pPr>
      <w:r>
        <w:t xml:space="preserve">Offsite encrypted backups of contracts, invoices, and operational records.</w:t>
      </w:r>
    </w:p>
    <w:p>
      <w:pPr>
        <w:pStyle w:val="Clause"/>
        <w:numPr>
          <w:ilvl w:val="0"/>
          <w:numId w:val="2"/>
        </w:numPr>
      </w:pPr>
      <w:r>
        <w:t xml:space="preserve">Documented handover procedure to ensure continuity of service to Controllers in the event of Processor personnel unavailability.</w:t>
      </w:r>
    </w:p>
    <w:p>
      <w:pPr>
        <w:spacing w:after="400" w:before="0"/>
      </w:pPr>
      <w:r>
        <w:t xml:space="preserve"/>
      </w:r>
    </w:p>
    <w:p>
      <w:pPr>
        <w:spacing w:after="0" w:before="400"/>
        <w:jc w:val="center"/>
      </w:pPr>
      <w:r>
        <w:rPr>
          <w:i/>
          <w:iCs/>
          <w:color w:val="666666"/>
          <w:sz w:val="18"/>
          <w:szCs w:val="18"/>
        </w:rPr>
        <w:t xml:space="preserve">This document is a template. It must be reviewed by a qualified solicitor admitted in England and Wales before first use with a client. Replace all bracketed placeholders before signing.</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Data Processing Agreement · Template v1.0</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dc:title>
  <dc:creator>Tensile Infrastructure Ltd</dc:creator>
  <dc:description>Standalone Article 28 UK GDPR Data Processing Agreement template</dc:description>
  <cp:lastModifiedBy>Un-named</cp:lastModifiedBy>
  <cp:revision>1</cp:revision>
  <dcterms:created xsi:type="dcterms:W3CDTF">2026-04-10T18:22:52.650Z</dcterms:created>
  <dcterms:modified xsi:type="dcterms:W3CDTF">2026-04-10T18:22:52.650Z</dcterms:modified>
</cp:coreProperties>
</file>

<file path=docProps/custom.xml><?xml version="1.0" encoding="utf-8"?>
<Properties xmlns="http://schemas.openxmlformats.org/officeDocument/2006/custom-properties" xmlns:vt="http://schemas.openxmlformats.org/officeDocument/2006/docPropsVTypes"/>
</file>