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40" w:before="200"/>
      </w:pPr>
      <w:r>
        <w:rPr>
          <w:b/>
          <w:bCs/>
          <w:color w:val="666666"/>
          <w:sz w:val="18"/>
          <w:szCs w:val="18"/>
        </w:rPr>
        <w:t xml:space="preserve">MONTHLY RETAINER UPDATE</w:t>
      </w:r>
    </w:p>
    <w:p>
      <w:pPr>
        <w:pStyle w:val="Title"/>
      </w:pPr>
      <w:r>
        <w:t xml:space="preserve">[Client Name] — [Covered Core System]</w:t>
      </w:r>
    </w:p>
    <w:p>
      <w:pPr>
        <w:pStyle w:val="Subtitle"/>
      </w:pPr>
      <w:r>
        <w:t xml:space="preserve">[Month Year] · Prepared [DD Month YYYY]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Covered core system</w:t>
            </w:r>
          </w:p>
        </w:tc>
        <w:tc>
          <w:tcPr>
            <w:tcW w:type="dxa" w:w="69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[Named production application or service, as per Schedule A of the retainer agreement]</w:t>
            </w:r>
          </w:p>
        </w:tc>
      </w:tr>
      <w:tr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9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[1 Month YYYY – end Month YYYY]</w:t>
            </w:r>
          </w:p>
        </w:tc>
      </w:tr>
      <w:tr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Tensile Infrastructure Ltd · Company No. 17139591</w:t>
            </w:r>
          </w:p>
        </w:tc>
      </w:tr>
      <w:tr>
        <w:tc>
          <w:tcPr>
            <w:tcW w:type="dxa" w:w="2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Next invoice date</w:t>
            </w:r>
          </w:p>
        </w:tc>
        <w:tc>
          <w:tcPr>
            <w:tcW w:type="dxa" w:w="69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[1 Next-Month YYYY]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</w:pPr>
      <w:r>
        <w:t xml:space="preserve">Summary</w:t>
      </w:r>
    </w:p>
    <w:p>
      <w:pPr>
        <w:pBdr>
          <w:left w:val="single" w:color="002352" w:sz="24" w:space="8"/>
        </w:pBdr>
        <w:spacing w:after="120" w:before="120"/>
        <w:ind w:left="360"/>
      </w:pPr>
      <w:r>
        <w:rPr>
          <w:color w:val="1A1A1A"/>
          <w:sz w:val="22"/>
          <w:szCs w:val="22"/>
        </w:rPr>
        <w:t xml:space="preserve">[X] dependency updates were applied to this covered core system this month. </w:t>
      </w:r>
      <w:r>
        <w:rPr>
          <w:color w:val="1A1A1A"/>
          <w:sz w:val="22"/>
          <w:szCs w:val="22"/>
        </w:rPr>
        <w:t xml:space="preserve">No security vulnerabilities were identified and uptime held across the monitored supporting services. </w:t>
      </w:r>
      <w:r>
        <w:rPr>
          <w:i/>
          <w:iCs/>
          <w:color w:val="666666"/>
          <w:sz w:val="22"/>
          <w:szCs w:val="22"/>
        </w:rPr>
        <w:t xml:space="preserve">[Adjust to reflect what actually happened — keep to 2–3 sentences.]</w:t>
      </w:r>
    </w:p>
    <w:p>
      <w:pPr>
        <w:pStyle w:val="Heading1"/>
      </w:pPr>
      <w:r>
        <w:t xml:space="preserve">Uptime</w:t>
      </w:r>
    </w:p>
    <w:p>
      <w:pPr>
        <w:pStyle w:val="Heading2"/>
      </w:pPr>
      <w:r>
        <w:t xml:space="preserve">Monitored services for this covered core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1480"/>
        <w:gridCol w:w="1480"/>
      </w:tblGrid>
      <w:tr>
        <w:tc>
          <w:tcPr>
            <w:tcW w:type="dxa" w:w="4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Service / URL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Status</w:t>
            </w:r>
          </w:p>
        </w:tc>
        <w:tc>
          <w:tcPr>
            <w:tcW w:type="dxa" w:w="14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Uptime</w:t>
            </w:r>
          </w:p>
        </w:tc>
        <w:tc>
          <w:tcPr>
            <w:tcW w:type="dxa" w:w="14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SLA target</w:t>
            </w:r>
          </w:p>
        </w:tc>
      </w:tr>
      <w:tr>
        <w:tc>
          <w:tcPr>
            <w:tcW w:type="dxa" w:w="4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[https://client-site.co.uk]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D7A2D"/>
                <w:sz w:val="20"/>
                <w:szCs w:val="20"/>
              </w:rPr>
              <w:t xml:space="preserve">Healthy</w:t>
            </w:r>
          </w:p>
        </w:tc>
        <w:tc>
          <w:tcPr>
            <w:tcW w:type="dxa" w:w="14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[99.95%]</w:t>
            </w:r>
          </w:p>
        </w:tc>
        <w:tc>
          <w:tcPr>
            <w:tcW w:type="dxa" w:w="14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99.5%</w:t>
            </w:r>
          </w:p>
        </w:tc>
      </w:tr>
      <w:tr>
        <w:tc>
          <w:tcPr>
            <w:tcW w:type="dxa" w:w="4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[Add supporting services / endpoints as applicable]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148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99.5%</w:t>
            </w:r>
          </w:p>
        </w:tc>
      </w:tr>
    </w:tbl>
    <w:p>
      <w:pPr>
        <w:pStyle w:val="Caption"/>
      </w:pPr>
      <w:r>
        <w:t xml:space="preserve">Supporting services should only include the datastore and endpoints directly supporting this covered core system.</w:t>
      </w:r>
    </w:p>
    <w:p>
      <w:pPr>
        <w:pStyle w:val="Clause"/>
      </w:pPr>
      <w:r>
        <w:t xml:space="preserve">No incidents were recorded this month.</w:t>
      </w:r>
    </w:p>
    <w:p>
      <w:pPr>
        <w:pStyle w:val="Caption"/>
      </w:pPr>
      <w:r>
        <w:t xml:space="preserve">Delete the line above if there were incidents and complete the Incidents section below.</w:t>
      </w:r>
    </w:p>
    <w:p>
      <w:pPr>
        <w:pStyle w:val="Heading1"/>
      </w:pPr>
      <w:r>
        <w:t xml:space="preserve">Dependencies</w:t>
      </w:r>
    </w:p>
    <w:p>
      <w:pPr>
        <w:pStyle w:val="Heading2"/>
      </w:pPr>
      <w:r>
        <w:t xml:space="preserve">Updates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1360"/>
      </w:tblGrid>
      <w:tr>
        <w:tc>
          <w:tcPr>
            <w:tcW w:type="dxa" w:w="4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Previous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Updated to</w:t>
            </w:r>
          </w:p>
        </w:tc>
        <w:tc>
          <w:tcPr>
            <w:tcW w:type="dxa" w:w="1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[package-name]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[1.2.3]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[1.2.4]</w:t>
            </w:r>
          </w:p>
        </w:tc>
        <w:tc>
          <w:tcPr>
            <w:tcW w:type="dxa" w:w="1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Patch</w:t>
            </w:r>
          </w:p>
        </w:tc>
      </w:tr>
      <w:tr>
        <w:tc>
          <w:tcPr>
            <w:tcW w:type="dxa" w:w="4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[package-name]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[4.0.1]</w:t>
            </w:r>
          </w:p>
        </w:tc>
        <w:tc>
          <w:tcPr>
            <w:tcW w:type="dxa" w:w="2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[4.1.0]</w:t>
            </w:r>
          </w:p>
        </w:tc>
        <w:tc>
          <w:tcPr>
            <w:tcW w:type="dxa" w:w="13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Minor</w:t>
            </w:r>
          </w:p>
        </w:tc>
      </w:tr>
    </w:tbl>
    <w:p>
      <w:pPr>
        <w:pStyle w:val="Heading3"/>
      </w:pPr>
      <w:r>
        <w:t xml:space="preserve">Held back</w:t>
      </w:r>
    </w:p>
    <w:p>
      <w:pPr>
        <w:pStyle w:val="Clause"/>
      </w:pPr>
      <w:r>
        <w:t xml:space="preserve">[Package name] — [Reason. E.g. major version requiring review of breaking changes before applying. Scheduled for next month.]</w:t>
      </w:r>
    </w:p>
    <w:p>
      <w:pPr>
        <w:pStyle w:val="Caption"/>
      </w:pPr>
      <w:r>
        <w:t xml:space="preserve">Delete this block if nothing was held back.</w:t>
      </w:r>
    </w:p>
    <w:p>
      <w:pPr>
        <w:pStyle w:val="Heading1"/>
      </w:pPr>
      <w:r>
        <w:t xml:space="preserve">Security</w:t>
      </w:r>
    </w:p>
    <w:p>
      <w:pPr>
        <w:pStyle w:val="Heading2"/>
      </w:pPr>
      <w:r>
        <w:t xml:space="preserve">Vulnerability status</w:t>
      </w:r>
    </w:p>
    <w:p>
      <w:pPr>
        <w:pStyle w:val="Clause"/>
      </w:pPr>
      <w:r>
        <w:t xml:space="preserve">No new CVEs affecting the current dependency tree were identified this month.</w:t>
      </w:r>
    </w:p>
    <w:p>
      <w:pPr>
        <w:pStyle w:val="Caption"/>
      </w:pPr>
      <w:r>
        <w:t xml:space="preserve">Replace with specifics if any CVEs were identified or addressed. Include CVE reference numbers where relevant.</w:t>
      </w:r>
    </w:p>
    <w:p>
      <w:pPr>
        <w:pStyle w:val="Heading1"/>
      </w:pPr>
      <w:r>
        <w:t xml:space="preserve">Time spent this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60"/>
      </w:tblGrid>
      <w:tr>
        <w:tc>
          <w:tcPr>
            <w:tcW w:type="dxa" w:w="5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Hours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Within cap</w:t>
            </w:r>
          </w:p>
        </w:tc>
      </w:tr>
      <w:tr>
        <w:tc>
          <w:tcPr>
            <w:tcW w:type="dxa" w:w="5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Dependency review and updates</w:t>
            </w:r>
          </w:p>
        </w:tc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[X.X]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Security patching and review</w:t>
            </w:r>
          </w:p>
        </w:tc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[X.X]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Incident response (if applicable)</w:t>
            </w:r>
          </w:p>
        </w:tc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[X.X]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Monthly report preparation</w:t>
            </w:r>
          </w:p>
        </w:tc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[X.X]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Not counted</w:t>
            </w:r>
          </w:p>
        </w:tc>
      </w:tr>
      <w:tr>
        <w:tc>
          <w:tcPr>
            <w:tcW w:type="dxa" w:w="50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Total active work (cap: 8 hours)</w:t>
            </w:r>
          </w:p>
        </w:tc>
        <w:tc>
          <w:tcPr>
            <w:tcW w:type="dxa" w:w="22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[X.X] / 8.0</w:t>
            </w:r>
          </w:p>
        </w:tc>
        <w:tc>
          <w:tcPr>
            <w:tcW w:type="dxa" w:w="21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7F8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 </w:t>
            </w:r>
          </w:p>
        </w:tc>
      </w:tr>
    </w:tbl>
    <w:p>
      <w:pPr>
        <w:pStyle w:val="Caption"/>
      </w:pPr>
      <w:r>
        <w:t xml:space="preserve">The Monthly Cap is eight (8) hours of active work per covered core system per calendar month under clause 2 of the retainer agreement. Passive monitoring and reporting do not count against the cap. Unused hours do not roll over.</w:t>
      </w:r>
    </w:p>
    <w:p>
      <w:pPr>
        <w:pStyle w:val="Heading1"/>
      </w:pPr>
      <w:r>
        <w:t xml:space="preserve">Incidents</w:t>
      </w:r>
    </w:p>
    <w:p>
      <w:pPr>
        <w:pStyle w:val="Heading2"/>
      </w:pPr>
      <w:r>
        <w:t xml:space="preserve">Response log</w:t>
      </w:r>
    </w:p>
    <w:p>
      <w:pPr>
        <w:pStyle w:val="Clause"/>
      </w:pPr>
      <w:r>
        <w:t xml:space="preserve">No incidents this month.</w:t>
      </w:r>
    </w:p>
    <w:p>
      <w:pPr>
        <w:pStyle w:val="Caption"/>
      </w:pPr>
      <w:r>
        <w:t xml:space="preserve">Replace with the table below if there were incidents. Delete both this line and the table if not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400"/>
        <w:gridCol w:w="2960"/>
      </w:tblGrid>
      <w:tr>
        <w:tc>
          <w:tcPr>
            <w:tcW w:type="dxa" w:w="1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002352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6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[DD/MM/YY]</w:t>
            </w:r>
          </w:p>
        </w:tc>
        <w:tc>
          <w:tcPr>
            <w:tcW w:type="dxa" w:w="1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[X min]</w:t>
            </w:r>
          </w:p>
        </w:tc>
        <w:tc>
          <w:tcPr>
            <w:tcW w:type="dxa" w:w="340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[What was affected and how]</w:t>
            </w:r>
          </w:p>
        </w:tc>
        <w:tc>
          <w:tcPr>
            <w:tcW w:type="dxa" w:w="2960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[How it was resolved]</w:t>
            </w:r>
          </w:p>
        </w:tc>
      </w:tr>
    </w:tbl>
    <w:p>
      <w:pPr>
        <w:pStyle w:val="Caption"/>
      </w:pPr>
      <w:r>
        <w:t xml:space="preserve">Response SLA: 8 business hours for critical production breaks (Monday to Friday, 09:00–17:00 UK time). Out-of-hours incidents are not covered by the SLA. Log all incidents here regardless of severity.</w:t>
      </w:r>
    </w:p>
    <w:p>
      <w:pPr>
        <w:pStyle w:val="Heading1"/>
      </w:pPr>
      <w:r>
        <w:t xml:space="preserve">Next month</w:t>
      </w:r>
    </w:p>
    <w:p>
      <w:pPr>
        <w:pStyle w:val="Heading2"/>
      </w:pPr>
      <w:r>
        <w:t xml:space="preserve">What to expect</w:t>
      </w:r>
    </w:p>
    <w:p>
      <w:pPr>
        <w:pStyle w:val="Clause"/>
        <w:numPr>
          <w:ilvl w:val="0"/>
          <w:numId w:val="2"/>
        </w:numPr>
      </w:pPr>
      <w:r>
        <w:t xml:space="preserve">[Dependency upgrades or work already identified for next month.]</w:t>
      </w:r>
    </w:p>
    <w:p>
      <w:pPr>
        <w:pStyle w:val="Clause"/>
        <w:numPr>
          <w:ilvl w:val="0"/>
          <w:numId w:val="2"/>
        </w:numPr>
      </w:pPr>
      <w:r>
        <w:t xml:space="preserve">[Major version updates that need review or sign-off before applying.]</w:t>
      </w:r>
    </w:p>
    <w:p>
      <w:pPr>
        <w:pStyle w:val="Clause"/>
        <w:numPr>
          <w:ilvl w:val="0"/>
          <w:numId w:val="2"/>
        </w:numPr>
      </w:pPr>
      <w:r>
        <w:t xml:space="preserve">[Anything flagged this month that warrants attention going forward.]</w:t>
      </w:r>
    </w:p>
    <w:p>
      <w:pPr>
        <w:pStyle w:val="Caption"/>
      </w:pPr>
      <w:r>
        <w:t xml:space="preserve">Use this section to flag anything that needs a decision or input from the client before next month. Keep it specific to this covered core system.</w:t>
      </w:r>
    </w:p>
    <w:p>
      <w:pPr>
        <w:pStyle w:val="Heading1"/>
      </w:pPr>
      <w:r>
        <w:t xml:space="preserve">Notes</w:t>
      </w:r>
    </w:p>
    <w:p>
      <w:pPr>
        <w:pStyle w:val="Clause"/>
      </w:pPr>
      <w:r>
        <w:t xml:space="preserve">[Use this section for observations about the codebase, patterns worth monitoring, or anything that does not fit above. Delete this block if nothing to add.]</w:t>
      </w:r>
    </w:p>
    <w:p>
      <w:pPr>
        <w:spacing w:after="300" w:before="0"/>
      </w:pPr>
      <w:r>
        <w:t xml:space="preserve"/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Questions? </w:t>
      </w:r>
      <w:r>
        <w:rPr>
          <w:b/>
          <w:bCs/>
          <w:color w:val="002352"/>
          <w:sz w:val="20"/>
          <w:szCs w:val="20"/>
        </w:rPr>
        <w:t xml:space="preserve">hello@tensileinfrastructure.co.uk</w:t>
      </w:r>
    </w:p>
    <w:p>
      <w:pPr>
        <w:spacing w:before="80"/>
        <w:jc w:val="center"/>
      </w:pPr>
      <w:r>
        <w:rPr>
          <w:i/>
          <w:iCs/>
          <w:color w:val="666666"/>
          <w:sz w:val="18"/>
          <w:szCs w:val="18"/>
        </w:rPr>
        <w:t xml:space="preserve">Your next invoice will be issued on [1 Next-Month YYYY].</w:t>
      </w:r>
    </w:p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 w:space="6"/>
      </w:pBdr>
      <w:tabs>
        <w:tab w:val="right" w:pos="9360"/>
      </w:tabs>
      <w:spacing w:before="60"/>
    </w:pPr>
    <w:r>
      <w:rPr>
        <w:color w:val="666666"/>
        <w:sz w:val="16"/>
        <w:szCs w:val="16"/>
      </w:rPr>
      <w:t xml:space="preserve">Tensile Infrastructure Ltd  ·  Company No. 17139591  ·  </w:t>
    </w:r>
    <w:r>
      <w:rPr>
        <w:i/>
        <w:iCs/>
        <w:color w:val="666666"/>
        <w:sz w:val="16"/>
        <w:szCs w:val="16"/>
      </w:rPr>
      <w:t xml:space="preserve">Monthly Retainer Update · Confidential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1714500" cy="523875"/>
          <wp:effectExtent t="0" r="0" b="0" l="0"/>
          <wp:docPr id="1" name="logo" descr="Tensile Infrastructure logo" title="Tensile Infrastru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2352" w:sz="6" w:space="4"/>
      </w:pBdr>
      <w:spacing w:after="0" w:before="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002352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 w:val="false"/>
      <w:iCs w:val="false"/>
      <w:color w:val="666666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23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235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  <w:style w:type="paragraph" w:styleId="Clause">
    <w:name w:val="Clause"/>
    <w:basedOn w:val="Normal"/>
    <w:next w:val="Normal"/>
    <w:pPr>
      <w:spacing w:after="80" w:before="80" w:line="300"/>
    </w:pPr>
    <w:rPr>
      <w:rFonts w:ascii="Arial" w:cs="Arial" w:eastAsia="Arial" w:hAnsi="Arial"/>
      <w:color w:val="333333"/>
      <w:sz w:val="22"/>
      <w:szCs w:val="22"/>
    </w:rPr>
  </w:style>
  <w:style w:type="paragraph" w:styleId="Caption">
    <w:name w:val="Caption"/>
    <w:basedOn w:val="Normal"/>
    <w:next w:val="Normal"/>
    <w:pPr>
      <w:spacing w:after="120" w:before="60"/>
    </w:pPr>
    <w:rPr>
      <w:rFonts w:ascii="Arial" w:cs="Arial" w:eastAsia="Arial" w:hAnsi="Arial"/>
      <w:i/>
      <w:iCs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7bb148841f003836646a851760eaf898653db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Retainer Update</dc:title>
  <dc:creator>Tensile Infrastructure Ltd</dc:creator>
  <dc:description>Monthly retainer update template</dc:description>
  <cp:lastModifiedBy>Un-named</cp:lastModifiedBy>
  <cp:revision>1</cp:revision>
  <dcterms:created xsi:type="dcterms:W3CDTF">2026-04-10T06:23:53.749Z</dcterms:created>
  <dcterms:modified xsi:type="dcterms:W3CDTF">2026-04-10T06:23:53.749Z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