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Client Offboarding &amp; Handover Checklist</w:t>
      </w:r>
    </w:p>
    <w:p>
      <w:pPr>
        <w:pStyle w:val="Subtitle"/>
      </w:pPr>
      <w:r>
        <w:t xml:space="preserve">Clean exit procedure for ending a Safety Retainer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Client</w:t>
            </w:r>
          </w:p>
        </w:tc>
        <w:tc>
          <w:tcPr>
            <w:tcW w:type="dxa" w:w="7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[CLIENT LEGAL NAME]</w:t>
            </w:r>
          </w:p>
        </w:tc>
      </w:tr>
      <w:tr>
        <w:tc>
          <w:tcPr>
            <w:tcW w:type="dxa" w:w="22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Covered systems</w:t>
            </w:r>
          </w:p>
        </w:tc>
        <w:tc>
          <w:tcPr>
            <w:tcW w:type="dxa" w:w="7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[LIST SYSTEMS — as per Schedule A of the Retainer Agreement]</w:t>
            </w:r>
          </w:p>
        </w:tc>
      </w:tr>
      <w:tr>
        <w:tc>
          <w:tcPr>
            <w:tcW w:type="dxa" w:w="22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Notice served</w:t>
            </w:r>
          </w:p>
        </w:tc>
        <w:tc>
          <w:tcPr>
            <w:tcW w:type="dxa" w:w="7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[NOTICE DATE] — by [Client / Provider]</w:t>
            </w:r>
          </w:p>
        </w:tc>
      </w:tr>
      <w:tr>
        <w:tc>
          <w:tcPr>
            <w:tcW w:type="dxa" w:w="22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Effective end date</w:t>
            </w:r>
          </w:p>
        </w:tc>
        <w:tc>
          <w:tcPr>
            <w:tcW w:type="dxa" w:w="7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[END DATE — must be at least 30 days after Notice Served per clause 3]</w:t>
            </w:r>
          </w:p>
        </w:tc>
      </w:tr>
      <w:tr>
        <w:tc>
          <w:tcPr>
            <w:tcW w:type="dxa" w:w="22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Reason for exit</w:t>
            </w:r>
          </w:p>
        </w:tc>
        <w:tc>
          <w:tcPr>
            <w:tcW w:type="dxa" w:w="7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[Client request / Retainer not renewed / Notice under clause 3 / Breach]</w:t>
            </w:r>
          </w:p>
        </w:tc>
      </w:tr>
    </w:tbl>
    <w:p>
      <w:pPr>
        <w:spacing w:after="200" w:before="0"/>
      </w:pPr>
      <w:r>
        <w:t xml:space="preserve"/>
      </w:r>
    </w:p>
    <w:p>
      <w:pPr>
        <w:pStyle w:val="Clause"/>
      </w:pPr>
      <w:r>
        <w:t xml:space="preserve">This checklist documents the clean-exit procedure that must be followed whenever a Safety Retainer ends, whether by natural non-renewal, notice under clause 3 of the Retainer Agreement, mutual agreement, or termination for breach. Completing every item protects both parties, satisfies the Provider's data-protection obligations under clause 11.3 of the Retainer Agreement, and ensures no loose credentials or half-finished work are left behind.</w:t>
      </w:r>
    </w:p>
    <w:p>
      <w:pPr>
        <w:pStyle w:val="Clause"/>
      </w:pPr>
      <w:r>
        <w:rPr>
          <w:color w:val="666666"/>
        </w:rPr>
        <w:t xml:space="preserve">Print this checklist (or copy it into Linear as a single offboarding ticket) at the point notice is given. Do not mark items complete until the underlying action has actually been taken. Retain the completed checklist in the client folder for six (6) years to satisfy limitation-period requirements.</w:t>
      </w:r>
    </w:p>
    <w:p>
      <w:pPr>
        <w:pStyle w:val="Heading1"/>
      </w:pPr>
      <w:r>
        <w:t xml:space="preserve">Phase 1 — Notice Period (Day 0 to End Date)</w:t>
      </w:r>
    </w:p>
    <w:p>
      <w:pPr>
        <w:pStyle w:val="Heading3"/>
      </w:pPr>
      <w:r>
        <w:t xml:space="preserve">Acknowledge and confirm</w:t>
      </w:r>
    </w:p>
    <w:p>
      <w:pPr>
        <w:pStyle w:val="Clause"/>
        <w:numPr>
          <w:ilvl w:val="0"/>
          <w:numId w:val="2"/>
        </w:numPr>
      </w:pPr>
      <w:r>
        <w:t xml:space="preserve">Send written acknowledgement of notice within two (2) working days, confirming the effective end date.</w:t>
      </w:r>
    </w:p>
    <w:p>
      <w:pPr>
        <w:pStyle w:val="Clause"/>
        <w:numPr>
          <w:ilvl w:val="0"/>
          <w:numId w:val="2"/>
        </w:numPr>
      </w:pPr>
      <w:r>
        <w:t xml:space="preserve">Confirm which clause of the Retainer Agreement is being invoked (clause 3.1 natural, clause 3.2 for-cause, clause 3.3 insolvency, or mutual).</w:t>
      </w:r>
    </w:p>
    <w:p>
      <w:pPr>
        <w:pStyle w:val="Clause"/>
        <w:numPr>
          <w:ilvl w:val="0"/>
          <w:numId w:val="2"/>
        </w:numPr>
      </w:pPr>
      <w:r>
        <w:t xml:space="preserve">Raise a single "OFFBOARDING — [client name]" epic in Linear and link every item in this checklist as a sub-task.</w:t>
      </w:r>
    </w:p>
    <w:p>
      <w:pPr>
        <w:pStyle w:val="Clause"/>
        <w:numPr>
          <w:ilvl w:val="0"/>
          <w:numId w:val="2"/>
        </w:numPr>
      </w:pPr>
      <w:r>
        <w:t xml:space="preserve">Block the calendar for the offboarding handover call in the final week of the notice period.</w:t>
      </w:r>
    </w:p>
    <w:p>
      <w:pPr>
        <w:pStyle w:val="Heading3"/>
      </w:pPr>
      <w:r>
        <w:t xml:space="preserve">Continued service during notice</w:t>
      </w:r>
    </w:p>
    <w:p>
      <w:pPr>
        <w:pStyle w:val="Clause"/>
        <w:numPr>
          <w:ilvl w:val="0"/>
          <w:numId w:val="2"/>
        </w:numPr>
      </w:pPr>
      <w:r>
        <w:t xml:space="preserve">Confirm in writing that SLAs, monitoring, and the 8-hour Monthly Cap continue to apply until the End Date.</w:t>
      </w:r>
    </w:p>
    <w:p>
      <w:pPr>
        <w:pStyle w:val="Clause"/>
        <w:numPr>
          <w:ilvl w:val="0"/>
          <w:numId w:val="2"/>
        </w:numPr>
      </w:pPr>
      <w:r>
        <w:t xml:space="preserve">Continue to deliver the Monthly Retainer Update for any full month falling within the notice period.</w:t>
      </w:r>
    </w:p>
    <w:p>
      <w:pPr>
        <w:pStyle w:val="Clause"/>
        <w:numPr>
          <w:ilvl w:val="0"/>
          <w:numId w:val="2"/>
        </w:numPr>
      </w:pPr>
      <w:r>
        <w:t xml:space="preserve">Flag to the client that no new large pieces of work will be started in the final 10 days of the notice period — only stabilisation and handover.</w:t>
      </w:r>
    </w:p>
    <w:p>
      <w:pPr>
        <w:pStyle w:val="Heading3"/>
      </w:pPr>
      <w:r>
        <w:t xml:space="preserve">Financial wrap-up</w:t>
      </w:r>
    </w:p>
    <w:p>
      <w:pPr>
        <w:pStyle w:val="Clause"/>
        <w:numPr>
          <w:ilvl w:val="0"/>
          <w:numId w:val="2"/>
        </w:numPr>
      </w:pPr>
      <w:r>
        <w:t xml:space="preserve">Generate the final pro-rata invoice (or confirm no further invoices are due).</w:t>
      </w:r>
    </w:p>
    <w:p>
      <w:pPr>
        <w:pStyle w:val="Clause"/>
        <w:numPr>
          <w:ilvl w:val="0"/>
          <w:numId w:val="2"/>
        </w:numPr>
      </w:pPr>
      <w:r>
        <w:t xml:space="preserve">Check for any outstanding invoices and chase to clearance before End Date.</w:t>
      </w:r>
    </w:p>
    <w:p>
      <w:pPr>
        <w:pStyle w:val="Clause"/>
        <w:numPr>
          <w:ilvl w:val="0"/>
          <w:numId w:val="2"/>
        </w:numPr>
      </w:pPr>
      <w:r>
        <w:t xml:space="preserve">Confirm any in-flight separate statements of work under clause 2.4 — either complete before End Date or agree a written carve-out.</w:t>
      </w:r>
    </w:p>
    <w:p>
      <w:pPr>
        <w:pStyle w:val="Clause"/>
        <w:numPr>
          <w:ilvl w:val="0"/>
          <w:numId w:val="2"/>
        </w:numPr>
      </w:pPr>
      <w:r>
        <w:t xml:space="preserve">Cancel or allow lapse any auto-renewal in the client's billing record.</w:t>
      </w:r>
    </w:p>
    <w:p>
      <w:pPr>
        <w:pStyle w:val="Heading1"/>
      </w:pPr>
      <w:r>
        <w:t xml:space="preserve">Phase 2 — Technical Handover (Final Week)</w:t>
      </w:r>
    </w:p>
    <w:p>
      <w:pPr>
        <w:pStyle w:val="Heading3"/>
      </w:pPr>
      <w:r>
        <w:t xml:space="preserve">Documentation hand-over</w:t>
      </w:r>
    </w:p>
    <w:p>
      <w:pPr>
        <w:pStyle w:val="Clause"/>
        <w:numPr>
          <w:ilvl w:val="0"/>
          <w:numId w:val="2"/>
        </w:numPr>
      </w:pPr>
      <w:r>
        <w:t xml:space="preserve">Export a consolidated Handover Pack (PDF) containing: covered systems summary, runtime versions, dependency status, open PRs, known risks, last 12 months of Monthly Updates.</w:t>
      </w:r>
    </w:p>
    <w:p>
      <w:pPr>
        <w:pStyle w:val="Clause"/>
        <w:numPr>
          <w:ilvl w:val="0"/>
          <w:numId w:val="2"/>
        </w:numPr>
      </w:pPr>
      <w:r>
        <w:t xml:space="preserve">Include the prioritised action list from the most recent health scan so the client's internal team can pick up where the Provider left off.</w:t>
      </w:r>
    </w:p>
    <w:p>
      <w:pPr>
        <w:pStyle w:val="Clause"/>
        <w:numPr>
          <w:ilvl w:val="0"/>
          <w:numId w:val="2"/>
        </w:numPr>
      </w:pPr>
      <w:r>
        <w:t xml:space="preserve">Document any non-obvious operational knowledge: bespoke deploy steps, known-flaky tests, third-party contacts, rate-limit thresholds, backup restore procedure.</w:t>
      </w:r>
    </w:p>
    <w:p>
      <w:pPr>
        <w:pStyle w:val="Clause"/>
        <w:numPr>
          <w:ilvl w:val="0"/>
          <w:numId w:val="2"/>
        </w:numPr>
      </w:pPr>
      <w:r>
        <w:t xml:space="preserve">Upload the Handover Pack to the client's nominated storage (or send via encrypted email) and obtain written confirmation of receipt.</w:t>
      </w:r>
    </w:p>
    <w:p>
      <w:pPr>
        <w:pStyle w:val="Heading3"/>
      </w:pPr>
      <w:r>
        <w:t xml:space="preserve">Repository and code</w:t>
      </w:r>
    </w:p>
    <w:p>
      <w:pPr>
        <w:pStyle w:val="Clause"/>
        <w:numPr>
          <w:ilvl w:val="0"/>
          <w:numId w:val="2"/>
        </w:numPr>
      </w:pPr>
      <w:r>
        <w:t xml:space="preserve">Merge or close all open Provider-authored pull requests — either landed, abandoned, or documented as deliberately left for the client.</w:t>
      </w:r>
    </w:p>
    <w:p>
      <w:pPr>
        <w:pStyle w:val="Clause"/>
        <w:numPr>
          <w:ilvl w:val="0"/>
          <w:numId w:val="2"/>
        </w:numPr>
      </w:pPr>
      <w:r>
        <w:t xml:space="preserve">Confirm no local branches contain unpushed work of value.</w:t>
      </w:r>
    </w:p>
    <w:p>
      <w:pPr>
        <w:pStyle w:val="Clause"/>
        <w:numPr>
          <w:ilvl w:val="0"/>
          <w:numId w:val="2"/>
        </w:numPr>
      </w:pPr>
      <w:r>
        <w:t xml:space="preserve">Ensure every commit authored by the Provider is attributed to the Provider's business email address, not a personal one.</w:t>
      </w:r>
    </w:p>
    <w:p>
      <w:pPr>
        <w:pStyle w:val="Clause"/>
        <w:numPr>
          <w:ilvl w:val="0"/>
          <w:numId w:val="2"/>
        </w:numPr>
      </w:pPr>
      <w:r>
        <w:t xml:space="preserve">Remove any Provider-owned CI/CD integrations that are no longer required.</w:t>
      </w:r>
    </w:p>
    <w:p>
      <w:pPr>
        <w:pStyle w:val="Heading3"/>
      </w:pPr>
      <w:r>
        <w:t xml:space="preserve">Monitoring and automation teardown</w:t>
      </w:r>
    </w:p>
    <w:p>
      <w:pPr>
        <w:pStyle w:val="Clause"/>
        <w:numPr>
          <w:ilvl w:val="0"/>
          <w:numId w:val="2"/>
        </w:numPr>
      </w:pPr>
      <w:r>
        <w:t xml:space="preserve">Remove Provider-owned UptimeRobot / Better Stack / Checkly monitors covering the client's endpoints, or transfer ownership where requested.</w:t>
      </w:r>
    </w:p>
    <w:p>
      <w:pPr>
        <w:pStyle w:val="Clause"/>
        <w:numPr>
          <w:ilvl w:val="0"/>
          <w:numId w:val="2"/>
        </w:numPr>
      </w:pPr>
      <w:r>
        <w:t xml:space="preserve">Remove or pause Provider-side Dependabot / Renovate configurations managed on the Provider's account.</w:t>
      </w:r>
    </w:p>
    <w:p>
      <w:pPr>
        <w:pStyle w:val="Clause"/>
        <w:numPr>
          <w:ilvl w:val="0"/>
          <w:numId w:val="2"/>
        </w:numPr>
      </w:pPr>
      <w:r>
        <w:t xml:space="preserve">Delete or transfer any scheduled Provider-side scans, cron jobs, or Worker deployments used for monitoring the client's systems.</w:t>
      </w:r>
    </w:p>
    <w:p>
      <w:pPr>
        <w:pStyle w:val="Clause"/>
        <w:numPr>
          <w:ilvl w:val="0"/>
          <w:numId w:val="2"/>
        </w:numPr>
      </w:pPr>
      <w:r>
        <w:t xml:space="preserve">Confirm the client has (or knows how to set up) equivalent monitoring going forward.</w:t>
      </w:r>
    </w:p>
    <w:p>
      <w:pPr>
        <w:pStyle w:val="Heading1"/>
      </w:pPr>
      <w:r>
        <w:t xml:space="preserve">Phase 3 — Handover Call</w:t>
      </w:r>
    </w:p>
    <w:p>
      <w:pPr>
        <w:pStyle w:val="Clause"/>
      </w:pPr>
      <w:r>
        <w:t xml:space="preserve">A single 30-45 minute handover call must take place before the End Date. The purpose is to walk the client's nominated technical lead through the Handover Pack, demonstrate where artefacts have been stored, and answer questions. This is explicitly not an opportunity to negotiate a new retainer.</w:t>
      </w:r>
    </w:p>
    <w:p>
      <w:pPr>
        <w:pStyle w:val="Clause"/>
        <w:numPr>
          <w:ilvl w:val="0"/>
          <w:numId w:val="2"/>
        </w:numPr>
      </w:pPr>
      <w:r>
        <w:t xml:space="preserve">Call scheduled and held with client technical lead.</w:t>
      </w:r>
    </w:p>
    <w:p>
      <w:pPr>
        <w:pStyle w:val="Clause"/>
        <w:numPr>
          <w:ilvl w:val="0"/>
          <w:numId w:val="2"/>
        </w:numPr>
      </w:pPr>
      <w:r>
        <w:t xml:space="preserve">Handover Pack walked through section by section.</w:t>
      </w:r>
    </w:p>
    <w:p>
      <w:pPr>
        <w:pStyle w:val="Clause"/>
        <w:numPr>
          <w:ilvl w:val="0"/>
          <w:numId w:val="2"/>
        </w:numPr>
      </w:pPr>
      <w:r>
        <w:t xml:space="preserve">Open questions answered or documented as follow-ups.</w:t>
      </w:r>
    </w:p>
    <w:p>
      <w:pPr>
        <w:pStyle w:val="Clause"/>
        <w:numPr>
          <w:ilvl w:val="0"/>
          <w:numId w:val="2"/>
        </w:numPr>
      </w:pPr>
      <w:r>
        <w:t xml:space="preserve">Client confirmed in writing (email sufficient) that handover is complete.</w:t>
      </w:r>
    </w:p>
    <w:p>
      <w:pPr>
        <w:pStyle w:val="Heading1"/>
      </w:pPr>
      <w:r>
        <w:t xml:space="preserve">Phase 4 — Credential and Access Revocation (End Date + 1)</w:t>
      </w:r>
    </w:p>
    <w:p>
      <w:pPr>
        <w:pStyle w:val="Clause"/>
      </w:pPr>
      <w:r>
        <w:rPr>
          <w:b/>
          <w:bCs/>
        </w:rPr>
        <w:t xml:space="preserve">This phase happens the working day after the End Date. It is the single most important part of offboarding and must be signed off personally by the Provider director.</w:t>
      </w:r>
    </w:p>
    <w:p>
      <w:pPr>
        <w:pStyle w:val="Heading3"/>
      </w:pPr>
      <w:r>
        <w:t xml:space="preserve">Provider removes its own access</w:t>
      </w:r>
    </w:p>
    <w:p>
      <w:pPr>
        <w:pStyle w:val="Clause"/>
        <w:numPr>
          <w:ilvl w:val="0"/>
          <w:numId w:val="2"/>
        </w:numPr>
      </w:pPr>
      <w:r>
        <w:t xml:space="preserve">Remove Provider accounts from the client's GitHub / GitLab organisation (or downgrade to no access).</w:t>
      </w:r>
    </w:p>
    <w:p>
      <w:pPr>
        <w:pStyle w:val="Clause"/>
        <w:numPr>
          <w:ilvl w:val="0"/>
          <w:numId w:val="2"/>
        </w:numPr>
      </w:pPr>
      <w:r>
        <w:t xml:space="preserve">Remove Provider accounts from any cloud platforms (AWS, GCP, Azure, Cloudflare, Vercel, Fly.io, Railway).</w:t>
      </w:r>
    </w:p>
    <w:p>
      <w:pPr>
        <w:pStyle w:val="Clause"/>
        <w:numPr>
          <w:ilvl w:val="0"/>
          <w:numId w:val="2"/>
        </w:numPr>
      </w:pPr>
      <w:r>
        <w:t xml:space="preserve">Remove Provider accounts from deployment tooling, CI/CD, and secret managers.</w:t>
      </w:r>
    </w:p>
    <w:p>
      <w:pPr>
        <w:pStyle w:val="Clause"/>
        <w:numPr>
          <w:ilvl w:val="0"/>
          <w:numId w:val="2"/>
        </w:numPr>
      </w:pPr>
      <w:r>
        <w:t xml:space="preserve">Leave any shared Slack Connect channels used for the engagement. Do not simply mute — leave.</w:t>
      </w:r>
    </w:p>
    <w:p>
      <w:pPr>
        <w:pStyle w:val="Clause"/>
        <w:numPr>
          <w:ilvl w:val="0"/>
          <w:numId w:val="2"/>
        </w:numPr>
      </w:pPr>
      <w:r>
        <w:t xml:space="preserve">Remove Provider accounts from any observability tooling (Sentry, Datadog, Grafana, Logtail).</w:t>
      </w:r>
    </w:p>
    <w:p>
      <w:pPr>
        <w:pStyle w:val="Clause"/>
        <w:numPr>
          <w:ilvl w:val="0"/>
          <w:numId w:val="2"/>
        </w:numPr>
      </w:pPr>
      <w:r>
        <w:t xml:space="preserve">Remove Provider accounts from the client's Linear/Jira project if access was granted.</w:t>
      </w:r>
    </w:p>
    <w:p>
      <w:pPr>
        <w:pStyle w:val="Heading3"/>
      </w:pPr>
      <w:r>
        <w:t xml:space="preserve">Client revokes Provider access</w:t>
      </w:r>
    </w:p>
    <w:p>
      <w:pPr>
        <w:pStyle w:val="Clause"/>
        <w:numPr>
          <w:ilvl w:val="0"/>
          <w:numId w:val="2"/>
        </w:numPr>
      </w:pPr>
      <w:r>
        <w:t xml:space="preserve">Client confirms in writing that it has revoked any SSH keys, deploy keys, and personal access tokens issued to the Provider.</w:t>
      </w:r>
    </w:p>
    <w:p>
      <w:pPr>
        <w:pStyle w:val="Clause"/>
        <w:numPr>
          <w:ilvl w:val="0"/>
          <w:numId w:val="2"/>
        </w:numPr>
      </w:pPr>
      <w:r>
        <w:t xml:space="preserve">Client confirms rotation of any shared secrets, webhook signing secrets, or API keys that were known to the Provider.</w:t>
      </w:r>
    </w:p>
    <w:p>
      <w:pPr>
        <w:pStyle w:val="Clause"/>
        <w:numPr>
          <w:ilvl w:val="0"/>
          <w:numId w:val="2"/>
        </w:numPr>
      </w:pPr>
      <w:r>
        <w:t xml:space="preserve">Client confirms removal of Provider IP addresses from any allow-lists.</w:t>
      </w:r>
    </w:p>
    <w:p>
      <w:pPr>
        <w:pStyle w:val="Clause"/>
        <w:numPr>
          <w:ilvl w:val="0"/>
          <w:numId w:val="2"/>
        </w:numPr>
      </w:pPr>
      <w:r>
        <w:t xml:space="preserve">Record the date and time of each revocation in the offboarding ticket.</w:t>
      </w:r>
    </w:p>
    <w:p>
      <w:pPr>
        <w:pStyle w:val="Heading3"/>
      </w:pPr>
      <w:r>
        <w:t xml:space="preserve">Provider data destruction (clause 11.3)</w:t>
      </w:r>
    </w:p>
    <w:p>
      <w:pPr>
        <w:pStyle w:val="Clause"/>
        <w:numPr>
          <w:ilvl w:val="0"/>
          <w:numId w:val="2"/>
        </w:numPr>
      </w:pPr>
      <w:r>
        <w:t xml:space="preserve">Delete local clones of the client's repositories from all Provider machines.</w:t>
      </w:r>
    </w:p>
    <w:p>
      <w:pPr>
        <w:pStyle w:val="Clause"/>
        <w:numPr>
          <w:ilvl w:val="0"/>
          <w:numId w:val="2"/>
        </w:numPr>
      </w:pPr>
      <w:r>
        <w:t xml:space="preserve">Delete any exported databases, log files, or screenshots stored locally.</w:t>
      </w:r>
    </w:p>
    <w:p>
      <w:pPr>
        <w:pStyle w:val="Clause"/>
        <w:numPr>
          <w:ilvl w:val="0"/>
          <w:numId w:val="2"/>
        </w:numPr>
      </w:pPr>
      <w:r>
        <w:t xml:space="preserve">Delete stored credentials from 1Password / Bitwarden / equivalent.</w:t>
      </w:r>
    </w:p>
    <w:p>
      <w:pPr>
        <w:pStyle w:val="Clause"/>
        <w:numPr>
          <w:ilvl w:val="0"/>
          <w:numId w:val="2"/>
        </w:numPr>
      </w:pPr>
      <w:r>
        <w:t xml:space="preserve">Empty the "client data" section of the Provider's encrypted working drive.</w:t>
      </w:r>
    </w:p>
    <w:p>
      <w:pPr>
        <w:pStyle w:val="Clause"/>
        <w:numPr>
          <w:ilvl w:val="0"/>
          <w:numId w:val="2"/>
        </w:numPr>
      </w:pPr>
      <w:r>
        <w:t xml:space="preserve">Retain only: signed contracts, invoices, the Handover Pack cover letter, and the completed offboarding checklist. These are retained for six (6) years for legal and tax purposes under clause 11.3 of the Retainer Agreement.</w:t>
      </w:r>
    </w:p>
    <w:p>
      <w:pPr>
        <w:pStyle w:val="Clause"/>
        <w:numPr>
          <w:ilvl w:val="0"/>
          <w:numId w:val="2"/>
        </w:numPr>
      </w:pPr>
      <w:r>
        <w:t xml:space="preserve">Provider director signs the data-destruction attestation in the offboarding ticket.</w:t>
      </w:r>
    </w:p>
    <w:p>
      <w:pPr>
        <w:pStyle w:val="Heading1"/>
      </w:pPr>
      <w:r>
        <w:t xml:space="preserve">Phase 5 — Post-Exit (End Date + 7 days)</w:t>
      </w:r>
    </w:p>
    <w:p>
      <w:pPr>
        <w:pStyle w:val="Clause"/>
        <w:numPr>
          <w:ilvl w:val="0"/>
          <w:numId w:val="2"/>
        </w:numPr>
      </w:pPr>
      <w:r>
        <w:t xml:space="preserve">Send a brief "offboarding complete" email confirming all access has been revoked, data destroyed per clause 11.3, and closing the engagement formally.</w:t>
      </w:r>
    </w:p>
    <w:p>
      <w:pPr>
        <w:pStyle w:val="Clause"/>
        <w:numPr>
          <w:ilvl w:val="0"/>
          <w:numId w:val="2"/>
        </w:numPr>
      </w:pPr>
      <w:r>
        <w:t xml:space="preserve">Ask the client (politely, once) whether they are willing to act as a reference or provide a short written testimonial. Accept any answer gracefully.</w:t>
      </w:r>
    </w:p>
    <w:p>
      <w:pPr>
        <w:pStyle w:val="Clause"/>
        <w:numPr>
          <w:ilvl w:val="0"/>
          <w:numId w:val="2"/>
        </w:numPr>
      </w:pPr>
      <w:r>
        <w:t xml:space="preserve">Move the client folder in Tide/Xero/Drive from "Active" to "Archive — [YEAR]".</w:t>
      </w:r>
    </w:p>
    <w:p>
      <w:pPr>
        <w:pStyle w:val="Clause"/>
        <w:numPr>
          <w:ilvl w:val="0"/>
          <w:numId w:val="2"/>
        </w:numPr>
      </w:pPr>
      <w:r>
        <w:t xml:space="preserve">Close the offboarding Linear epic.</w:t>
      </w:r>
    </w:p>
    <w:p>
      <w:pPr>
        <w:pStyle w:val="Clause"/>
        <w:numPr>
          <w:ilvl w:val="0"/>
          <w:numId w:val="2"/>
        </w:numPr>
      </w:pPr>
      <w:r>
        <w:t xml:space="preserve">Add a 30-day reminder to check whether the client has fallen over without the retainer — if they have, a clean offboarding positions the Provider well for a re-engagement conversation.</w:t>
      </w:r>
    </w:p>
    <w:p>
      <w:pPr>
        <w:pStyle w:val="Heading1"/>
      </w:pPr>
      <w:r>
        <w:t xml:space="preserve">Final sign-off</w:t>
      </w:r>
    </w:p>
    <w:p>
      <w:pPr>
        <w:pStyle w:val="Clause"/>
      </w:pPr>
      <w:r>
        <w:t xml:space="preserve">By signing below, the Provider confirms that every applicable item in this checklist has been completed, that all Provider access has been removed from the client's systems, and that Client confidential information has been destroyed in accordance with clause 11.3 of the Retainer Agreement.</w:t>
      </w:r>
    </w:p>
    <w:p>
      <w:pPr>
        <w:spacing w:after="200" w:before="0"/>
      </w:pPr>
      <w:r>
        <w:t xml:space="preserve"/>
      </w:r>
    </w:p>
    <w:p>
      <w:pPr>
        <w:pStyle w:val="Clause"/>
      </w:pPr>
      <w:r>
        <w:rPr>
          <w:b/>
          <w:bCs/>
        </w:rPr>
        <w:t xml:space="preserve">Provider director</w:t>
      </w:r>
    </w:p>
    <w:p>
      <w:pPr>
        <w:pBdr>
          <w:bottom w:val="single" w:color="333333" w:sz="6" w:space="1"/>
        </w:pBdr>
        <w:spacing w:after="0" w:before="360"/>
      </w:pPr>
      <w:r>
        <w:t xml:space="preserve"/>
      </w:r>
    </w:p>
    <w:p>
      <w:pPr>
        <w:pStyle w:val="Clause"/>
      </w:pPr>
      <w:r>
        <w:t xml:space="preserve">Name: ______________________</w:t>
      </w:r>
    </w:p>
    <w:p>
      <w:pPr>
        <w:pStyle w:val="Clause"/>
      </w:pPr>
      <w:r>
        <w:t xml:space="preserve">Date: ______________________</w:t>
      </w:r>
    </w:p>
    <w:p>
      <w:pPr>
        <w:spacing w:after="400" w:before="0"/>
      </w:pPr>
      <w:r>
        <w:t xml:space="preserve"/>
      </w:r>
    </w:p>
    <w:p>
      <w:pPr>
        <w:spacing w:after="0" w:before="400"/>
        <w:jc w:val="center"/>
      </w:pPr>
      <w:r>
        <w:rPr>
          <w:i/>
          <w:iCs/>
          <w:color w:val="666666"/>
          <w:sz w:val="18"/>
          <w:szCs w:val="18"/>
        </w:rPr>
        <w:t xml:space="preserve">This is an internal operational checklist. Unlike the retainer agreement, it does not require solicitor review, but should be updated whenever the underlying Retainer Agreement changes.</w:t>
      </w:r>
    </w:p>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8D8" w:sz="4" w:space="6"/>
      </w:pBdr>
      <w:tabs>
        <w:tab w:val="right" w:pos="9360"/>
      </w:tabs>
      <w:spacing w:before="60"/>
    </w:pPr>
    <w:r>
      <w:rPr>
        <w:color w:val="666666"/>
        <w:sz w:val="16"/>
        <w:szCs w:val="16"/>
      </w:rPr>
      <w:t xml:space="preserve">Tensile Infrastructure Ltd  ·  Company No. 17139591  ·  </w:t>
    </w:r>
    <w:r>
      <w:rPr>
        <w:i/>
        <w:iCs/>
        <w:color w:val="666666"/>
        <w:sz w:val="16"/>
        <w:szCs w:val="16"/>
      </w:rPr>
      <w:t xml:space="preserve">Offboarding Checklist · Template v1.0</w:t>
    </w:r>
    <w:r>
      <w:rPr>
        <w:color w:val="666666"/>
        <w:sz w:val="16"/>
        <w:szCs w:val="16"/>
      </w:rPr>
      <w:t xml:space="preserve">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drawing>
        <wp:inline distT="0" distB="0" distL="0" distR="0">
          <wp:extent cx="1714500" cy="523875"/>
          <wp:effectExtent t="0" r="0" b="0" l="0"/>
          <wp:docPr id="1" name="logo" descr="Tensile Infrastructure logo" title="Tensile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523875"/>
                  </a:xfrm>
                  <a:prstGeom prst="rect">
                    <a:avLst/>
                  </a:prstGeom>
                </pic:spPr>
              </pic:pic>
            </a:graphicData>
          </a:graphic>
        </wp:inline>
      </w:drawing>
    </w:r>
  </w:p>
  <w:p>
    <w:pPr>
      <w:pBdr>
        <w:bottom w:val="single" w:color="002352" w:sz="6" w:space="4"/>
      </w:pBdr>
      <w:spacing w:after="0" w:before="4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Arial" w:cs="Arial" w:eastAsia="Arial" w:hAnsi="Arial"/>
      <w:b/>
      <w:bCs/>
      <w:color w:val="002352"/>
      <w:sz w:val="44"/>
      <w:szCs w:val="44"/>
    </w:rPr>
  </w:style>
  <w:style w:type="paragraph" w:styleId="Subtitle">
    <w:name w:val="Subtitle"/>
    <w:basedOn w:val="Normal"/>
    <w:next w:val="Normal"/>
    <w:qFormat/>
    <w:pPr>
      <w:spacing w:after="360" w:before="0"/>
    </w:pPr>
    <w:rPr>
      <w:rFonts w:ascii="Arial" w:cs="Arial" w:eastAsia="Arial" w:hAnsi="Arial"/>
      <w:i w:val="false"/>
      <w:iCs w:val="false"/>
      <w:color w:val="666666"/>
      <w:sz w:val="22"/>
      <w:szCs w:val="22"/>
    </w:rPr>
  </w:style>
  <w:style w:type="paragraph" w:styleId="Heading1">
    <w:name w:val="Heading 1"/>
    <w:basedOn w:val="Normal"/>
    <w:next w:val="Normal"/>
    <w:qFormat/>
    <w:pPr>
      <w:spacing w:after="160" w:before="360"/>
      <w:outlineLvl w:val="0"/>
    </w:pPr>
    <w:rPr>
      <w:rFonts w:ascii="Arial" w:cs="Arial" w:eastAsia="Arial" w:hAnsi="Arial"/>
      <w:b/>
      <w:bCs/>
      <w:color w:val="002352"/>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002352"/>
      <w:sz w:val="24"/>
      <w:szCs w:val="24"/>
    </w:rPr>
  </w:style>
  <w:style w:type="paragraph" w:styleId="Heading3">
    <w:name w:val="Heading 3"/>
    <w:basedOn w:val="Normal"/>
    <w:next w:val="Normal"/>
    <w:qFormat/>
    <w:pPr>
      <w:spacing w:after="80" w:before="240"/>
      <w:outlineLvl w:val="2"/>
    </w:pPr>
    <w:rPr>
      <w:rFonts w:ascii="Arial" w:cs="Arial" w:eastAsia="Arial" w:hAnsi="Arial"/>
      <w:b/>
      <w:bCs/>
      <w:color w:val="1A1A1A"/>
      <w:sz w:val="22"/>
      <w:szCs w:val="22"/>
    </w:rPr>
  </w:style>
  <w:style w:type="paragraph" w:styleId="Clause">
    <w:name w:val="Clause"/>
    <w:basedOn w:val="Normal"/>
    <w:next w:val="Normal"/>
    <w:pPr>
      <w:spacing w:after="80" w:before="80" w:line="300"/>
    </w:pPr>
    <w:rPr>
      <w:rFonts w:ascii="Arial" w:cs="Arial" w:eastAsia="Arial" w:hAnsi="Arial"/>
      <w:color w:val="333333"/>
      <w:sz w:val="22"/>
      <w:szCs w:val="22"/>
    </w:rPr>
  </w:style>
  <w:style w:type="paragraph" w:styleId="Caption">
    <w:name w:val="Caption"/>
    <w:basedOn w:val="Normal"/>
    <w:next w:val="Normal"/>
    <w:pPr>
      <w:spacing w:after="120" w:before="60"/>
    </w:pPr>
    <w:rPr>
      <w:rFonts w:ascii="Arial" w:cs="Arial" w:eastAsia="Arial" w:hAnsi="Arial"/>
      <w:i/>
      <w:iCs/>
      <w:color w:val="666666"/>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37bb148841f003836646a851760eaf898653db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Offboarding &amp; Handover Checklist</dc:title>
  <dc:creator>Tensile Infrastructure Ltd</dc:creator>
  <dc:description>Internal offboarding checklist template</dc:description>
  <cp:lastModifiedBy>Un-named</cp:lastModifiedBy>
  <cp:revision>1</cp:revision>
  <dcterms:created xsi:type="dcterms:W3CDTF">2026-04-10T18:22:52.549Z</dcterms:created>
  <dcterms:modified xsi:type="dcterms:W3CDTF">2026-04-10T18:22:52.549Z</dcterms:modified>
</cp:coreProperties>
</file>

<file path=docProps/custom.xml><?xml version="1.0" encoding="utf-8"?>
<Properties xmlns="http://schemas.openxmlformats.org/officeDocument/2006/custom-properties" xmlns:vt="http://schemas.openxmlformats.org/officeDocument/2006/docPropsVTypes"/>
</file>