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Software Maintenance Retainer Agreement</w:t>
      </w:r>
    </w:p>
    <w:p>
      <w:pPr>
        <w:pStyle w:val="Subtitle"/>
      </w:pPr>
      <w:r>
        <w:t xml:space="preserve">Ongoing monitoring, patching, and incident response for production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Provider</w:t>
            </w:r>
          </w:p>
        </w:tc>
        <w:tc>
          <w:tcPr>
            <w:tcW w:type="dxa" w:w="71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Tensile Infrastructure Ltd, a company registered in England and Wales (Company No. 17139591), whose registered office is at 71-75 Shelton Street, Covent Garden, London, WC2H 9JQ.</w:t>
            </w:r>
          </w:p>
        </w:tc>
      </w:tr>
      <w:tr>
        <w:tc>
          <w:tcPr>
            <w:tcW w:type="dxa" w:w="220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Client</w:t>
            </w:r>
          </w:p>
        </w:tc>
        <w:tc>
          <w:tcPr>
            <w:tcW w:type="dxa" w:w="71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[Client company name], [registered in England and Wales / incorporated in [jurisdiction]] (Company No. [XXXXXXXX]), whose registered office is at [Address].</w:t>
            </w:r>
          </w:p>
        </w:tc>
      </w:tr>
      <w:tr>
        <w:tc>
          <w:tcPr>
            <w:tcW w:type="dxa" w:w="220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Effective date</w:t>
            </w:r>
          </w:p>
        </w:tc>
        <w:tc>
          <w:tcPr>
            <w:tcW w:type="dxa" w:w="71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[DD Month YYYY]</w:t>
            </w:r>
          </w:p>
        </w:tc>
      </w:tr>
      <w:tr>
        <w:tc>
          <w:tcPr>
            <w:tcW w:type="dxa" w:w="220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Initial term</w:t>
            </w:r>
          </w:p>
        </w:tc>
        <w:tc>
          <w:tcPr>
            <w:tcW w:type="dxa" w:w="716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Rolling monthly, commencing on the Effective Date, subject to clause 3 (Term and termination).</w:t>
            </w:r>
          </w:p>
        </w:tc>
      </w:tr>
    </w:tbl>
    <w:p>
      <w:pPr>
        <w:spacing w:after="200" w:before="0"/>
      </w:pPr>
      <w:r>
        <w:t xml:space="preserve"/>
      </w:r>
    </w:p>
    <w:p>
      <w:pPr>
        <w:pStyle w:val="Clause"/>
      </w:pPr>
      <w:r>
        <w:t xml:space="preserve">This agreement is made between the Provider and the Client named above (each a “party”, together the “parties”) and governs the provision of ongoing software maintenance services by the Provider to the Client.</w:t>
      </w:r>
    </w:p>
    <w:p>
      <w:pPr>
        <w:pStyle w:val="Heading2"/>
      </w:pPr>
      <w:r>
        <w:t xml:space="preserve">1. Services</w:t>
      </w:r>
    </w:p>
    <w:p>
      <w:pPr>
        <w:pStyle w:val="Clause"/>
      </w:pPr>
      <w:r>
        <w:t xml:space="preserve">1.1  The Provider will supply the following services to the Client on a monthly rolling basis (the “Services”) in respect of each covered core system listed in Schedule A:</w:t>
      </w:r>
    </w:p>
    <w:p>
      <w:pPr>
        <w:pStyle w:val="Clause"/>
        <w:numPr>
          <w:ilvl w:val="0"/>
          <w:numId w:val="2"/>
        </w:numPr>
      </w:pPr>
      <w:r>
        <w:t xml:space="preserve">continuous monitoring of agreed production systems for availability and uptime;</w:t>
      </w:r>
    </w:p>
    <w:p>
      <w:pPr>
        <w:pStyle w:val="Clause"/>
        <w:numPr>
          <w:ilvl w:val="0"/>
          <w:numId w:val="2"/>
        </w:numPr>
      </w:pPr>
      <w:r>
        <w:t xml:space="preserve">review and, where appropriate, application of dependency updates and security patches;</w:t>
      </w:r>
    </w:p>
    <w:p>
      <w:pPr>
        <w:pStyle w:val="Clause"/>
        <w:numPr>
          <w:ilvl w:val="0"/>
          <w:numId w:val="2"/>
        </w:numPr>
      </w:pPr>
      <w:r>
        <w:t xml:space="preserve">a written monthly update summarising work completed, uptime performance, dependency activity, security posture, and any outstanding items;</w:t>
      </w:r>
    </w:p>
    <w:p>
      <w:pPr>
        <w:pStyle w:val="Clause"/>
        <w:numPr>
          <w:ilvl w:val="0"/>
          <w:numId w:val="2"/>
        </w:numPr>
      </w:pPr>
      <w:r>
        <w:t xml:space="preserve">an eight (8) business-hour response to critical production incidents during UK business hours (Monday to Friday, 09:00–17:00 UK time), where “critical” means a production system is fully unavailable or materially degraded.</w:t>
      </w:r>
    </w:p>
    <w:p>
      <w:pPr>
        <w:pStyle w:val="Clause"/>
      </w:pPr>
      <w:r>
        <w:t xml:space="preserve">1.2  The covered core systems, repositories, and production URLs to which the Services apply are set out in Schedule A. Each covered core system listed in Schedule A is billed separately in accordance with clause 4.</w:t>
      </w:r>
    </w:p>
    <w:p>
      <w:pPr>
        <w:pStyle w:val="Clause"/>
      </w:pPr>
      <w:r>
        <w:t xml:space="preserve">1.3  A “covered core system” means one named production application or service, plus the datastore and infrastructure directly supporting it. Separate applications, admin portals, marketing sites, APIs, worker services, and mobile apps are separate systems unless listed individually in Schedule A.</w:t>
      </w:r>
    </w:p>
    <w:p>
      <w:pPr>
        <w:pStyle w:val="Heading2"/>
      </w:pPr>
      <w:r>
        <w:t xml:space="preserve">2. Monthly time cap and out-of-scope work</w:t>
      </w:r>
    </w:p>
    <w:p>
      <w:pPr>
        <w:pStyle w:val="Clause"/>
      </w:pPr>
      <w:r>
        <w:t xml:space="preserve">2.1  The Services are capped at eight (8) hours of active work per covered core system per calendar month (the “Monthly Cap”). Passive monitoring, automated scans, routine dependency checks, and the preparation and delivery of the monthly update are not counted against the Monthly Cap.</w:t>
      </w:r>
    </w:p>
    <w:p>
      <w:pPr>
        <w:pStyle w:val="Clause"/>
      </w:pPr>
      <w:r>
        <w:t xml:space="preserve">2.2  Unused hours within the Monthly Cap do not roll over to subsequent months and are not refundable.</w:t>
      </w:r>
    </w:p>
    <w:p>
      <w:pPr>
        <w:pStyle w:val="Clause"/>
      </w:pPr>
      <w:r>
        <w:t xml:space="preserve">2.3  The Services do not include, and the Provider has no obligation to carry out, any of the following:</w:t>
      </w:r>
    </w:p>
    <w:p>
      <w:pPr>
        <w:pStyle w:val="Clause"/>
        <w:numPr>
          <w:ilvl w:val="0"/>
          <w:numId w:val="2"/>
        </w:numPr>
      </w:pPr>
      <w:r>
        <w:t xml:space="preserve">development of new features or functionality;</w:t>
      </w:r>
    </w:p>
    <w:p>
      <w:pPr>
        <w:pStyle w:val="Clause"/>
        <w:numPr>
          <w:ilvl w:val="0"/>
          <w:numId w:val="2"/>
        </w:numPr>
      </w:pPr>
      <w:r>
        <w:t xml:space="preserve">architectural changes, refactoring, or migrations;</w:t>
      </w:r>
    </w:p>
    <w:p>
      <w:pPr>
        <w:pStyle w:val="Clause"/>
        <w:numPr>
          <w:ilvl w:val="0"/>
          <w:numId w:val="2"/>
        </w:numPr>
      </w:pPr>
      <w:r>
        <w:t xml:space="preserve">issues arising from changes made to the codebase by the Client or any third party outside this agreement;</w:t>
      </w:r>
    </w:p>
    <w:p>
      <w:pPr>
        <w:pStyle w:val="Clause"/>
        <w:numPr>
          <w:ilvl w:val="0"/>
          <w:numId w:val="2"/>
        </w:numPr>
      </w:pPr>
      <w:r>
        <w:t xml:space="preserve">support for systems, codebases, or environments not listed in Schedule A;</w:t>
      </w:r>
    </w:p>
    <w:p>
      <w:pPr>
        <w:pStyle w:val="Clause"/>
        <w:numPr>
          <w:ilvl w:val="0"/>
          <w:numId w:val="2"/>
        </w:numPr>
      </w:pPr>
      <w:r>
        <w:t xml:space="preserve">out-of-hours incident response beyond the service level defined in clause 1.1;</w:t>
      </w:r>
    </w:p>
    <w:p>
      <w:pPr>
        <w:pStyle w:val="Clause"/>
        <w:numPr>
          <w:ilvl w:val="0"/>
          <w:numId w:val="2"/>
        </w:numPr>
      </w:pPr>
      <w:r>
        <w:t xml:space="preserve">penetration testing, formal security audits, or regulatory compliance certifications;</w:t>
      </w:r>
    </w:p>
    <w:p>
      <w:pPr>
        <w:pStyle w:val="Clause"/>
        <w:numPr>
          <w:ilvl w:val="0"/>
          <w:numId w:val="2"/>
        </w:numPr>
      </w:pPr>
      <w:r>
        <w:t xml:space="preserve">data recovery where no client-side backup exists.</w:t>
      </w:r>
    </w:p>
    <w:p>
      <w:pPr>
        <w:pStyle w:val="Clause"/>
      </w:pPr>
      <w:r>
        <w:t xml:space="preserve">2.4  Where the Client requests work outside the scope of the Services or in excess of the Monthly Cap, the Provider may, at its sole discretion, agree to carry out such work under a separate written statement of work at the Provider’s then-current hourly rate, such rate to be agreed in writing before work commences. Nothing in this agreement obliges the Provider to accept additional work.</w:t>
      </w:r>
    </w:p>
    <w:p>
      <w:pPr>
        <w:pStyle w:val="Heading2"/>
      </w:pPr>
      <w:r>
        <w:t xml:space="preserve">3. Term and termination</w:t>
      </w:r>
    </w:p>
    <w:p>
      <w:pPr>
        <w:pStyle w:val="Clause"/>
      </w:pPr>
      <w:r>
        <w:t xml:space="preserve">3.1  This agreement commences on the Effective Date and continues on a rolling monthly basis until terminated in accordance with this clause.</w:t>
      </w:r>
    </w:p>
    <w:p>
      <w:pPr>
        <w:pStyle w:val="Clause"/>
      </w:pPr>
      <w:r>
        <w:t xml:space="preserve">3.2  Either party may terminate this agreement by giving not less than thirty (30) days’ written notice to the other party. Notice takes effect from the date on which it is received.</w:t>
      </w:r>
    </w:p>
    <w:p>
      <w:pPr>
        <w:pStyle w:val="Clause"/>
      </w:pPr>
      <w:r>
        <w:t xml:space="preserve">3.3  Either party may terminate this agreement immediately by written notice if the other party:</w:t>
      </w:r>
    </w:p>
    <w:p>
      <w:pPr>
        <w:pStyle w:val="Clause"/>
        <w:numPr>
          <w:ilvl w:val="0"/>
          <w:numId w:val="2"/>
        </w:numPr>
      </w:pPr>
      <w:r>
        <w:t xml:space="preserve">commits a material breach of this agreement which, where capable of remedy, is not remedied within fourteen (14) days of written notice requiring it to do so;</w:t>
      </w:r>
    </w:p>
    <w:p>
      <w:pPr>
        <w:pStyle w:val="Clause"/>
        <w:numPr>
          <w:ilvl w:val="0"/>
          <w:numId w:val="2"/>
        </w:numPr>
      </w:pPr>
      <w:r>
        <w:t xml:space="preserve">becomes insolvent, unable to pay its debts as they fall due, enters into administration, liquidation, or any composition with its creditors, has a receiver or administrator appointed over any of its assets, or ceases or threatens to cease to carry on business; or</w:t>
      </w:r>
    </w:p>
    <w:p>
      <w:pPr>
        <w:pStyle w:val="Clause"/>
        <w:numPr>
          <w:ilvl w:val="0"/>
          <w:numId w:val="2"/>
        </w:numPr>
      </w:pPr>
      <w:r>
        <w:t xml:space="preserve">undergoes a change of control that, in the reasonable opinion of the terminating party, materially prejudices the performance of this agreement.</w:t>
      </w:r>
    </w:p>
    <w:p>
      <w:pPr>
        <w:pStyle w:val="Clause"/>
      </w:pPr>
      <w:r>
        <w:t xml:space="preserve">3.4  On termination or expiry of this agreement:</w:t>
      </w:r>
    </w:p>
    <w:p>
      <w:pPr>
        <w:pStyle w:val="Clause"/>
        <w:numPr>
          <w:ilvl w:val="0"/>
          <w:numId w:val="2"/>
        </w:numPr>
      </w:pPr>
      <w:r>
        <w:t xml:space="preserve">the Provider will deliver any monthly update due up to the effective date of termination;</w:t>
      </w:r>
    </w:p>
    <w:p>
      <w:pPr>
        <w:pStyle w:val="Clause"/>
        <w:numPr>
          <w:ilvl w:val="0"/>
          <w:numId w:val="2"/>
        </w:numPr>
      </w:pPr>
      <w:r>
        <w:t xml:space="preserve">the Provider will, at the Client’s option and within thirty (30) days, return or securely destroy any credentials, confidential information, and personal data held in connection with the Services, and will provide written confirmation of destruction on request;</w:t>
      </w:r>
    </w:p>
    <w:p>
      <w:pPr>
        <w:pStyle w:val="Clause"/>
        <w:numPr>
          <w:ilvl w:val="0"/>
          <w:numId w:val="2"/>
        </w:numPr>
      </w:pPr>
      <w:r>
        <w:t xml:space="preserve">the Client will pay all fees due up to and including the last day of the notice period; and</w:t>
      </w:r>
    </w:p>
    <w:p>
      <w:pPr>
        <w:pStyle w:val="Clause"/>
        <w:numPr>
          <w:ilvl w:val="0"/>
          <w:numId w:val="2"/>
        </w:numPr>
      </w:pPr>
      <w:r>
        <w:t xml:space="preserve">clauses 6 (Confidentiality), 7 (Intellectual property), 8 (Liability), 11 (Data protection), and 13 (General) will survive termination.</w:t>
      </w:r>
    </w:p>
    <w:p>
      <w:pPr>
        <w:pStyle w:val="Heading2"/>
      </w:pPr>
      <w:r>
        <w:t xml:space="preserve">4. Fees and payment</w:t>
      </w:r>
    </w:p>
    <w:p>
      <w:pPr>
        <w:pStyle w:val="Clause"/>
      </w:pPr>
      <w:r>
        <w:t xml:space="preserve">4.1  The fee for the Services is one thousand five hundred pounds (£1,500) per calendar month, plus VAT, for each covered core system listed in Schedule A (the “Monthly Fee”). The total monthly fee payable by the Client is the number of covered core systems listed in Schedule A multiplied by the Monthly Fee, plus VAT.</w:t>
      </w:r>
    </w:p>
    <w:p>
      <w:pPr>
        <w:pStyle w:val="Clause"/>
      </w:pPr>
      <w:r>
        <w:t xml:space="preserve">4.2  The Provider will issue an invoice on the first working day of each calendar month. Each invoice will itemise the covered core systems to which it relates.</w:t>
      </w:r>
    </w:p>
    <w:p>
      <w:pPr>
        <w:pStyle w:val="Clause"/>
      </w:pPr>
      <w:r>
        <w:t xml:space="preserve">4.3  Payment is due within fourteen (14) days of the invoice date, by bank transfer to the account notified by the Provider to the Client in writing.</w:t>
      </w:r>
    </w:p>
    <w:p>
      <w:pPr>
        <w:pStyle w:val="Clause"/>
      </w:pPr>
      <w:r>
        <w:t xml:space="preserve">4.4  If any sum due under this agreement is not paid by the due date, the Provider may, without prejudice to any other right or remedy:</w:t>
      </w:r>
    </w:p>
    <w:p>
      <w:pPr>
        <w:pStyle w:val="Clause"/>
        <w:numPr>
          <w:ilvl w:val="0"/>
          <w:numId w:val="2"/>
        </w:numPr>
      </w:pPr>
      <w:r>
        <w:t xml:space="preserve">suspend the Services, in whole or in part, until payment is made in full;</w:t>
      </w:r>
    </w:p>
    <w:p>
      <w:pPr>
        <w:pStyle w:val="Clause"/>
        <w:numPr>
          <w:ilvl w:val="0"/>
          <w:numId w:val="2"/>
        </w:numPr>
      </w:pPr>
      <w:r>
        <w:t xml:space="preserve">charge interest on the overdue amount at the rate of eight per cent (8%) per annum above the Bank of England base rate from time to time, calculated daily from the due date until the date of actual payment, pursuant to the Late Payment of Commercial Debts (Interest) Act 1998; and</w:t>
      </w:r>
    </w:p>
    <w:p>
      <w:pPr>
        <w:pStyle w:val="Clause"/>
        <w:numPr>
          <w:ilvl w:val="0"/>
          <w:numId w:val="2"/>
        </w:numPr>
      </w:pPr>
      <w:r>
        <w:t xml:space="preserve">recover reasonable costs of recovery in accordance with the Late Payment of Commercial Debts Regulations 2013.</w:t>
      </w:r>
    </w:p>
    <w:p>
      <w:pPr>
        <w:pStyle w:val="Clause"/>
      </w:pPr>
      <w:r>
        <w:t xml:space="preserve">4.5  All fees are exclusive of VAT, which will be charged at the prevailing rate and shown separately on each invoice.</w:t>
      </w:r>
    </w:p>
    <w:p>
      <w:pPr>
        <w:pStyle w:val="Clause"/>
      </w:pPr>
      <w:r>
        <w:t xml:space="preserve">4.6  The Provider may increase the Monthly Fee once in any twelve (12) month period by giving the Client not less than sixty (60) days’ written notice. Any such increase shall not exceed the greater of (a) the percentage increase in the UK Consumer Prices Index (CPI) over the preceding twelve (12) months, or (b) five per cent (5%). If the Client does not accept a proposed increase, it may terminate this agreement by written notice taking effect no later than the date on which the new fees would take effect, without the usual thirty (30) day notice period under clause 3.2.</w:t>
      </w:r>
    </w:p>
    <w:p>
      <w:pPr>
        <w:pStyle w:val="Clause"/>
      </w:pPr>
      <w:r>
        <w:t xml:space="preserve">4.7  If the Client disputes any part of an invoice, it must notify the Provider in writing within seven (7) days of the invoice date, providing reasonable detail of the dispute. Undisputed amounts remain payable on the due date.</w:t>
      </w:r>
    </w:p>
    <w:p>
      <w:pPr>
        <w:pStyle w:val="Heading2"/>
      </w:pPr>
      <w:r>
        <w:t xml:space="preserve">5. Access and cooperation</w:t>
      </w:r>
    </w:p>
    <w:p>
      <w:pPr>
        <w:pStyle w:val="Clause"/>
      </w:pPr>
      <w:r>
        <w:t xml:space="preserve">5.1  The Client will provide the Provider, promptly and at no charge, with the access, information, and cooperation reasonably necessary to perform the Services, including read and (where appropriate) write access to the relevant repositories, hosting environments, deployment pipelines, monitoring tools, and error-reporting services.</w:t>
      </w:r>
    </w:p>
    <w:p>
      <w:pPr>
        <w:pStyle w:val="Clause"/>
      </w:pPr>
      <w:r>
        <w:t xml:space="preserve">5.2  The Client will notify the Provider promptly of any material changes to the covered core systems, including deployments of new frameworks, infrastructure changes, changes to the deployment process, and any third-party work carried out on the same codebase.</w:t>
      </w:r>
    </w:p>
    <w:p>
      <w:pPr>
        <w:pStyle w:val="Clause"/>
      </w:pPr>
      <w:r>
        <w:t xml:space="preserve">5.3  The Client remains solely responsible for all decisions regarding whether and when to merge, deploy, or rollback changes proposed by the Provider, and for the operation of its production environments.</w:t>
      </w:r>
    </w:p>
    <w:p>
      <w:pPr>
        <w:pStyle w:val="Clause"/>
      </w:pPr>
      <w:r>
        <w:t xml:space="preserve">5.4  The Provider’s obligations under this agreement are conditional upon the Client providing the access and cooperation required by this clause 5. The Provider is not liable for any failure or delay in performing the Services to the extent caused by the Client’s failure to comply with this clause 5.</w:t>
      </w:r>
    </w:p>
    <w:p>
      <w:pPr>
        <w:pStyle w:val="Heading2"/>
      </w:pPr>
      <w:r>
        <w:t xml:space="preserve">6. Confidentiality</w:t>
      </w:r>
    </w:p>
    <w:p>
      <w:pPr>
        <w:pStyle w:val="Clause"/>
      </w:pPr>
      <w:r>
        <w:t xml:space="preserve">6.1  Each party undertakes to keep confidential all information (whether written, oral, or in any other form) disclosed to it by the other party in connection with this agreement, including source code, credentials, business information, customer data, and the terms of this agreement (“Confidential Information”), and not to disclose such information to any third party without the prior written consent of the disclosing party.</w:t>
      </w:r>
    </w:p>
    <w:p>
      <w:pPr>
        <w:pStyle w:val="Clause"/>
      </w:pPr>
      <w:r>
        <w:t xml:space="preserve">6.2  The obligations in clause 6.1 do not apply to information which:</w:t>
      </w:r>
    </w:p>
    <w:p>
      <w:pPr>
        <w:pStyle w:val="Clause"/>
        <w:numPr>
          <w:ilvl w:val="0"/>
          <w:numId w:val="2"/>
        </w:numPr>
      </w:pPr>
      <w:r>
        <w:t xml:space="preserve">is or becomes publicly available through no fault of the receiving party;</w:t>
      </w:r>
    </w:p>
    <w:p>
      <w:pPr>
        <w:pStyle w:val="Clause"/>
        <w:numPr>
          <w:ilvl w:val="0"/>
          <w:numId w:val="2"/>
        </w:numPr>
      </w:pPr>
      <w:r>
        <w:t xml:space="preserve">was lawfully in the possession of the receiving party without obligation of confidentiality before disclosure;</w:t>
      </w:r>
    </w:p>
    <w:p>
      <w:pPr>
        <w:pStyle w:val="Clause"/>
        <w:numPr>
          <w:ilvl w:val="0"/>
          <w:numId w:val="2"/>
        </w:numPr>
      </w:pPr>
      <w:r>
        <w:t xml:space="preserve">is independently developed by the receiving party without reference to the Confidential Information; or</w:t>
      </w:r>
    </w:p>
    <w:p>
      <w:pPr>
        <w:pStyle w:val="Clause"/>
        <w:numPr>
          <w:ilvl w:val="0"/>
          <w:numId w:val="2"/>
        </w:numPr>
      </w:pPr>
      <w:r>
        <w:t xml:space="preserve">is required to be disclosed by law, court order, or any regulatory authority of competent jurisdiction, in which case the receiving party will, where lawful, notify the disclosing party as soon as reasonably practicable.</w:t>
      </w:r>
    </w:p>
    <w:p>
      <w:pPr>
        <w:pStyle w:val="Clause"/>
      </w:pPr>
      <w:r>
        <w:t xml:space="preserve">6.3  The Provider will not use the Client’s systems, codebase, or Confidential Information for any purpose other than performing the Services under this agreement.</w:t>
      </w:r>
    </w:p>
    <w:p>
      <w:pPr>
        <w:pStyle w:val="Clause"/>
      </w:pPr>
      <w:r>
        <w:t xml:space="preserve">6.4  This clause 6 survives termination or expiry of this agreement for a period of three (3) years.</w:t>
      </w:r>
    </w:p>
    <w:p>
      <w:pPr>
        <w:pStyle w:val="Heading2"/>
      </w:pPr>
      <w:r>
        <w:t xml:space="preserve">7. Intellectual property</w:t>
      </w:r>
    </w:p>
    <w:p>
      <w:pPr>
        <w:pStyle w:val="Clause"/>
      </w:pPr>
      <w:r>
        <w:t xml:space="preserve">7.1  Nothing in this agreement transfers ownership of any intellectual property rights. The Client retains all right, title, and interest in its codebase, data, and any work product it owned before the commencement of this agreement.</w:t>
      </w:r>
    </w:p>
    <w:p>
      <w:pPr>
        <w:pStyle w:val="Clause"/>
      </w:pPr>
      <w:r>
        <w:t xml:space="preserve">7.2  Where the Provider makes changes, additions, or improvements to the Client’s codebase in the course of providing the Services (including applying dependency updates, security patches, and configuration changes), all intellectual property rights in such changes vest in the Client on delivery, provided that the Client has paid all fees due in respect of the month in which the work was performed.</w:t>
      </w:r>
    </w:p>
    <w:p>
      <w:pPr>
        <w:pStyle w:val="Clause"/>
      </w:pPr>
      <w:r>
        <w:t xml:space="preserve">7.3  The Provider retains all right, title, and interest in any pre-existing tools, scripts, templates, runbooks, and methodologies it uses in providing the Services, and grants the Client a non-exclusive, royalty-free licence to use any such materials solely to the extent necessary to benefit from the Services.</w:t>
      </w:r>
    </w:p>
    <w:p>
      <w:pPr>
        <w:pStyle w:val="Heading2"/>
      </w:pPr>
      <w:r>
        <w:t xml:space="preserve">8. Liability</w:t>
      </w:r>
    </w:p>
    <w:p>
      <w:pPr>
        <w:pStyle w:val="Clause"/>
      </w:pPr>
      <w:r>
        <w:t xml:space="preserve">8.1  Subject to clause 8.3, the Provider’s total aggregate liability to the Client under or in connection with this agreement, whether in contract, tort (including negligence), breach of statutory duty, or otherwise, shall be limited to the greater of (a) the total fees paid by the Client to the Provider under this agreement in the twelve (12) months immediately preceding the event giving rise to the claim, or (b) ten thousand pounds (£10,000).</w:t>
      </w:r>
    </w:p>
    <w:p>
      <w:pPr>
        <w:pStyle w:val="Clause"/>
      </w:pPr>
      <w:r>
        <w:t xml:space="preserve">8.2  Subject to clause 8.3, neither party shall be liable to the other for any:</w:t>
      </w:r>
    </w:p>
    <w:p>
      <w:pPr>
        <w:pStyle w:val="Clause"/>
        <w:numPr>
          <w:ilvl w:val="0"/>
          <w:numId w:val="2"/>
        </w:numPr>
      </w:pPr>
      <w:r>
        <w:t xml:space="preserve">loss of profit, revenue, or anticipated savings;</w:t>
      </w:r>
    </w:p>
    <w:p>
      <w:pPr>
        <w:pStyle w:val="Clause"/>
        <w:numPr>
          <w:ilvl w:val="0"/>
          <w:numId w:val="2"/>
        </w:numPr>
      </w:pPr>
      <w:r>
        <w:t xml:space="preserve">loss of business, contracts, opportunity, or goodwill;</w:t>
      </w:r>
    </w:p>
    <w:p>
      <w:pPr>
        <w:pStyle w:val="Clause"/>
        <w:numPr>
          <w:ilvl w:val="0"/>
          <w:numId w:val="2"/>
        </w:numPr>
      </w:pPr>
      <w:r>
        <w:t xml:space="preserve">loss or corruption of data (save to the extent caused by the Provider’s wilful default);</w:t>
      </w:r>
    </w:p>
    <w:p>
      <w:pPr>
        <w:pStyle w:val="Clause"/>
        <w:numPr>
          <w:ilvl w:val="0"/>
          <w:numId w:val="2"/>
        </w:numPr>
      </w:pPr>
      <w:r>
        <w:t xml:space="preserve">wasted management or staff time;</w:t>
      </w:r>
    </w:p>
    <w:p>
      <w:pPr>
        <w:pStyle w:val="Clause"/>
        <w:numPr>
          <w:ilvl w:val="0"/>
          <w:numId w:val="2"/>
        </w:numPr>
      </w:pPr>
      <w:r>
        <w:t xml:space="preserve">indirect, consequential, or special loss,</w:t>
      </w:r>
    </w:p>
    <w:p>
      <w:pPr>
        <w:pStyle w:val="Clause"/>
      </w:pPr>
      <w:r>
        <w:t xml:space="preserve">even if such loss was foreseeable or the party was advised of its possibility.</w:t>
      </w:r>
    </w:p>
    <w:p>
      <w:pPr>
        <w:pStyle w:val="Clause"/>
      </w:pPr>
      <w:r>
        <w:t xml:space="preserve">8.3  Nothing in this agreement limits or excludes either party’s liability for:</w:t>
      </w:r>
    </w:p>
    <w:p>
      <w:pPr>
        <w:pStyle w:val="Clause"/>
        <w:numPr>
          <w:ilvl w:val="0"/>
          <w:numId w:val="2"/>
        </w:numPr>
      </w:pPr>
      <w:r>
        <w:t xml:space="preserve">death or personal injury caused by negligence;</w:t>
      </w:r>
    </w:p>
    <w:p>
      <w:pPr>
        <w:pStyle w:val="Clause"/>
        <w:numPr>
          <w:ilvl w:val="0"/>
          <w:numId w:val="2"/>
        </w:numPr>
      </w:pPr>
      <w:r>
        <w:t xml:space="preserve">fraud or fraudulent misrepresentation;</w:t>
      </w:r>
    </w:p>
    <w:p>
      <w:pPr>
        <w:pStyle w:val="Clause"/>
        <w:numPr>
          <w:ilvl w:val="0"/>
          <w:numId w:val="2"/>
        </w:numPr>
      </w:pPr>
      <w:r>
        <w:t xml:space="preserve">any liability which cannot be limited or excluded as a matter of law.</w:t>
      </w:r>
    </w:p>
    <w:p>
      <w:pPr>
        <w:pStyle w:val="Clause"/>
      </w:pPr>
      <w:r>
        <w:t xml:space="preserve">8.4  The Provider warrants that it maintains Professional Indemnity Insurance with a reputable insurer providing cover of not less than one million pounds (£1,000,000) in the aggregate, and Public Liability Insurance of not less than one million pounds (£1,000,000), for the duration of this agreement. The Provider will, on written request, provide the Client with evidence of cover.</w:t>
      </w:r>
    </w:p>
    <w:p>
      <w:pPr>
        <w:pStyle w:val="Heading2"/>
      </w:pPr>
      <w:r>
        <w:t xml:space="preserve">9. Independent contractor status (IR35)</w:t>
      </w:r>
    </w:p>
    <w:p>
      <w:pPr>
        <w:pStyle w:val="Clause"/>
      </w:pPr>
      <w:r>
        <w:t xml:space="preserve">9.1  The Provider is engaged under this agreement as an independent contractor. Nothing in this agreement creates any partnership, joint venture, agency, employment, or franchise relationship between the parties, nor any employment relationship between the Client and any individual engaged by the Provider.</w:t>
      </w:r>
    </w:p>
    <w:p>
      <w:pPr>
        <w:pStyle w:val="Clause"/>
      </w:pPr>
      <w:r>
        <w:t xml:space="preserve">9.2  The Provider is responsible for all taxes arising in respect of its receipts under this agreement, including income tax, corporation tax, National Insurance contributions, and VAT. This agreement is intended by the parties to operate outside the scope of the Intermediaries Legislation contained in Chapter 8 of Part 2 of the Income Tax (Earnings and Pensions) Act 2003 (“IR35”).</w:t>
      </w:r>
    </w:p>
    <w:p>
      <w:pPr>
        <w:pStyle w:val="Clause"/>
      </w:pPr>
      <w:r>
        <w:t xml:space="preserve">9.3  Right of substitution. The Provider may, at its sole discretion and at its own cost, provide a suitably qualified, vetted, and insured substitute to perform any or all of the Services. The Provider remains responsible for the substitute’s performance and for paying the substitute. The Client may only refuse a proposed substitute on reasonable grounds related to the substitute’s technical competence, security clearance, or conflict of interest, and such refusal must be notified in writing with reasons.</w:t>
      </w:r>
    </w:p>
    <w:p>
      <w:pPr>
        <w:pStyle w:val="Clause"/>
      </w:pPr>
      <w:r>
        <w:t xml:space="preserve">9.4  No mutuality of obligation. The Client is under no obligation to offer work beyond the provision of the Services defined in Schedule A, and the Provider is under no obligation to accept any additional work offered. No employment relationship arises from the provision, non-provision, or continuation of work under this agreement. Periods between scheduled tasks do not constitute paid downtime and no payment is due for such periods.</w:t>
      </w:r>
    </w:p>
    <w:p>
      <w:pPr>
        <w:pStyle w:val="Clause"/>
      </w:pPr>
      <w:r>
        <w:t xml:space="preserve">9.5  Direction and control. The Provider determines the manner, method, location, and timing of the performance of the Services, subject only to (a) the outcomes and service levels defined in this agreement, (b) reasonable coordination with the Client’s deployment processes, and (c) the Client’s security and access policies. The Client shall not direct the Provider’s working hours, day-to-day activities, or methods of work.</w:t>
      </w:r>
    </w:p>
    <w:p>
      <w:pPr>
        <w:pStyle w:val="Clause"/>
      </w:pPr>
      <w:r>
        <w:t xml:space="preserve">9.6  The Provider warrants that it operates as a genuine business on its own account, provides services to multiple clients, bears its own business risk, and is responsible for correcting defective work at its own cost.</w:t>
      </w:r>
    </w:p>
    <w:p>
      <w:pPr>
        <w:pStyle w:val="Clause"/>
      </w:pPr>
      <w:r>
        <w:t xml:space="preserve">9.7  The Provider will indemnify the Client against any income tax, National Insurance contributions, interest, and penalties assessed against the Client by HM Revenue &amp; Customs as a result of the Provider’s failure to account correctly for its own tax affairs, save to the extent that any such liability arises from the Client making an incorrect status determination where required by law.</w:t>
      </w:r>
    </w:p>
    <w:p>
      <w:pPr>
        <w:pStyle w:val="Heading2"/>
      </w:pPr>
      <w:r>
        <w:t xml:space="preserve">10. Non-solicitation</w:t>
      </w:r>
    </w:p>
    <w:p>
      <w:pPr>
        <w:pStyle w:val="Clause"/>
      </w:pPr>
      <w:r>
        <w:t xml:space="preserve">10.1  During the term of this agreement and for a period of six (6) months after its termination, neither party shall, without the prior written consent of the other, directly or indirectly solicit for employment or engagement any employee, contractor, or consultant of the other party who has been materially involved in the performance or receipt of the Services.</w:t>
      </w:r>
    </w:p>
    <w:p>
      <w:pPr>
        <w:pStyle w:val="Clause"/>
      </w:pPr>
      <w:r>
        <w:t xml:space="preserve">10.2  Clause 10.1 does not prevent either party from employing or engaging any person who responds to a general recruitment advertisement not specifically targeted at the other party’s personnel.</w:t>
      </w:r>
    </w:p>
    <w:p>
      <w:pPr>
        <w:pStyle w:val="Heading2"/>
      </w:pPr>
      <w:r>
        <w:t xml:space="preserve">11. Data protection</w:t>
      </w:r>
    </w:p>
    <w:p>
      <w:pPr>
        <w:pStyle w:val="Clause"/>
      </w:pPr>
      <w:r>
        <w:t xml:space="preserve">11.1  In this clause, “Data Protection Laws” means the UK General Data Protection Regulation, the Data Protection Act 2018, and any other laws relating to the processing of personal data applicable from time to time in the United Kingdom. Terms such as “controller”, “processor”, “personal data”, and “process” have the meanings given to them in the Data Protection Laws.</w:t>
      </w:r>
    </w:p>
    <w:p>
      <w:pPr>
        <w:pStyle w:val="Clause"/>
      </w:pPr>
      <w:r>
        <w:t xml:space="preserve">11.2  The parties acknowledge that, in providing the Services, the Provider may have incidental access to personal data held within the Client’s systems. In respect of such personal data, the Client is the controller and the Provider is a processor.</w:t>
      </w:r>
    </w:p>
    <w:p>
      <w:pPr>
        <w:pStyle w:val="Clause"/>
      </w:pPr>
      <w:r>
        <w:t xml:space="preserve">11.3  The Provider will:</w:t>
      </w:r>
    </w:p>
    <w:p>
      <w:pPr>
        <w:pStyle w:val="Clause"/>
        <w:numPr>
          <w:ilvl w:val="0"/>
          <w:numId w:val="2"/>
        </w:numPr>
      </w:pPr>
      <w:r>
        <w:t xml:space="preserve">process personal data only on documented instructions from the Client, including as set out in this agreement;</w:t>
      </w:r>
    </w:p>
    <w:p>
      <w:pPr>
        <w:pStyle w:val="Clause"/>
        <w:numPr>
          <w:ilvl w:val="0"/>
          <w:numId w:val="2"/>
        </w:numPr>
      </w:pPr>
      <w:r>
        <w:t xml:space="preserve">ensure that persons authorised to process the personal data are subject to appropriate confidentiality obligations;</w:t>
      </w:r>
    </w:p>
    <w:p>
      <w:pPr>
        <w:pStyle w:val="Clause"/>
        <w:numPr>
          <w:ilvl w:val="0"/>
          <w:numId w:val="2"/>
        </w:numPr>
      </w:pPr>
      <w:r>
        <w:t xml:space="preserve">implement appropriate technical and organisational measures to ensure a level of security appropriate to the risk, including encryption of credentials at rest, secure password management, and multi-factor authentication on all administrative access;</w:t>
      </w:r>
    </w:p>
    <w:p>
      <w:pPr>
        <w:pStyle w:val="Clause"/>
        <w:numPr>
          <w:ilvl w:val="0"/>
          <w:numId w:val="2"/>
        </w:numPr>
      </w:pPr>
      <w:r>
        <w:t xml:space="preserve">not engage any sub-processor without the prior written consent of the Client (such consent not to be unreasonably withheld);</w:t>
      </w:r>
    </w:p>
    <w:p>
      <w:pPr>
        <w:pStyle w:val="Clause"/>
        <w:numPr>
          <w:ilvl w:val="0"/>
          <w:numId w:val="2"/>
        </w:numPr>
      </w:pPr>
      <w:r>
        <w:t xml:space="preserve">assist the Client, taking into account the nature of the processing, in responding to data subject rights requests and in complying with the Client’s obligations under Articles 32 to 36 of the UK GDPR;</w:t>
      </w:r>
    </w:p>
    <w:p>
      <w:pPr>
        <w:pStyle w:val="Clause"/>
        <w:numPr>
          <w:ilvl w:val="0"/>
          <w:numId w:val="2"/>
        </w:numPr>
      </w:pPr>
      <w:r>
        <w:t xml:space="preserve">notify the Client without undue delay, and in any event within seventy-two (72) hours, on becoming aware of any personal data breach affecting the Client’s personal data;</w:t>
      </w:r>
    </w:p>
    <w:p>
      <w:pPr>
        <w:pStyle w:val="Clause"/>
        <w:numPr>
          <w:ilvl w:val="0"/>
          <w:numId w:val="2"/>
        </w:numPr>
      </w:pPr>
      <w:r>
        <w:t xml:space="preserve">on termination or expiry of this agreement, at the Client’s option, delete or return all personal data and delete existing copies unless required to retain them by law; and</w:t>
      </w:r>
    </w:p>
    <w:p>
      <w:pPr>
        <w:pStyle w:val="Clause"/>
        <w:numPr>
          <w:ilvl w:val="0"/>
          <w:numId w:val="2"/>
        </w:numPr>
      </w:pPr>
      <w:r>
        <w:t xml:space="preserve">make available to the Client all information necessary to demonstrate compliance with this clause 11, and allow for and contribute to audits conducted by the Client or an auditor mandated by the Client on reasonable notice.</w:t>
      </w:r>
    </w:p>
    <w:p>
      <w:pPr>
        <w:pStyle w:val="Clause"/>
      </w:pPr>
      <w:r>
        <w:t xml:space="preserve">11.4  The Provider will not transfer personal data outside the United Kingdom without the prior written consent of the Client and the implementation of appropriate safeguards required by the Data Protection Laws.</w:t>
      </w:r>
    </w:p>
    <w:p>
      <w:pPr>
        <w:pStyle w:val="Clause"/>
      </w:pPr>
      <w:r>
        <w:t xml:space="preserve">11.5  Where the parties agree that a more detailed Data Processing Agreement is appropriate (for example, where the Services involve systematic processing of personal data), the parties will execute a separate Data Processing Agreement which will take precedence over this clause 11 in the event of any conflict.</w:t>
      </w:r>
    </w:p>
    <w:p>
      <w:pPr>
        <w:pStyle w:val="Heading2"/>
      </w:pPr>
      <w:r>
        <w:t xml:space="preserve">12. Force majeure</w:t>
      </w:r>
    </w:p>
    <w:p>
      <w:pPr>
        <w:pStyle w:val="Clause"/>
      </w:pPr>
      <w:r>
        <w:t xml:space="preserve">12.1  Neither party shall be liable for any failure or delay in performing its obligations under this agreement to the extent that such failure or delay is caused by any event or circumstance beyond its reasonable control, including acts of God, war, terrorism, civil unrest, pandemic, failure of public utilities, failure of third-party infrastructure, or governmental action (a “Force Majeure Event”).</w:t>
      </w:r>
    </w:p>
    <w:p>
      <w:pPr>
        <w:pStyle w:val="Clause"/>
      </w:pPr>
      <w:r>
        <w:t xml:space="preserve">12.2  The affected party will notify the other party as soon as reasonably practicable of the Force Majeure Event and its expected duration, and will use reasonable endeavours to mitigate its effects.</w:t>
      </w:r>
    </w:p>
    <w:p>
      <w:pPr>
        <w:pStyle w:val="Clause"/>
      </w:pPr>
      <w:r>
        <w:t xml:space="preserve">12.3  If a Force Majeure Event continues for more than thirty (30) consecutive days, either party may terminate this agreement by written notice to the other, without liability.</w:t>
      </w:r>
    </w:p>
    <w:p>
      <w:pPr>
        <w:pStyle w:val="Heading2"/>
      </w:pPr>
      <w:r>
        <w:t xml:space="preserve">13. General</w:t>
      </w:r>
    </w:p>
    <w:p>
      <w:pPr>
        <w:pStyle w:val="Clause"/>
      </w:pPr>
      <w:r>
        <w:t xml:space="preserve">13.1  Entire agreement. This agreement, together with its Schedule A, constitutes the entire agreement between the parties in relation to its subject matter and supersedes all prior discussions, representations, and agreements, whether written or oral. Each party acknowledges that, in entering into this agreement, it has not relied on any statement, representation, assurance, or warranty other than those set out in this agreement.</w:t>
      </w:r>
    </w:p>
    <w:p>
      <w:pPr>
        <w:pStyle w:val="Clause"/>
      </w:pPr>
      <w:r>
        <w:t xml:space="preserve">13.2  Variation. No variation of this agreement shall be effective unless it is in writing and signed by or on behalf of each party.</w:t>
      </w:r>
    </w:p>
    <w:p>
      <w:pPr>
        <w:pStyle w:val="Clause"/>
      </w:pPr>
      <w:r>
        <w:t xml:space="preserve">13.3  Severability. If any provision of this agreement is or becomes invalid, illegal, or unenforceable, it shall be deemed modified to the minimum extent necessary to make it valid, legal, and enforceable. If such modification is not possible, the relevant provision shall be deemed deleted and the remaining provisions shall continue in full force and effect.</w:t>
      </w:r>
    </w:p>
    <w:p>
      <w:pPr>
        <w:pStyle w:val="Clause"/>
      </w:pPr>
      <w:r>
        <w:t xml:space="preserve">13.4  Assignment. Neither party may assign, transfer, charge, or otherwise deal with any of its rights or obligations under this agreement without the prior written consent of the other party, save that the Provider may assign this agreement to a successor entity as part of a reorganisation or sale of substantially all of its business.</w:t>
      </w:r>
    </w:p>
    <w:p>
      <w:pPr>
        <w:pStyle w:val="Clause"/>
      </w:pPr>
      <w:r>
        <w:t xml:space="preserve">13.5  Notices. Any notice given under this agreement must be in writing and sent by email to the address notified by each party to the other for that purpose, with delivery deemed to take place on the next working day following transmission, provided no delivery-failure notification is received.</w:t>
      </w:r>
    </w:p>
    <w:p>
      <w:pPr>
        <w:pStyle w:val="Clause"/>
      </w:pPr>
      <w:r>
        <w:t xml:space="preserve">13.6  Third party rights. A person who is not a party to this agreement has no rights under the Contracts (Rights of Third Parties) Act 1999 to enforce any term of this agreement.</w:t>
      </w:r>
    </w:p>
    <w:p>
      <w:pPr>
        <w:pStyle w:val="Clause"/>
      </w:pPr>
      <w:r>
        <w:t xml:space="preserve">13.7  Counterparts. This agreement may be executed in any number of counterparts, each of which when executed shall constitute a duplicate original, but all counterparts shall together constitute one agreement. Delivery of an executed counterpart by email (including in PDF format) shall be deemed valid delivery.</w:t>
      </w:r>
    </w:p>
    <w:p>
      <w:pPr>
        <w:pStyle w:val="Clause"/>
      </w:pPr>
      <w:r>
        <w:t xml:space="preserve">13.8  Governing law. This agreement and any dispute or claim arising out of or in connection with it (including non-contractual disputes) is governed by the laws of England and Wales.</w:t>
      </w:r>
    </w:p>
    <w:p>
      <w:pPr>
        <w:pStyle w:val="Clause"/>
      </w:pPr>
      <w:r>
        <w:t xml:space="preserve">13.9  Jurisdiction. Each party irrevocably agrees that the courts of England and Wales shall have exclusive jurisdiction to settle any dispute or claim arising out of or in connection with this agreement.</w:t>
      </w:r>
    </w:p>
    <w:p>
      <w:pPr>
        <w:pStyle w:val="Heading1"/>
      </w:pPr>
      <w:r>
        <w:t xml:space="preserve">Signed by the parties</w:t>
      </w:r>
    </w:p>
    <w:p>
      <w:pPr>
        <w:pStyle w:val="Clause"/>
      </w:pPr>
      <w:r>
        <w:t xml:space="preserve">By signing below, each party agrees to be bound by the terms of this agreement.</w:t>
      </w:r>
    </w:p>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For the Provider</w:t>
            </w:r>
          </w:p>
        </w:tc>
        <w:tc>
          <w:tcPr>
            <w:tcW w:type="dxa" w:w="468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For the Client</w:t>
            </w:r>
          </w:p>
        </w:tc>
      </w:tr>
      <w:tr>
        <w:tc>
          <w:tcPr>
            <w:tcW w:type="dxa" w:w="46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b/>
                <w:bCs/>
                <w:color w:val="333333"/>
                <w:sz w:val="20"/>
                <w:szCs w:val="20"/>
              </w:rPr>
              <w:t xml:space="preserve">Tensile Infrastructure Ltd</w:t>
            </w:r>
          </w:p>
        </w:tc>
        <w:tc>
          <w:tcPr>
            <w:tcW w:type="dxa" w:w="46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b/>
                <w:bCs/>
                <w:color w:val="333333"/>
                <w:sz w:val="20"/>
                <w:szCs w:val="20"/>
              </w:rPr>
              <w:t xml:space="preserve">[Client company name]</w:t>
            </w:r>
          </w:p>
        </w:tc>
      </w:tr>
      <w:tr>
        <w:tc>
          <w:tcPr>
            <w:tcW w:type="dxa" w:w="46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pBdr>
                <w:bottom w:val="single" w:color="333333" w:sz="6" w:space="1"/>
              </w:pBdr>
              <w:spacing w:after="0" w:before="360"/>
            </w:pPr>
            <w:r>
              <w:t xml:space="preserve"/>
            </w:r>
          </w:p>
          <w:p>
            <w:pPr>
              <w:pStyle w:val="Caption"/>
            </w:pPr>
            <w:r>
              <w:t xml:space="preserve">Signature</w:t>
            </w:r>
          </w:p>
        </w:tc>
        <w:tc>
          <w:tcPr>
            <w:tcW w:type="dxa" w:w="46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pBdr>
                <w:bottom w:val="single" w:color="333333" w:sz="6" w:space="1"/>
              </w:pBdr>
              <w:spacing w:after="0" w:before="360"/>
            </w:pPr>
            <w:r>
              <w:t xml:space="preserve"/>
            </w:r>
          </w:p>
          <w:p>
            <w:pPr>
              <w:pStyle w:val="Caption"/>
            </w:pPr>
            <w:r>
              <w:t xml:space="preserve">Signature</w:t>
            </w:r>
          </w:p>
        </w:tc>
      </w:tr>
      <w:tr>
        <w:tc>
          <w:tcPr>
            <w:tcW w:type="dxa" w:w="46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pBdr>
                <w:bottom w:val="single" w:color="333333" w:sz="6" w:space="1"/>
              </w:pBdr>
              <w:spacing w:after="0" w:before="360"/>
            </w:pPr>
            <w:r>
              <w:t xml:space="preserve"/>
            </w:r>
          </w:p>
          <w:p>
            <w:pPr>
              <w:pStyle w:val="Caption"/>
            </w:pPr>
            <w:r>
              <w:t xml:space="preserve">Full name</w:t>
            </w:r>
          </w:p>
        </w:tc>
        <w:tc>
          <w:tcPr>
            <w:tcW w:type="dxa" w:w="46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pBdr>
                <w:bottom w:val="single" w:color="333333" w:sz="6" w:space="1"/>
              </w:pBdr>
              <w:spacing w:after="0" w:before="360"/>
            </w:pPr>
            <w:r>
              <w:t xml:space="preserve"/>
            </w:r>
          </w:p>
          <w:p>
            <w:pPr>
              <w:pStyle w:val="Caption"/>
            </w:pPr>
            <w:r>
              <w:t xml:space="preserve">Full name</w:t>
            </w:r>
          </w:p>
        </w:tc>
      </w:tr>
      <w:tr>
        <w:tc>
          <w:tcPr>
            <w:tcW w:type="dxa" w:w="46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pBdr>
                <w:bottom w:val="single" w:color="333333" w:sz="6" w:space="1"/>
              </w:pBdr>
              <w:spacing w:after="0" w:before="360"/>
            </w:pPr>
            <w:r>
              <w:t xml:space="preserve"/>
            </w:r>
          </w:p>
          <w:p>
            <w:pPr>
              <w:pStyle w:val="Caption"/>
            </w:pPr>
            <w:r>
              <w:t xml:space="preserve">Title / position</w:t>
            </w:r>
          </w:p>
        </w:tc>
        <w:tc>
          <w:tcPr>
            <w:tcW w:type="dxa" w:w="46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pBdr>
                <w:bottom w:val="single" w:color="333333" w:sz="6" w:space="1"/>
              </w:pBdr>
              <w:spacing w:after="0" w:before="360"/>
            </w:pPr>
            <w:r>
              <w:t xml:space="preserve"/>
            </w:r>
          </w:p>
          <w:p>
            <w:pPr>
              <w:pStyle w:val="Caption"/>
            </w:pPr>
            <w:r>
              <w:t xml:space="preserve">Title / position</w:t>
            </w:r>
          </w:p>
        </w:tc>
      </w:tr>
      <w:tr>
        <w:tc>
          <w:tcPr>
            <w:tcW w:type="dxa" w:w="46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pBdr>
                <w:bottom w:val="single" w:color="333333" w:sz="6" w:space="1"/>
              </w:pBdr>
              <w:spacing w:after="0" w:before="360"/>
            </w:pPr>
            <w:r>
              <w:t xml:space="preserve"/>
            </w:r>
          </w:p>
          <w:p>
            <w:pPr>
              <w:pStyle w:val="Caption"/>
            </w:pPr>
            <w:r>
              <w:t xml:space="preserve">Date</w:t>
            </w:r>
          </w:p>
        </w:tc>
        <w:tc>
          <w:tcPr>
            <w:tcW w:type="dxa" w:w="46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pBdr>
                <w:bottom w:val="single" w:color="333333" w:sz="6" w:space="1"/>
              </w:pBdr>
              <w:spacing w:after="0" w:before="360"/>
            </w:pPr>
            <w:r>
              <w:t xml:space="preserve"/>
            </w:r>
          </w:p>
          <w:p>
            <w:pPr>
              <w:pStyle w:val="Caption"/>
            </w:pPr>
            <w:r>
              <w:t xml:space="preserve">Date</w:t>
            </w:r>
          </w:p>
        </w:tc>
      </w:tr>
    </w:tbl>
    <w:p>
      <w:pPr>
        <w:pageBreakBefore/>
      </w:pPr>
      <w:r>
        <w:t xml:space="preserve"/>
      </w:r>
    </w:p>
    <w:p>
      <w:pPr>
        <w:pStyle w:val="Heading1"/>
      </w:pPr>
      <w:r>
        <w:t xml:space="preserve">Schedule A — Covered core systems</w:t>
      </w:r>
    </w:p>
    <w:p>
      <w:pPr>
        <w:pStyle w:val="Clause"/>
      </w:pPr>
      <w:r>
        <w:t xml:space="preserve">This Schedule sets out the covered core systems, repositories, and production URLs to which the Services apply. Each covered core system listed below is billed separately at the Monthly Fee set out in clause 4.1.</w:t>
      </w:r>
    </w:p>
    <w:p>
      <w:pPr>
        <w:pStyle w:val="Clause"/>
      </w:pPr>
      <w:r>
        <w:t xml:space="preserve">A covered core system means one named production application or service, plus the datastore and infrastructure directly supporting it. Separate applications, admin portals, marketing sites, APIs, worker services, and mobile applications are separate systems unless listed individually below.</w:t>
      </w:r>
    </w:p>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Covered core system</w:t>
            </w:r>
          </w:p>
        </w:tc>
        <w:tc>
          <w:tcPr>
            <w:tcW w:type="dxa" w:w="328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Repository URL</w:t>
            </w:r>
          </w:p>
        </w:tc>
        <w:tc>
          <w:tcPr>
            <w:tcW w:type="dxa" w:w="3280"/>
            <w:tcBorders>
              <w:top w:val="single" w:color="D8D8D8" w:sz="4"/>
              <w:left w:val="single" w:color="D8D8D8" w:sz="4"/>
              <w:bottom w:val="single" w:color="D8D8D8" w:sz="4"/>
              <w:right w:val="single" w:color="D8D8D8" w:sz="4"/>
            </w:tcBorders>
            <w:shd w:fill="F0F2F7" w:val="clear"/>
            <w:tcMar>
              <w:top w:type="dxa" w:w="100"/>
              <w:left w:type="dxa" w:w="140"/>
              <w:bottom w:type="dxa" w:w="100"/>
              <w:right w:type="dxa" w:w="140"/>
            </w:tcMar>
            <w:vAlign w:val="center"/>
          </w:tcPr>
          <w:p>
            <w:pPr>
              <w:spacing w:after="0" w:before="0"/>
            </w:pPr>
            <w:r>
              <w:rPr>
                <w:b/>
                <w:bCs/>
                <w:color w:val="002352"/>
                <w:sz w:val="20"/>
                <w:szCs w:val="20"/>
              </w:rPr>
              <w:t xml:space="preserve">Production URL</w:t>
            </w:r>
          </w:p>
        </w:tc>
      </w:tr>
      <w:tr>
        <w:tc>
          <w:tcPr>
            <w:tcW w:type="dxa" w:w="28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 </w:t>
            </w:r>
          </w:p>
        </w:tc>
        <w:tc>
          <w:tcPr>
            <w:tcW w:type="dxa" w:w="32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 </w:t>
            </w:r>
          </w:p>
        </w:tc>
        <w:tc>
          <w:tcPr>
            <w:tcW w:type="dxa" w:w="32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 </w:t>
            </w:r>
          </w:p>
        </w:tc>
      </w:tr>
      <w:tr>
        <w:tc>
          <w:tcPr>
            <w:tcW w:type="dxa" w:w="28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 </w:t>
            </w:r>
          </w:p>
        </w:tc>
        <w:tc>
          <w:tcPr>
            <w:tcW w:type="dxa" w:w="32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 </w:t>
            </w:r>
          </w:p>
        </w:tc>
        <w:tc>
          <w:tcPr>
            <w:tcW w:type="dxa" w:w="32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 </w:t>
            </w:r>
          </w:p>
        </w:tc>
      </w:tr>
      <w:tr>
        <w:tc>
          <w:tcPr>
            <w:tcW w:type="dxa" w:w="28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 </w:t>
            </w:r>
          </w:p>
        </w:tc>
        <w:tc>
          <w:tcPr>
            <w:tcW w:type="dxa" w:w="32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 </w:t>
            </w:r>
          </w:p>
        </w:tc>
        <w:tc>
          <w:tcPr>
            <w:tcW w:type="dxa" w:w="32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 </w:t>
            </w:r>
          </w:p>
        </w:tc>
      </w:tr>
      <w:tr>
        <w:tc>
          <w:tcPr>
            <w:tcW w:type="dxa" w:w="28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 </w:t>
            </w:r>
          </w:p>
        </w:tc>
        <w:tc>
          <w:tcPr>
            <w:tcW w:type="dxa" w:w="32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 </w:t>
            </w:r>
          </w:p>
        </w:tc>
        <w:tc>
          <w:tcPr>
            <w:tcW w:type="dxa" w:w="32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 </w:t>
            </w:r>
          </w:p>
        </w:tc>
      </w:tr>
      <w:tr>
        <w:tc>
          <w:tcPr>
            <w:tcW w:type="dxa" w:w="280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 </w:t>
            </w:r>
          </w:p>
        </w:tc>
        <w:tc>
          <w:tcPr>
            <w:tcW w:type="dxa" w:w="32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 </w:t>
            </w:r>
          </w:p>
        </w:tc>
        <w:tc>
          <w:tcPr>
            <w:tcW w:type="dxa" w:w="3280"/>
            <w:tcBorders>
              <w:top w:val="single" w:color="D8D8D8" w:sz="4"/>
              <w:left w:val="single" w:color="D8D8D8" w:sz="4"/>
              <w:bottom w:val="single" w:color="D8D8D8" w:sz="4"/>
              <w:right w:val="single" w:color="D8D8D8" w:sz="4"/>
            </w:tcBorders>
            <w:tcMar>
              <w:top w:type="dxa" w:w="100"/>
              <w:left w:type="dxa" w:w="140"/>
              <w:bottom w:type="dxa" w:w="100"/>
              <w:right w:type="dxa" w:w="140"/>
            </w:tcMar>
            <w:vAlign w:val="center"/>
          </w:tcPr>
          <w:p>
            <w:pPr>
              <w:spacing w:after="0" w:before="0"/>
            </w:pPr>
            <w:r>
              <w:rPr>
                <w:color w:val="333333"/>
                <w:sz w:val="20"/>
                <w:szCs w:val="20"/>
              </w:rPr>
              <w:t xml:space="preserve"> </w:t>
            </w:r>
          </w:p>
        </w:tc>
      </w:tr>
    </w:tbl>
    <w:p>
      <w:pPr>
        <w:spacing w:after="200" w:before="0"/>
      </w:pPr>
      <w:r>
        <w:t xml:space="preserve"/>
      </w:r>
    </w:p>
    <w:p>
      <w:pPr>
        <w:pStyle w:val="Heading2"/>
      </w:pPr>
      <w:r>
        <w:t xml:space="preserve">Amendments to this Schedule</w:t>
      </w:r>
    </w:p>
    <w:p>
      <w:pPr>
        <w:pStyle w:val="Clause"/>
      </w:pPr>
      <w:r>
        <w:t xml:space="preserve">Systems may be added to or removed from this Schedule only by written agreement between the parties, signed (including by electronic signature) by an authorised representative of each party. Additions take effect from the next invoice date following the date of the amendment and increase the total monthly fee accordingly. Removals take effect immediately on written confirmation from both parties, with a pro-rata refund for any unused portion of the month.</w:t>
      </w:r>
    </w:p>
    <w:p>
      <w:pPr>
        <w:pStyle w:val="Clause"/>
      </w:pPr>
      <w:r>
        <w:t xml:space="preserve">One agreement may cover multiple covered core systems, but the total monthly fee is calculated from the number of systems listed in this Schedule A.</w:t>
      </w:r>
    </w:p>
    <w:p>
      <w:pPr>
        <w:spacing w:after="400" w:before="0"/>
      </w:pPr>
      <w:r>
        <w:t xml:space="preserve"/>
      </w:r>
    </w:p>
    <w:p>
      <w:pPr>
        <w:spacing w:after="0" w:before="400"/>
        <w:jc w:val="center"/>
      </w:pPr>
      <w:r>
        <w:rPr>
          <w:i/>
          <w:iCs/>
          <w:color w:val="666666"/>
          <w:sz w:val="18"/>
          <w:szCs w:val="18"/>
        </w:rPr>
        <w:t xml:space="preserve">This document is a template. It must be reviewed by a qualified solicitor admitted in England and Wales before first use with a client. Replace all bracketed placeholders before signing.</w:t>
      </w:r>
    </w:p>
    <w:sectPr>
      <w:headerReference w:type="default" r:id="rId7"/>
      <w:footerReference w:type="default" r:id="rId8"/>
      <w:pgSz w:w="12240" w:h="15840"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8D8" w:sz="4" w:space="6"/>
      </w:pBdr>
      <w:tabs>
        <w:tab w:val="right" w:pos="9360"/>
      </w:tabs>
      <w:spacing w:before="60"/>
    </w:pPr>
    <w:r>
      <w:rPr>
        <w:color w:val="666666"/>
        <w:sz w:val="16"/>
        <w:szCs w:val="16"/>
      </w:rPr>
      <w:t xml:space="preserve">Tensile Infrastructure Ltd  ·  Company No. 17139591  ·  </w:t>
    </w:r>
    <w:r>
      <w:rPr>
        <w:i/>
        <w:iCs/>
        <w:color w:val="666666"/>
        <w:sz w:val="16"/>
        <w:szCs w:val="16"/>
      </w:rPr>
      <w:t xml:space="preserve">Retainer Agreement · Template v2.0</w:t>
    </w:r>
    <w:r>
      <w:rPr>
        <w:color w:val="666666"/>
        <w:sz w:val="16"/>
        <w:szCs w:val="16"/>
      </w:rPr>
      <w:t xml:space="preserve">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drawing>
        <wp:inline distT="0" distB="0" distL="0" distR="0">
          <wp:extent cx="1714500" cy="523875"/>
          <wp:effectExtent t="0" r="0" b="0" l="0"/>
          <wp:docPr id="1" name="logo" descr="Tensile Infrastructure logo" title="Tensile Infra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523875"/>
                  </a:xfrm>
                  <a:prstGeom prst="rect">
                    <a:avLst/>
                  </a:prstGeom>
                </pic:spPr>
              </pic:pic>
            </a:graphicData>
          </a:graphic>
        </wp:inline>
      </w:drawing>
    </w:r>
  </w:p>
  <w:p>
    <w:pPr>
      <w:pBdr>
        <w:bottom w:val="single" w:color="002352" w:sz="6" w:space="4"/>
      </w:pBdr>
      <w:spacing w:after="0" w:before="4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Arial" w:cs="Arial" w:eastAsia="Arial" w:hAnsi="Arial"/>
      <w:b/>
      <w:bCs/>
      <w:color w:val="002352"/>
      <w:sz w:val="44"/>
      <w:szCs w:val="44"/>
    </w:rPr>
  </w:style>
  <w:style w:type="paragraph" w:styleId="Subtitle">
    <w:name w:val="Subtitle"/>
    <w:basedOn w:val="Normal"/>
    <w:next w:val="Normal"/>
    <w:qFormat/>
    <w:pPr>
      <w:spacing w:after="360" w:before="0"/>
    </w:pPr>
    <w:rPr>
      <w:rFonts w:ascii="Arial" w:cs="Arial" w:eastAsia="Arial" w:hAnsi="Arial"/>
      <w:i w:val="false"/>
      <w:iCs w:val="false"/>
      <w:color w:val="666666"/>
      <w:sz w:val="22"/>
      <w:szCs w:val="22"/>
    </w:rPr>
  </w:style>
  <w:style w:type="paragraph" w:styleId="Heading1">
    <w:name w:val="Heading 1"/>
    <w:basedOn w:val="Normal"/>
    <w:next w:val="Normal"/>
    <w:qFormat/>
    <w:pPr>
      <w:spacing w:after="160" w:before="360"/>
      <w:outlineLvl w:val="0"/>
    </w:pPr>
    <w:rPr>
      <w:rFonts w:ascii="Arial" w:cs="Arial" w:eastAsia="Arial" w:hAnsi="Arial"/>
      <w:b/>
      <w:bCs/>
      <w:color w:val="002352"/>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002352"/>
      <w:sz w:val="24"/>
      <w:szCs w:val="24"/>
    </w:rPr>
  </w:style>
  <w:style w:type="paragraph" w:styleId="Heading3">
    <w:name w:val="Heading 3"/>
    <w:basedOn w:val="Normal"/>
    <w:next w:val="Normal"/>
    <w:qFormat/>
    <w:pPr>
      <w:spacing w:after="80" w:before="240"/>
      <w:outlineLvl w:val="2"/>
    </w:pPr>
    <w:rPr>
      <w:rFonts w:ascii="Arial" w:cs="Arial" w:eastAsia="Arial" w:hAnsi="Arial"/>
      <w:b/>
      <w:bCs/>
      <w:color w:val="1A1A1A"/>
      <w:sz w:val="22"/>
      <w:szCs w:val="22"/>
    </w:rPr>
  </w:style>
  <w:style w:type="paragraph" w:styleId="Clause">
    <w:name w:val="Clause"/>
    <w:basedOn w:val="Normal"/>
    <w:next w:val="Normal"/>
    <w:pPr>
      <w:spacing w:after="80" w:before="80" w:line="300"/>
    </w:pPr>
    <w:rPr>
      <w:rFonts w:ascii="Arial" w:cs="Arial" w:eastAsia="Arial" w:hAnsi="Arial"/>
      <w:color w:val="333333"/>
      <w:sz w:val="22"/>
      <w:szCs w:val="22"/>
    </w:rPr>
  </w:style>
  <w:style w:type="paragraph" w:styleId="Caption">
    <w:name w:val="Caption"/>
    <w:basedOn w:val="Normal"/>
    <w:next w:val="Normal"/>
    <w:pPr>
      <w:spacing w:after="120" w:before="60"/>
    </w:pPr>
    <w:rPr>
      <w:rFonts w:ascii="Arial" w:cs="Arial" w:eastAsia="Arial" w:hAnsi="Arial"/>
      <w:i/>
      <w:iCs/>
      <w:color w:val="666666"/>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37bb148841f003836646a851760eaf898653db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Maintenance Retainer Agreement</dc:title>
  <dc:creator>Tensile Infrastructure Ltd</dc:creator>
  <dc:description>Retainer agreement template for Tensile Infrastructure Ltd</dc:description>
  <cp:lastModifiedBy>Un-named</cp:lastModifiedBy>
  <cp:revision>1</cp:revision>
  <dcterms:created xsi:type="dcterms:W3CDTF">2026-04-10T06:23:53.378Z</dcterms:created>
  <dcterms:modified xsi:type="dcterms:W3CDTF">2026-04-10T06:23:53.378Z</dcterms:modified>
</cp:coreProperties>
</file>

<file path=docProps/custom.xml><?xml version="1.0" encoding="utf-8"?>
<Properties xmlns="http://schemas.openxmlformats.org/officeDocument/2006/custom-properties" xmlns:vt="http://schemas.openxmlformats.org/officeDocument/2006/docPropsVTypes"/>
</file>