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480"/>
      </w:pPr>
      <w:r>
        <w:t>[Client Name] — [Covered Core System]</w:t>
      </w:r>
    </w:p>
    <w:p>
      <w:pPr>
        <w:spacing w:after="0"/>
      </w:pPr>
      <w:r>
        <w:rPr>
          <w:rFonts w:ascii="Arial" w:cs="Arial" w:eastAsia="Arial" w:hAnsi="Arial"/>
          <w:color w:val="6B7280"/>
          <w:sz w:val="22"/>
          <w:szCs w:val="22"/>
        </w:rPr>
        <w:t xml:space="preserve">[Month Year]</w:t>
      </w:r>
      <w:r>
        <w:rPr>
          <w:rFonts w:ascii="Arial" w:cs="Arial" w:eastAsia="Arial" w:hAnsi="Arial"/>
          <w:color w:val="9CA3AF"/>
          <w:sz w:val="22"/>
          <w:szCs w:val="22"/>
        </w:rPr>
        <w:t xml:space="preserve">   ·   </w:t>
      </w:r>
      <w:r>
        <w:rPr>
          <w:rFonts w:ascii="Arial" w:cs="Arial" w:eastAsia="Arial" w:hAnsi="Arial"/>
          <w:color w:val="6B7280"/>
          <w:sz w:val="22"/>
          <w:szCs w:val="22"/>
        </w:rPr>
        <w:t xml:space="preserve">Prepared [Date]</w:t>
      </w:r>
    </w:p>
    <w:p>
      <w:r>
        <w:t>Covered core system: [Named production application or service]. Supporting services listed below should only include the datastore and endpoints directly supporting it.</w:t>
      </w:r>
    </w:p>
    <w:p>
      <w:pPr>
        <w:pBdr>
          <w:bottom w:val="single" w:color="E2E1DC" w:sz="4" w:space="1"/>
        </w:pBdr>
        <w:spacing w:after="360" w:before="160"/>
      </w:pPr>
      <w:r>
        <w:t xml:space="preserve"/>
      </w:r>
    </w:p>
    <w:p>
      <w:pPr>
        <w:spacing w:after="100" w:before="0"/>
      </w:pPr>
      <w:r>
        <w:rPr>
          <w:rFonts w:ascii="Arial" w:cs="Arial" w:eastAsia="Arial" w:hAnsi="Arial"/>
          <w:color w:val="6B7280"/>
          <w:sz w:val="18"/>
          <w:szCs w:val="18"/>
        </w:rPr>
        <w:t xml:space="preserve">Summary</w:t>
      </w:r>
    </w:p>
    <w:p>
      <w:pPr>
        <w:spacing w:after="200" w:before="0"/>
      </w:pPr>
      <w:r>
        <w:rPr>
          <w:rFonts w:ascii="Arial" w:cs="Arial" w:eastAsia="Arial" w:hAnsi="Arial"/>
          <w:b/>
          <w:bCs/>
          <w:color w:val="0D1F3C"/>
          <w:sz w:val="24"/>
          <w:szCs w:val="24"/>
        </w:rPr>
        <w:t xml:space="preserve">This month</w:t>
      </w:r>
    </w:p>
    <w:p>
      <w:pPr>
        <w:spacing w:after="160"/>
      </w:pPr>
      <w:r>
        <w:t>[X] dependency updates were applied to this covered core system this month. No security vulnerabilities were identified and uptime held across the monitored supporting services. [Adjust this to reflect what actually happened — keep it to 2–3 sentences.]</w:t>
      </w:r>
    </w:p>
    <w:p>
      <w:pPr>
        <w:pBdr>
          <w:bottom w:val="single" w:color="E2E1DC" w:sz="4" w:space="1"/>
        </w:pBdr>
        <w:spacing w:after="360" w:before="160"/>
      </w:pPr>
      <w:r>
        <w:t xml:space="preserve"/>
      </w:r>
    </w:p>
    <w:p>
      <w:pPr>
        <w:spacing w:after="100" w:before="0"/>
      </w:pPr>
      <w:r>
        <w:rPr>
          <w:rFonts w:ascii="Arial" w:cs="Arial" w:eastAsia="Arial" w:hAnsi="Arial"/>
          <w:color w:val="6B7280"/>
          <w:sz w:val="18"/>
          <w:szCs w:val="18"/>
        </w:rPr>
        <w:t xml:space="preserve">Uptime</w:t>
      </w:r>
    </w:p>
    <w:p>
      <w:pPr>
        <w:spacing w:after="200" w:before="0"/>
      </w:pPr>
      <w:r>
        <w:t>Monitored services for this covered core system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000"/>
        <w:gridCol w:w="2526"/>
      </w:tblGrid>
      <w:tr>
        <w:tc>
          <w:tcPr>
            <w:tcW w:type="dxa" w:w="4500"/>
            <w:tcBorders>
              <w:top w:val="single" w:color="E2E1DC" w:sz="1"/>
              <w:left w:val="single" w:color="E2E1DC" w:sz="1"/>
              <w:bottom w:val="single" w:color="E2E1DC" w:sz="1"/>
              <w:right w:val="single" w:color="E2E1DC" w:sz="1"/>
            </w:tcBorders>
            <w:shd w:fill="F0EFE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D1F3C"/>
                <w:sz w:val="18"/>
                <w:szCs w:val="18"/>
              </w:rPr>
              <w:t xml:space="preserve">Service / URL</w:t>
            </w:r>
          </w:p>
        </w:tc>
        <w:tc>
          <w:tcPr>
            <w:tcW w:type="dxa" w:w="2000"/>
            <w:tcBorders>
              <w:top w:val="single" w:color="E2E1DC" w:sz="1"/>
              <w:left w:val="single" w:color="E2E1DC" w:sz="1"/>
              <w:bottom w:val="single" w:color="E2E1DC" w:sz="1"/>
              <w:right w:val="single" w:color="E2E1DC" w:sz="1"/>
            </w:tcBorders>
            <w:shd w:fill="F0EFE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D1F3C"/>
                <w:sz w:val="18"/>
                <w:szCs w:val="18"/>
              </w:rPr>
              <w:t xml:space="preserve">Status</w:t>
            </w:r>
          </w:p>
        </w:tc>
        <w:tc>
          <w:tcPr>
            <w:tcW w:type="dxa" w:w="2526"/>
            <w:tcBorders>
              <w:top w:val="single" w:color="E2E1DC" w:sz="1"/>
              <w:left w:val="single" w:color="E2E1DC" w:sz="1"/>
              <w:bottom w:val="single" w:color="E2E1DC" w:sz="1"/>
              <w:right w:val="single" w:color="E2E1DC" w:sz="1"/>
            </w:tcBorders>
            <w:shd w:fill="F0EFE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D1F3C"/>
                <w:sz w:val="18"/>
                <w:szCs w:val="18"/>
              </w:rPr>
              <w:t xml:space="preserve">Uptime this period</w:t>
            </w:r>
          </w:p>
        </w:tc>
      </w:tr>
      <w:tr>
        <w:tc>
          <w:tcPr>
            <w:tcW w:type="dxa" w:w="4500"/>
            <w:tcBorders>
              <w:top w:val="single" w:color="E2E1DC" w:sz="1"/>
              <w:left w:val="single" w:color="E2E1DC" w:sz="1"/>
              <w:bottom w:val="single" w:color="E2E1DC" w:sz="1"/>
              <w:right w:val="single" w:color="E2E1D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11827"/>
                <w:sz w:val="18"/>
                <w:szCs w:val="18"/>
              </w:rPr>
              <w:t xml:space="preserve">[https://client-site.co.uk]</w:t>
            </w:r>
          </w:p>
        </w:tc>
        <w:tc>
          <w:tcPr>
            <w:tcW w:type="dxa" w:w="2000"/>
            <w:tcBorders>
              <w:top w:val="single" w:color="E2E1DC" w:sz="1"/>
              <w:left w:val="single" w:color="E2E1DC" w:sz="1"/>
              <w:bottom w:val="single" w:color="E2E1DC" w:sz="1"/>
              <w:right w:val="single" w:color="E2E1D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11827"/>
                <w:sz w:val="18"/>
                <w:szCs w:val="18"/>
              </w:rPr>
              <w:t xml:space="preserve">Healthy</w:t>
            </w:r>
          </w:p>
        </w:tc>
        <w:tc>
          <w:tcPr>
            <w:tcW w:type="dxa" w:w="2526"/>
            <w:tcBorders>
              <w:top w:val="single" w:color="E2E1DC" w:sz="1"/>
              <w:left w:val="single" w:color="E2E1DC" w:sz="1"/>
              <w:bottom w:val="single" w:color="E2E1DC" w:sz="1"/>
              <w:right w:val="single" w:color="E2E1D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[99.9%]</w:t>
            </w:r>
          </w:p>
        </w:tc>
      </w:tr>
      <w:tr>
        <w:tc>
          <w:tcPr>
            <w:tcW w:type="dxa" w:w="4500"/>
            <w:tcBorders>
              <w:top w:val="single" w:color="E2E1DC" w:sz="1"/>
              <w:left w:val="single" w:color="E2E1DC" w:sz="1"/>
              <w:bottom w:val="single" w:color="E2E1DC" w:sz="1"/>
              <w:right w:val="single" w:color="E2E1D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t>[Add supporting services/endpoints for this covered core system as applicable]</w:t>
            </w:r>
          </w:p>
        </w:tc>
        <w:tc>
          <w:tcPr>
            <w:tcW w:type="dxa" w:w="2000"/>
            <w:tcBorders>
              <w:top w:val="single" w:color="E2E1DC" w:sz="1"/>
              <w:left w:val="single" w:color="E2E1DC" w:sz="1"/>
              <w:bottom w:val="single" w:color="E2E1DC" w:sz="1"/>
              <w:right w:val="single" w:color="E2E1D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dxa" w:w="2526"/>
            <w:tcBorders>
              <w:top w:val="single" w:color="E2E1DC" w:sz="1"/>
              <w:left w:val="single" w:color="E2E1DC" w:sz="1"/>
              <w:bottom w:val="single" w:color="E2E1DC" w:sz="1"/>
              <w:right w:val="single" w:color="E2E1D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11827"/>
                <w:sz w:val="18"/>
                <w:szCs w:val="18"/>
              </w:rP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/>
      </w:pPr>
      <w:r>
        <w:rPr>
          <w:rFonts w:ascii="Arial" w:cs="Arial" w:eastAsia="Arial" w:hAnsi="Arial"/>
          <w:i/>
          <w:iCs/>
          <w:color w:val="6B7280"/>
          <w:sz w:val="22"/>
          <w:szCs w:val="22"/>
        </w:rPr>
        <w:t xml:space="preserve">No incidents were recorded this month.</w:t>
      </w:r>
    </w:p>
    <w:p>
      <w:pPr>
        <w:spacing w:after="160"/>
      </w:pPr>
      <w:r>
        <w:rPr>
          <w:rFonts w:ascii="Arial" w:cs="Arial" w:eastAsia="Arial" w:hAnsi="Arial"/>
          <w:i/>
          <w:iCs/>
          <w:color w:val="9CA3AF"/>
          <w:sz w:val="18"/>
          <w:szCs w:val="18"/>
        </w:rPr>
        <w:t xml:space="preserve">Delete the line above if there were incidents and complete the Incidents section on page 2.</w:t>
      </w:r>
    </w:p>
    <w:p>
      <w:pPr>
        <w:pBdr>
          <w:bottom w:val="single" w:color="E2E1DC" w:sz="4" w:space="1"/>
        </w:pBdr>
        <w:spacing w:after="360" w:before="160"/>
      </w:pPr>
      <w:r>
        <w:t xml:space="preserve"/>
      </w:r>
    </w:p>
    <w:p>
      <w:pPr>
        <w:spacing w:after="100" w:before="0"/>
      </w:pPr>
      <w:r>
        <w:rPr>
          <w:rFonts w:ascii="Arial" w:cs="Arial" w:eastAsia="Arial" w:hAnsi="Arial"/>
          <w:color w:val="6B7280"/>
          <w:sz w:val="18"/>
          <w:szCs w:val="18"/>
        </w:rPr>
        <w:t xml:space="preserve">Dependencies</w:t>
      </w:r>
    </w:p>
    <w:p>
      <w:pPr>
        <w:spacing w:after="200" w:before="0"/>
      </w:pPr>
      <w:r>
        <w:rPr>
          <w:rFonts w:ascii="Arial" w:cs="Arial" w:eastAsia="Arial" w:hAnsi="Arial"/>
          <w:b/>
          <w:bCs/>
          <w:color w:val="0D1F3C"/>
          <w:sz w:val="24"/>
          <w:szCs w:val="24"/>
        </w:rPr>
        <w:t xml:space="preserve">Updates applied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700"/>
        <w:gridCol w:w="1700"/>
        <w:gridCol w:w="2426"/>
      </w:tblGrid>
      <w:tr>
        <w:tc>
          <w:tcPr>
            <w:tcW w:type="dxa" w:w="3200"/>
            <w:tcBorders>
              <w:top w:val="single" w:color="E2E1DC" w:sz="1"/>
              <w:left w:val="single" w:color="E2E1DC" w:sz="1"/>
              <w:bottom w:val="single" w:color="E2E1DC" w:sz="1"/>
              <w:right w:val="single" w:color="E2E1DC" w:sz="1"/>
            </w:tcBorders>
            <w:shd w:fill="F0EFE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D1F3C"/>
                <w:sz w:val="18"/>
                <w:szCs w:val="18"/>
              </w:rPr>
              <w:t xml:space="preserve">Package</w:t>
            </w:r>
          </w:p>
        </w:tc>
        <w:tc>
          <w:tcPr>
            <w:tcW w:type="dxa" w:w="1700"/>
            <w:tcBorders>
              <w:top w:val="single" w:color="E2E1DC" w:sz="1"/>
              <w:left w:val="single" w:color="E2E1DC" w:sz="1"/>
              <w:bottom w:val="single" w:color="E2E1DC" w:sz="1"/>
              <w:right w:val="single" w:color="E2E1DC" w:sz="1"/>
            </w:tcBorders>
            <w:shd w:fill="F0EFE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D1F3C"/>
                <w:sz w:val="18"/>
                <w:szCs w:val="18"/>
              </w:rPr>
              <w:t xml:space="preserve">Previous</w:t>
            </w:r>
          </w:p>
        </w:tc>
        <w:tc>
          <w:tcPr>
            <w:tcW w:type="dxa" w:w="1700"/>
            <w:tcBorders>
              <w:top w:val="single" w:color="E2E1DC" w:sz="1"/>
              <w:left w:val="single" w:color="E2E1DC" w:sz="1"/>
              <w:bottom w:val="single" w:color="E2E1DC" w:sz="1"/>
              <w:right w:val="single" w:color="E2E1DC" w:sz="1"/>
            </w:tcBorders>
            <w:shd w:fill="F0EFE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D1F3C"/>
                <w:sz w:val="18"/>
                <w:szCs w:val="18"/>
              </w:rPr>
              <w:t xml:space="preserve">Updated to</w:t>
            </w:r>
          </w:p>
        </w:tc>
        <w:tc>
          <w:tcPr>
            <w:tcW w:type="dxa" w:w="2426"/>
            <w:tcBorders>
              <w:top w:val="single" w:color="E2E1DC" w:sz="1"/>
              <w:left w:val="single" w:color="E2E1DC" w:sz="1"/>
              <w:bottom w:val="single" w:color="E2E1DC" w:sz="1"/>
              <w:right w:val="single" w:color="E2E1DC" w:sz="1"/>
            </w:tcBorders>
            <w:shd w:fill="F0EFE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D1F3C"/>
                <w:sz w:val="18"/>
                <w:szCs w:val="18"/>
              </w:rPr>
              <w:t xml:space="preserve">Type</w:t>
            </w:r>
          </w:p>
        </w:tc>
      </w:tr>
      <w:tr>
        <w:tc>
          <w:tcPr>
            <w:tcW w:type="dxa" w:w="3200"/>
            <w:tcBorders>
              <w:top w:val="single" w:color="E2E1DC" w:sz="1"/>
              <w:left w:val="single" w:color="E2E1DC" w:sz="1"/>
              <w:bottom w:val="single" w:color="E2E1DC" w:sz="1"/>
              <w:right w:val="single" w:color="E2E1D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11827"/>
                <w:sz w:val="18"/>
                <w:szCs w:val="18"/>
              </w:rPr>
              <w:t xml:space="preserve">[package-name]</w:t>
            </w:r>
          </w:p>
        </w:tc>
        <w:tc>
          <w:tcPr>
            <w:tcW w:type="dxa" w:w="1700"/>
            <w:tcBorders>
              <w:top w:val="single" w:color="E2E1DC" w:sz="1"/>
              <w:left w:val="single" w:color="E2E1DC" w:sz="1"/>
              <w:bottom w:val="single" w:color="E2E1DC" w:sz="1"/>
              <w:right w:val="single" w:color="E2E1D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[1.2.3]</w:t>
            </w:r>
          </w:p>
        </w:tc>
        <w:tc>
          <w:tcPr>
            <w:tcW w:type="dxa" w:w="1700"/>
            <w:tcBorders>
              <w:top w:val="single" w:color="E2E1DC" w:sz="1"/>
              <w:left w:val="single" w:color="E2E1DC" w:sz="1"/>
              <w:bottom w:val="single" w:color="E2E1DC" w:sz="1"/>
              <w:right w:val="single" w:color="E2E1D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11827"/>
                <w:sz w:val="18"/>
                <w:szCs w:val="18"/>
              </w:rPr>
              <w:t xml:space="preserve">[1.2.4]</w:t>
            </w:r>
          </w:p>
        </w:tc>
        <w:tc>
          <w:tcPr>
            <w:tcW w:type="dxa" w:w="2426"/>
            <w:tcBorders>
              <w:top w:val="single" w:color="E2E1DC" w:sz="1"/>
              <w:left w:val="single" w:color="E2E1DC" w:sz="1"/>
              <w:bottom w:val="single" w:color="E2E1DC" w:sz="1"/>
              <w:right w:val="single" w:color="E2E1D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Patch</w:t>
            </w:r>
          </w:p>
        </w:tc>
      </w:tr>
      <w:tr>
        <w:tc>
          <w:tcPr>
            <w:tcW w:type="dxa" w:w="3200"/>
            <w:tcBorders>
              <w:top w:val="single" w:color="E2E1DC" w:sz="1"/>
              <w:left w:val="single" w:color="E2E1DC" w:sz="1"/>
              <w:bottom w:val="single" w:color="E2E1DC" w:sz="1"/>
              <w:right w:val="single" w:color="E2E1D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11827"/>
                <w:sz w:val="18"/>
                <w:szCs w:val="18"/>
              </w:rPr>
              <w:t xml:space="preserve">[package-name]</w:t>
            </w:r>
          </w:p>
        </w:tc>
        <w:tc>
          <w:tcPr>
            <w:tcW w:type="dxa" w:w="1700"/>
            <w:tcBorders>
              <w:top w:val="single" w:color="E2E1DC" w:sz="1"/>
              <w:left w:val="single" w:color="E2E1DC" w:sz="1"/>
              <w:bottom w:val="single" w:color="E2E1DC" w:sz="1"/>
              <w:right w:val="single" w:color="E2E1D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[4.0.1]</w:t>
            </w:r>
          </w:p>
        </w:tc>
        <w:tc>
          <w:tcPr>
            <w:tcW w:type="dxa" w:w="1700"/>
            <w:tcBorders>
              <w:top w:val="single" w:color="E2E1DC" w:sz="1"/>
              <w:left w:val="single" w:color="E2E1DC" w:sz="1"/>
              <w:bottom w:val="single" w:color="E2E1DC" w:sz="1"/>
              <w:right w:val="single" w:color="E2E1D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11827"/>
                <w:sz w:val="18"/>
                <w:szCs w:val="18"/>
              </w:rPr>
              <w:t xml:space="preserve">[4.1.0]</w:t>
            </w:r>
          </w:p>
        </w:tc>
        <w:tc>
          <w:tcPr>
            <w:tcW w:type="dxa" w:w="2426"/>
            <w:tcBorders>
              <w:top w:val="single" w:color="E2E1DC" w:sz="1"/>
              <w:left w:val="single" w:color="E2E1DC" w:sz="1"/>
              <w:bottom w:val="single" w:color="E2E1DC" w:sz="1"/>
              <w:right w:val="single" w:color="E2E1D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Minor</w:t>
            </w:r>
          </w:p>
        </w:tc>
      </w:tr>
      <w:tr>
        <w:tc>
          <w:tcPr>
            <w:tcW w:type="dxa" w:w="3200"/>
            <w:tcBorders>
              <w:top w:val="single" w:color="E2E1DC" w:sz="1"/>
              <w:left w:val="single" w:color="E2E1DC" w:sz="1"/>
              <w:bottom w:val="single" w:color="E2E1DC" w:sz="1"/>
              <w:right w:val="single" w:color="E2E1D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Add rows as needed</w:t>
            </w:r>
          </w:p>
        </w:tc>
        <w:tc>
          <w:tcPr>
            <w:tcW w:type="dxa" w:w="1700"/>
            <w:tcBorders>
              <w:top w:val="single" w:color="E2E1DC" w:sz="1"/>
              <w:left w:val="single" w:color="E2E1DC" w:sz="1"/>
              <w:bottom w:val="single" w:color="E2E1DC" w:sz="1"/>
              <w:right w:val="single" w:color="E2E1D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E2E1DC" w:sz="1"/>
              <w:left w:val="single" w:color="E2E1DC" w:sz="1"/>
              <w:bottom w:val="single" w:color="E2E1DC" w:sz="1"/>
              <w:right w:val="single" w:color="E2E1D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dxa" w:w="2426"/>
            <w:tcBorders>
              <w:top w:val="single" w:color="E2E1DC" w:sz="1"/>
              <w:left w:val="single" w:color="E2E1DC" w:sz="1"/>
              <w:bottom w:val="single" w:color="E2E1DC" w:sz="1"/>
              <w:right w:val="single" w:color="E2E1D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11827"/>
                <w:sz w:val="18"/>
                <w:szCs w:val="18"/>
              </w:rPr>
              <w:t xml:space="preserve"/>
            </w:r>
          </w:p>
        </w:tc>
      </w:tr>
    </w:tbl>
    <w:p>
      <w:pPr>
        <w:spacing w:after="24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Held back</w:t>
      </w:r>
    </w:p>
    <w:p>
      <w:pPr>
        <w:spacing w:after="1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[Package name] — [Reason. E.g. major version requiring review of breaking changes before applying. Scheduled for next month.]</w:t>
      </w:r>
    </w:p>
    <w:p>
      <w:pPr>
        <w:spacing w:after="160"/>
      </w:pPr>
      <w:r>
        <w:rPr>
          <w:rFonts w:ascii="Arial" w:cs="Arial" w:eastAsia="Arial" w:hAnsi="Arial"/>
          <w:i/>
          <w:iCs/>
          <w:color w:val="9CA3AF"/>
          <w:sz w:val="18"/>
          <w:szCs w:val="18"/>
        </w:rPr>
        <w:t xml:space="preserve">Delete this block if nothing was held back.</w:t>
      </w:r>
    </w:p>
    <w:p>
      <w:r>
        <w:br w:type="page"/>
      </w:r>
    </w:p>
    <w:p>
      <w:pPr>
        <w:spacing w:after="100" w:before="0"/>
      </w:pPr>
      <w:r>
        <w:rPr>
          <w:rFonts w:ascii="Arial" w:cs="Arial" w:eastAsia="Arial" w:hAnsi="Arial"/>
          <w:color w:val="6B7280"/>
          <w:sz w:val="18"/>
          <w:szCs w:val="18"/>
        </w:rPr>
        <w:t xml:space="preserve">Security</w:t>
      </w:r>
    </w:p>
    <w:p>
      <w:pPr>
        <w:spacing w:after="200" w:before="0"/>
      </w:pPr>
      <w:r>
        <w:rPr>
          <w:rFonts w:ascii="Arial" w:cs="Arial" w:eastAsia="Arial" w:hAnsi="Arial"/>
          <w:b/>
          <w:bCs/>
          <w:color w:val="0D1F3C"/>
          <w:sz w:val="24"/>
          <w:szCs w:val="24"/>
        </w:rPr>
        <w:t xml:space="preserve">Vulnerability status</w:t>
      </w:r>
    </w:p>
    <w:p>
      <w:pPr>
        <w:spacing w:after="1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No new CVEs affecting the current dependency tree were identified this month.</w:t>
      </w:r>
    </w:p>
    <w:p>
      <w:pPr>
        <w:spacing w:after="160"/>
      </w:pPr>
      <w:r>
        <w:rPr>
          <w:rFonts w:ascii="Arial" w:cs="Arial" w:eastAsia="Arial" w:hAnsi="Arial"/>
          <w:i/>
          <w:iCs/>
          <w:color w:val="9CA3AF"/>
          <w:sz w:val="18"/>
          <w:szCs w:val="18"/>
        </w:rPr>
        <w:t xml:space="preserve">Replace with specifics if any CVEs were identified or addressed. Include CVE reference numbers where relevant.</w:t>
      </w:r>
    </w:p>
    <w:p>
      <w:pPr>
        <w:pBdr>
          <w:bottom w:val="single" w:color="E2E1DC" w:sz="4" w:space="1"/>
        </w:pBdr>
        <w:spacing w:after="360" w:before="160"/>
      </w:pPr>
      <w:r>
        <w:t xml:space="preserve"/>
      </w:r>
    </w:p>
    <w:p>
      <w:pPr>
        <w:spacing w:after="100" w:before="0"/>
      </w:pPr>
      <w:r>
        <w:rPr>
          <w:rFonts w:ascii="Arial" w:cs="Arial" w:eastAsia="Arial" w:hAnsi="Arial"/>
          <w:color w:val="6B7280"/>
          <w:sz w:val="18"/>
          <w:szCs w:val="18"/>
        </w:rPr>
        <w:t xml:space="preserve">Incidents</w:t>
      </w:r>
    </w:p>
    <w:p>
      <w:pPr>
        <w:spacing w:after="200" w:before="0"/>
      </w:pPr>
      <w:r>
        <w:rPr>
          <w:rFonts w:ascii="Arial" w:cs="Arial" w:eastAsia="Arial" w:hAnsi="Arial"/>
          <w:b/>
          <w:bCs/>
          <w:color w:val="0D1F3C"/>
          <w:sz w:val="24"/>
          <w:szCs w:val="24"/>
        </w:rPr>
        <w:t xml:space="preserve">Response log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B7280"/>
          <w:sz w:val="22"/>
          <w:szCs w:val="22"/>
        </w:rPr>
        <w:t xml:space="preserve">No incidents this month.</w:t>
      </w:r>
    </w:p>
    <w:p>
      <w:pPr>
        <w:spacing w:after="160"/>
      </w:pPr>
      <w:r>
        <w:rPr>
          <w:rFonts w:ascii="Arial" w:cs="Arial" w:eastAsia="Arial" w:hAnsi="Arial"/>
          <w:i/>
          <w:iCs/>
          <w:color w:val="9CA3AF"/>
          <w:sz w:val="18"/>
          <w:szCs w:val="18"/>
        </w:rPr>
        <w:t xml:space="preserve">Replace with the table below if there were incidents. Delete both this line and the table if not needed.</w:t>
      </w:r>
    </w:p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3000"/>
        <w:gridCol w:w="2626"/>
      </w:tblGrid>
      <w:tr>
        <w:tc>
          <w:tcPr>
            <w:tcW w:type="dxa" w:w="1800"/>
            <w:tcBorders>
              <w:top w:val="single" w:color="E2E1DC" w:sz="1"/>
              <w:left w:val="single" w:color="E2E1DC" w:sz="1"/>
              <w:bottom w:val="single" w:color="E2E1DC" w:sz="1"/>
              <w:right w:val="single" w:color="E2E1DC" w:sz="1"/>
            </w:tcBorders>
            <w:shd w:fill="F0EFE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D1F3C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E2E1DC" w:sz="1"/>
              <w:left w:val="single" w:color="E2E1DC" w:sz="1"/>
              <w:bottom w:val="single" w:color="E2E1DC" w:sz="1"/>
              <w:right w:val="single" w:color="E2E1DC" w:sz="1"/>
            </w:tcBorders>
            <w:shd w:fill="F0EFE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D1F3C"/>
                <w:sz w:val="18"/>
                <w:szCs w:val="18"/>
              </w:rPr>
              <w:t xml:space="preserve">Duration</w:t>
            </w:r>
          </w:p>
        </w:tc>
        <w:tc>
          <w:tcPr>
            <w:tcW w:type="dxa" w:w="3000"/>
            <w:tcBorders>
              <w:top w:val="single" w:color="E2E1DC" w:sz="1"/>
              <w:left w:val="single" w:color="E2E1DC" w:sz="1"/>
              <w:bottom w:val="single" w:color="E2E1DC" w:sz="1"/>
              <w:right w:val="single" w:color="E2E1DC" w:sz="1"/>
            </w:tcBorders>
            <w:shd w:fill="F0EFE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D1F3C"/>
                <w:sz w:val="18"/>
                <w:szCs w:val="18"/>
              </w:rPr>
              <w:t xml:space="preserve">Impact</w:t>
            </w:r>
          </w:p>
        </w:tc>
        <w:tc>
          <w:tcPr>
            <w:tcW w:type="dxa" w:w="2626"/>
            <w:tcBorders>
              <w:top w:val="single" w:color="E2E1DC" w:sz="1"/>
              <w:left w:val="single" w:color="E2E1DC" w:sz="1"/>
              <w:bottom w:val="single" w:color="E2E1DC" w:sz="1"/>
              <w:right w:val="single" w:color="E2E1DC" w:sz="1"/>
            </w:tcBorders>
            <w:shd w:fill="F0EFE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D1F3C"/>
                <w:sz w:val="18"/>
                <w:szCs w:val="18"/>
              </w:rPr>
              <w:t xml:space="preserve">Resolution</w:t>
            </w:r>
          </w:p>
        </w:tc>
      </w:tr>
      <w:tr>
        <w:tc>
          <w:tcPr>
            <w:tcW w:type="dxa" w:w="1800"/>
            <w:tcBorders>
              <w:top w:val="single" w:color="E2E1DC" w:sz="1"/>
              <w:left w:val="single" w:color="E2E1DC" w:sz="1"/>
              <w:bottom w:val="single" w:color="E2E1DC" w:sz="1"/>
              <w:right w:val="single" w:color="E2E1D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[DD/MM/YY]</w:t>
            </w:r>
          </w:p>
        </w:tc>
        <w:tc>
          <w:tcPr>
            <w:tcW w:type="dxa" w:w="1600"/>
            <w:tcBorders>
              <w:top w:val="single" w:color="E2E1DC" w:sz="1"/>
              <w:left w:val="single" w:color="E2E1DC" w:sz="1"/>
              <w:bottom w:val="single" w:color="E2E1DC" w:sz="1"/>
              <w:right w:val="single" w:color="E2E1D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[X min]</w:t>
            </w:r>
          </w:p>
        </w:tc>
        <w:tc>
          <w:tcPr>
            <w:tcW w:type="dxa" w:w="3000"/>
            <w:tcBorders>
              <w:top w:val="single" w:color="E2E1DC" w:sz="1"/>
              <w:left w:val="single" w:color="E2E1DC" w:sz="1"/>
              <w:bottom w:val="single" w:color="E2E1DC" w:sz="1"/>
              <w:right w:val="single" w:color="E2E1D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11827"/>
                <w:sz w:val="18"/>
                <w:szCs w:val="18"/>
              </w:rPr>
              <w:t xml:space="preserve">[What was affected and how]</w:t>
            </w:r>
          </w:p>
        </w:tc>
        <w:tc>
          <w:tcPr>
            <w:tcW w:type="dxa" w:w="2626"/>
            <w:tcBorders>
              <w:top w:val="single" w:color="E2E1DC" w:sz="1"/>
              <w:left w:val="single" w:color="E2E1DC" w:sz="1"/>
              <w:bottom w:val="single" w:color="E2E1DC" w:sz="1"/>
              <w:right w:val="single" w:color="E2E1D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11827"/>
                <w:sz w:val="18"/>
                <w:szCs w:val="18"/>
              </w:rPr>
              <w:t xml:space="preserve">[How it was resolved]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i/>
          <w:iCs/>
          <w:color w:val="9CA3AF"/>
          <w:sz w:val="18"/>
          <w:szCs w:val="18"/>
        </w:rPr>
        <w:t xml:space="preserve">Response SLA: 8 business hours for critical production breaks (Monday to Friday, 09:00–17:00 UK time). Out-of-hours incidents are not covered by the SLA. Log all incidents here regardless of severity.</w:t>
      </w:r>
    </w:p>
    <w:p>
      <w:pPr>
        <w:pBdr>
          <w:bottom w:val="single" w:color="E2E1DC" w:sz="4" w:space="1"/>
        </w:pBdr>
        <w:spacing w:after="360" w:before="160"/>
      </w:pPr>
      <w:r>
        <w:t xml:space="preserve"/>
      </w:r>
    </w:p>
    <w:p>
      <w:pPr>
        <w:spacing w:after="100" w:before="0"/>
      </w:pPr>
      <w:r>
        <w:rPr>
          <w:rFonts w:ascii="Arial" w:cs="Arial" w:eastAsia="Arial" w:hAnsi="Arial"/>
          <w:color w:val="6B7280"/>
          <w:sz w:val="18"/>
          <w:szCs w:val="18"/>
        </w:rPr>
        <w:t xml:space="preserve">Next month</w:t>
      </w:r>
    </w:p>
    <w:p>
      <w:pPr>
        <w:spacing w:after="200" w:before="0"/>
      </w:pPr>
      <w:r>
        <w:rPr>
          <w:rFonts w:ascii="Arial" w:cs="Arial" w:eastAsia="Arial" w:hAnsi="Arial"/>
          <w:b/>
          <w:bCs/>
          <w:color w:val="0D1F3C"/>
          <w:sz w:val="24"/>
          <w:szCs w:val="24"/>
        </w:rPr>
        <w:t xml:space="preserve">What to expect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[Dependency upgrades or work already identified for next month]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[Major version updates that need review or sign-off before applying]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[Anything flagged this month that warrants attention going forward]</w:t>
      </w:r>
    </w:p>
    <w:p>
      <w:pPr>
        <w:spacing w:after="100"/>
      </w:pPr>
      <w:r>
        <w:t xml:space="preserve"/>
      </w:r>
    </w:p>
    <w:p>
      <w:pPr>
        <w:spacing w:after="160"/>
      </w:pPr>
      <w:r>
        <w:t>Use this section to flag anything that needs a decision or input from the client before next month. Keep it specific to this covered core system.</w:t>
      </w:r>
    </w:p>
    <w:p>
      <w:pPr>
        <w:pBdr>
          <w:bottom w:val="single" w:color="E2E1DC" w:sz="4" w:space="1"/>
        </w:pBdr>
        <w:spacing w:after="360" w:before="160"/>
      </w:pPr>
      <w:r>
        <w:t xml:space="preserve"/>
      </w:r>
    </w:p>
    <w:p>
      <w:pPr>
        <w:spacing w:after="100" w:before="0"/>
      </w:pPr>
      <w:r>
        <w:rPr>
          <w:rFonts w:ascii="Arial" w:cs="Arial" w:eastAsia="Arial" w:hAnsi="Arial"/>
          <w:color w:val="6B7280"/>
          <w:sz w:val="18"/>
          <w:szCs w:val="18"/>
        </w:rPr>
        <w:t xml:space="preserve">Notes</w:t>
      </w:r>
    </w:p>
    <w:p>
      <w:pPr>
        <w:spacing w:after="200" w:before="0"/>
      </w:pPr>
      <w:r>
        <w:rPr>
          <w:rFonts w:ascii="Arial" w:cs="Arial" w:eastAsia="Arial" w:hAnsi="Arial"/>
          <w:b/>
          <w:bCs/>
          <w:color w:val="0D1F3C"/>
          <w:sz w:val="24"/>
          <w:szCs w:val="24"/>
        </w:rPr>
        <w:t xml:space="preserve">Anything else</w:t>
      </w:r>
    </w:p>
    <w:p>
      <w:pPr>
        <w:spacing w:after="1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[Use this section for observations about the codebase, patterns worth monitoring, or anything that doesn't fit above. Delete if nothing to add.]</w:t>
      </w:r>
    </w:p>
    <w:p>
      <w:pPr>
        <w:spacing w:after="120"/>
      </w:pPr>
      <w:r>
        <w:t xml:space="preserve"/>
      </w:r>
    </w:p>
    <w:p>
      <w:pPr>
        <w:spacing w:after="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Questions? </w:t>
      </w:r>
      <w:r>
        <w:rPr>
          <w:rFonts w:ascii="Arial" w:cs="Arial" w:eastAsia="Arial" w:hAnsi="Arial"/>
          <w:color w:val="0D1F3C"/>
          <w:sz w:val="22"/>
          <w:szCs w:val="22"/>
        </w:rPr>
        <w:t xml:space="preserve">hello@tensileinfrastructure.co.uk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1DC" w:sz="4" w:space="4"/>
      </w:pBdr>
      <w:tabs>
        <w:tab w:val="right" w:pos="9026"/>
      </w:tabs>
      <w:spacing w:before="120"/>
    </w:pPr>
    <w:r>
      <w:rPr>
        <w:rFonts w:ascii="Arial" w:cs="Arial" w:eastAsia="Arial" w:hAnsi="Arial"/>
        <w:color w:val="9CA3AF"/>
        <w:sz w:val="16"/>
        <w:szCs w:val="16"/>
      </w:rPr>
      <w:t xml:space="preserve">Confidential  ·  Tensile Infrastructure Ltd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9CA3A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1DC" w:sz="4" w:space="4"/>
      </w:pBdr>
      <w:tabs>
        <w:tab w:val="right" w:pos="9026"/>
      </w:tabs>
      <w:spacing w:after="0"/>
    </w:pPr>
    <w:r>
      <w:rPr>
        <w:rFonts w:ascii="Arial" w:cs="Arial" w:eastAsia="Arial" w:hAnsi="Arial"/>
        <w:b/>
        <w:bCs/>
        <w:color w:val="0D1F3C"/>
        <w:sz w:val="18"/>
        <w:szCs w:val="18"/>
      </w:rPr>
      <w:t xml:space="preserve">Tensile Infrastructure</w:t>
    </w:r>
    <w:r>
      <w:rPr>
        <w:rFonts w:ascii="Arial" w:cs="Arial" w:eastAsia="Arial" w:hAnsi="Arial"/>
        <w:color w:val="6B7280"/>
        <w:sz w:val="18"/>
        <w:szCs w:val="18"/>
      </w:rPr>
      <w:t xml:space="preserve">	Monthly Retainer Update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2026-04-05T10:15:30.192Z</dcterms:created>
  <dcterms:modified xsi:type="dcterms:W3CDTF">2026-04-05T10:15:30.192Z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