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D1F3C"/>
          <w:sz w:val="44"/>
          <w:szCs w:val="44"/>
        </w:rPr>
        <w:t xml:space="preserve">Safety Retainer Agreement</w:t>
      </w:r>
    </w:p>
    <w:p>
      <w:pPr>
        <w:spacing w:after="0"/>
      </w:pPr>
      <w:r>
        <w:rPr>
          <w:rFonts w:ascii="Arial" w:cs="Arial" w:eastAsia="Arial" w:hAnsi="Arial"/>
          <w:color w:val="6B7280"/>
          <w:sz w:val="22"/>
          <w:szCs w:val="22"/>
        </w:rPr>
        <w:t xml:space="preserve">This agreement is between the two parties named below and governs the provision of ongoing software maintenance services.</w:t>
      </w:r>
    </w:p>
    <w:p>
      <w:pPr>
        <w:pBdr>
          <w:bottom w:val="single" w:color="E2E1DC" w:sz="4" w:space="1"/>
        </w:pBdr>
        <w:spacing w:after="320" w:before="200"/>
      </w:pPr>
      <w:r>
        <w:t xml:space="preserve"/>
      </w:r>
    </w:p>
    <w:p>
      <w:pPr>
        <w:spacing w:after="160"/>
      </w:pPr>
      <w:r>
        <w:rPr>
          <w:rFonts w:ascii="Arial" w:cs="Arial" w:eastAsia="Arial" w:hAnsi="Arial"/>
          <w:b/>
          <w:bCs/>
          <w:color w:val="0D1F3C"/>
          <w:sz w:val="22"/>
          <w:szCs w:val="22"/>
        </w:rPr>
        <w:t xml:space="preserve">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Arial" w:cs="Arial" w:eastAsia="Arial" w:hAnsi="Arial"/>
                <w:b/>
                <w:bCs/>
                <w:color w:val="6B7280"/>
                <w:sz w:val="20"/>
                <w:szCs w:val="20"/>
              </w:rPr>
              <w:t xml:space="preserve">Provider</w:t>
            </w:r>
          </w:p>
        </w:tc>
        <w:tc>
          <w:tcPr>
            <w:tcW w:type="dxa" w:w="72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827"/>
                <w:sz w:val="22"/>
                <w:szCs w:val="22"/>
              </w:rPr>
              <w:t xml:space="preserve">Tensile Infrastructure Ltd</w:t>
            </w:r>
            <w:r>
              <w:rPr>
                <w:rFonts w:ascii="Arial" w:cs="Arial" w:eastAsia="Arial" w:hAnsi="Arial"/>
                <w:color w:val="111827"/>
                <w:sz w:val="22"/>
                <w:szCs w:val="22"/>
              </w:rPr>
              <w:t xml:space="preserve">, registered in England and Wales (Company No. 17139591), whose registered office is at 71-75 Shelton Street, Covent Garden, London, WC2H 9JQ.</w:t>
            </w:r>
          </w:p>
        </w:tc>
      </w:tr>
      <w:tr>
        <w:tc>
          <w:tcPr>
            <w:tcW w:type="dxa" w:w="18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Arial" w:cs="Arial" w:eastAsia="Arial" w:hAnsi="Arial"/>
                <w:b/>
                <w:bCs/>
                <w:color w:val="6B7280"/>
                <w:sz w:val="20"/>
                <w:szCs w:val="20"/>
              </w:rPr>
              <w:t xml:space="preserve">Client</w:t>
            </w:r>
          </w:p>
        </w:tc>
        <w:tc>
          <w:tcPr>
            <w:tcW w:type="dxa" w:w="72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11827"/>
                <w:sz w:val="22"/>
                <w:szCs w:val="22"/>
              </w:rPr>
              <w:t xml:space="preserve">[Client company name]</w:t>
            </w:r>
            <w:r>
              <w:rPr>
                <w:rFonts w:ascii="Arial" w:cs="Arial" w:eastAsia="Arial" w:hAnsi="Arial"/>
                <w:color w:val="111827"/>
                <w:sz w:val="22"/>
                <w:szCs w:val="22"/>
              </w:rPr>
              <w:t xml:space="preserve">, [registered in England and Wales / incorporated in [jurisdiction]] (Company No. [XXXXXXXX]), whose registered office is at [Address].</w:t>
            </w:r>
          </w:p>
        </w:tc>
      </w:tr>
      <w:tr>
        <w:tc>
          <w:tcPr>
            <w:tcW w:type="dxa" w:w="18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Arial" w:cs="Arial" w:eastAsia="Arial" w:hAnsi="Arial"/>
                <w:b/>
                <w:bCs/>
                <w:color w:val="6B7280"/>
                <w:sz w:val="20"/>
                <w:szCs w:val="20"/>
              </w:rPr>
              <w:t xml:space="preserve">Effective date</w:t>
            </w:r>
          </w:p>
        </w:tc>
        <w:tc>
          <w:tcPr>
            <w:tcW w:type="dxa" w:w="72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111827"/>
                <w:sz w:val="22"/>
                <w:szCs w:val="22"/>
              </w:rPr>
              <w:t xml:space="preserve">[DD Month YYYY]</w:t>
            </w:r>
          </w:p>
        </w:tc>
      </w:tr>
    </w:tbl>
    <w:p>
      <w:pPr>
        <w:pBdr>
          <w:bottom w:val="single" w:color="E2E1DC" w:sz="4" w:space="1"/>
        </w:pBdr>
        <w:spacing w:after="320" w:before="200"/>
      </w:pPr>
      <w:r>
        <w:t xml:space="preserve"/>
      </w:r>
    </w:p>
    <w:p>
      <w:pPr>
        <w:spacing w:after="120" w:before="280"/>
      </w:pPr>
      <w:r>
        <w:rPr>
          <w:rFonts w:ascii="Arial" w:cs="Arial" w:eastAsia="Arial" w:hAnsi="Arial"/>
          <w:b/>
          <w:bCs/>
          <w:color w:val="0D1F3C"/>
          <w:sz w:val="22"/>
          <w:szCs w:val="22"/>
        </w:rPr>
        <w:t>1.  Services</w:t>
      </w:r>
    </w:p>
    <w:p>
      <w:pPr>
        <w:spacing w:after="0"/>
        <w:ind w:left="480"/>
      </w:pPr>
      <w:r>
        <w:rPr>
          <w:rFonts w:ascii="Arial" w:cs="Arial" w:eastAsia="Arial" w:hAnsi="Arial"/>
          <w:color w:val="111827"/>
          <w:sz w:val="22"/>
          <w:szCs w:val="22"/>
        </w:rPr>
        <w:t xml:space="preserve">The Provider will supply the following services to the Client on a monthly rolling basis (the “Services”):</w:t>
      </w:r>
    </w:p>
    <w:p>
      <w:pPr>
        <w:pStyle w:val="ListParagraph"/>
        <w:numPr>
          <w:ilvl w:val="0"/>
          <w:numId w:val="2"/>
        </w:numPr>
        <w:spacing w:after="100"/>
      </w:pPr>
      <w:r>
        <w:rPr>
          <w:rFonts w:ascii="Arial" w:cs="Arial" w:eastAsia="Arial" w:hAnsi="Arial"/>
          <w:color w:val="111827"/>
          <w:sz w:val="22"/>
          <w:szCs w:val="22"/>
        </w:rPr>
        <w:t xml:space="preserve">Monitoring of agreed production systems for availability and uptime.</w:t>
      </w:r>
    </w:p>
    <w:p>
      <w:pPr>
        <w:pStyle w:val="ListParagraph"/>
        <w:numPr>
          <w:ilvl w:val="0"/>
          <w:numId w:val="2"/>
        </w:numPr>
        <w:spacing w:after="100"/>
      </w:pPr>
      <w:r>
        <w:t>Review and application of dependency updates and security patches to each covered core system listed in Schedule A.</w:t>
      </w:r>
    </w:p>
    <w:p>
      <w:pPr>
        <w:pStyle w:val="ListParagraph"/>
        <w:numPr>
          <w:ilvl w:val="0"/>
          <w:numId w:val="2"/>
        </w:numPr>
        <w:spacing w:after="100"/>
      </w:pPr>
      <w:r>
        <w:rPr>
          <w:rFonts w:ascii="Arial" w:cs="Arial" w:eastAsia="Arial" w:hAnsi="Arial"/>
          <w:color w:val="111827"/>
          <w:sz w:val="22"/>
          <w:szCs w:val="22"/>
        </w:rPr>
        <w:t xml:space="preserve">A written monthly update summarising work completed, uptime performance, and any outstanding items.</w:t>
      </w:r>
    </w:p>
    <w:p>
      <w:pPr>
        <w:pStyle w:val="ListParagraph"/>
        <w:numPr>
          <w:ilvl w:val="0"/>
          <w:numId w:val="2"/>
        </w:numPr>
        <w:spacing w:after="100"/>
      </w:pPr>
      <w:r>
        <w:rPr>
          <w:rFonts w:ascii="Arial" w:cs="Arial" w:eastAsia="Arial" w:hAnsi="Arial"/>
          <w:color w:val="111827"/>
          <w:sz w:val="22"/>
          <w:szCs w:val="22"/>
        </w:rPr>
        <w:t xml:space="preserve">An 8-hour response to critical production incidents during business hours (Monday to Friday, 09:00–17:00 UK time), where “critical” means a production system is fully unavailable or materially degraded.</w:t>
      </w:r>
    </w:p>
    <w:p>
      <w:pPr>
        <w:spacing w:after="100"/>
      </w:pPr>
      <w:r>
        <w:t xml:space="preserve"/>
      </w:r>
    </w:p>
    <w:p>
      <w:pPr>
        <w:spacing w:after="0"/>
        <w:ind w:left="480"/>
      </w:pPr>
      <w:r>
        <w:t>The covered core systems, repositories, and production URLs to which these Services apply are listed in Schedule A. Each covered core system listed there is billed separately.</w:t>
      </w:r>
    </w:p>
    <w:p>
      <w:pPr>
        <w:spacing w:after="120" w:before="280"/>
      </w:pPr>
      <w:r>
        <w:rPr>
          <w:rFonts w:ascii="Arial" w:cs="Arial" w:eastAsia="Arial" w:hAnsi="Arial"/>
          <w:b/>
          <w:bCs/>
          <w:color w:val="0D1F3C"/>
          <w:sz w:val="22"/>
          <w:szCs w:val="22"/>
        </w:rPr>
        <w:t>2.  What is not included</w:t>
      </w:r>
    </w:p>
    <w:p>
      <w:pPr>
        <w:spacing w:after="0"/>
        <w:ind w:left="480"/>
      </w:pPr>
      <w:r>
        <w:rPr>
          <w:rFonts w:ascii="Arial" w:cs="Arial" w:eastAsia="Arial" w:hAnsi="Arial"/>
          <w:color w:val="111827"/>
          <w:sz w:val="22"/>
          <w:szCs w:val="22"/>
        </w:rPr>
        <w:t xml:space="preserve">The Services do not include, and the Provider has no obligation to carry out, any of the following:</w:t>
      </w:r>
    </w:p>
    <w:p>
      <w:pPr>
        <w:pStyle w:val="ListParagraph"/>
        <w:numPr>
          <w:ilvl w:val="0"/>
          <w:numId w:val="2"/>
        </w:numPr>
        <w:spacing w:after="100"/>
      </w:pPr>
      <w:r>
        <w:rPr>
          <w:rFonts w:ascii="Arial" w:cs="Arial" w:eastAsia="Arial" w:hAnsi="Arial"/>
          <w:color w:val="111827"/>
          <w:sz w:val="22"/>
          <w:szCs w:val="22"/>
        </w:rPr>
        <w:t xml:space="preserve">Development of new features or functionality.</w:t>
      </w:r>
    </w:p>
    <w:p>
      <w:pPr>
        <w:pStyle w:val="ListParagraph"/>
        <w:numPr>
          <w:ilvl w:val="0"/>
          <w:numId w:val="2"/>
        </w:numPr>
        <w:spacing w:after="100"/>
      </w:pPr>
      <w:r>
        <w:rPr>
          <w:rFonts w:ascii="Arial" w:cs="Arial" w:eastAsia="Arial" w:hAnsi="Arial"/>
          <w:color w:val="111827"/>
          <w:sz w:val="22"/>
          <w:szCs w:val="22"/>
        </w:rPr>
        <w:t xml:space="preserve">Architectural changes or refactoring.</w:t>
      </w:r>
    </w:p>
    <w:p>
      <w:pPr>
        <w:pStyle w:val="ListParagraph"/>
        <w:numPr>
          <w:ilvl w:val="0"/>
          <w:numId w:val="2"/>
        </w:numPr>
        <w:spacing w:after="100"/>
      </w:pPr>
      <w:r>
        <w:rPr>
          <w:rFonts w:ascii="Arial" w:cs="Arial" w:eastAsia="Arial" w:hAnsi="Arial"/>
          <w:color w:val="111827"/>
          <w:sz w:val="22"/>
          <w:szCs w:val="22"/>
        </w:rPr>
        <w:t xml:space="preserve">Issues arising from changes made to the codebase by the Client or any third party outside this agreement.</w:t>
      </w:r>
    </w:p>
    <w:p>
      <w:pPr>
        <w:pStyle w:val="ListParagraph"/>
        <w:numPr>
          <w:ilvl w:val="0"/>
          <w:numId w:val="2"/>
        </w:numPr>
        <w:spacing w:after="100"/>
      </w:pPr>
      <w:r>
        <w:rPr>
          <w:rFonts w:ascii="Arial" w:cs="Arial" w:eastAsia="Arial" w:hAnsi="Arial"/>
          <w:color w:val="111827"/>
          <w:sz w:val="22"/>
          <w:szCs w:val="22"/>
        </w:rPr>
        <w:t xml:space="preserve">Support for systems or codebases not listed in Schedule A.</w:t>
      </w:r>
    </w:p>
    <w:p>
      <w:pPr>
        <w:pStyle w:val="ListParagraph"/>
        <w:numPr>
          <w:ilvl w:val="0"/>
          <w:numId w:val="2"/>
        </w:numPr>
        <w:spacing w:after="100"/>
      </w:pPr>
      <w:r>
        <w:rPr>
          <w:rFonts w:ascii="Arial" w:cs="Arial" w:eastAsia="Arial" w:hAnsi="Arial"/>
          <w:color w:val="111827"/>
          <w:sz w:val="22"/>
          <w:szCs w:val="22"/>
        </w:rPr>
        <w:t xml:space="preserve">Out-of-hours incident response beyond the SLA defined in clause 1.</w:t>
      </w:r>
    </w:p>
    <w:p>
      <w:pPr>
        <w:spacing w:after="100"/>
      </w:pPr>
      <w:r>
        <w:t xml:space="preserve"/>
      </w:r>
    </w:p>
    <w:p>
      <w:pPr>
        <w:spacing w:after="0"/>
        <w:ind w:left="480"/>
      </w:pPr>
      <w:r>
        <w:rPr>
          <w:rFonts w:ascii="Arial" w:cs="Arial" w:eastAsia="Arial" w:hAnsi="Arial"/>
          <w:color w:val="111827"/>
          <w:sz w:val="22"/>
          <w:szCs w:val="22"/>
        </w:rPr>
        <w:t xml:space="preserve">Where the Client requests work outside this scope, the Provider may agree to carry it out under a separate written arrangement at rates to be agreed at that time.</w:t>
      </w:r>
    </w:p>
    <w:p>
      <w:pPr>
        <w:spacing w:after="120" w:before="280"/>
      </w:pPr>
      <w:r>
        <w:rPr>
          <w:rFonts w:ascii="Arial" w:cs="Arial" w:eastAsia="Arial" w:hAnsi="Arial"/>
          <w:b/>
          <w:bCs/>
          <w:color w:val="0D1F3C"/>
          <w:sz w:val="22"/>
          <w:szCs w:val="22"/>
        </w:rPr>
        <w:t>3.  Term and termination</w:t>
      </w:r>
    </w:p>
    <w:p>
      <w:pPr>
        <w:spacing w:after="140"/>
        <w:ind w:left="480"/>
      </w:pPr>
      <w:r>
        <w:rPr>
          <w:rFonts w:ascii="Arial" w:cs="Arial" w:eastAsia="Arial" w:hAnsi="Arial"/>
          <w:color w:val="111827"/>
          <w:sz w:val="22"/>
          <w:szCs w:val="22"/>
        </w:rPr>
        <w:t xml:space="preserve">This agreement begins on the Effective Date and continues on a rolling monthly basis until terminated.</w:t>
      </w:r>
    </w:p>
    <w:p>
      <w:pPr>
        <w:spacing w:after="140"/>
        <w:ind w:left="480"/>
      </w:pPr>
      <w:r>
        <w:rPr>
          <w:rFonts w:ascii="Arial" w:cs="Arial" w:eastAsia="Arial" w:hAnsi="Arial"/>
          <w:color w:val="111827"/>
          <w:sz w:val="22"/>
          <w:szCs w:val="22"/>
        </w:rPr>
        <w:t xml:space="preserve">Either party may terminate this agreement by giving not less than 30 days’ written notice to the other party. Notice takes effect from the date it is received.</w:t>
      </w:r>
    </w:p>
    <w:p>
      <w:pPr>
        <w:spacing w:after="140"/>
        <w:ind w:left="480"/>
      </w:pPr>
      <w:r>
        <w:rPr>
          <w:rFonts w:ascii="Arial" w:cs="Arial" w:eastAsia="Arial" w:hAnsi="Arial"/>
          <w:color w:val="111827"/>
          <w:sz w:val="22"/>
          <w:szCs w:val="22"/>
        </w:rPr>
        <w:t xml:space="preserve">Either party may terminate immediately by written notice if the other party materially breaches this agreement and, where the breach is capable of remedy, fails to remedy it within 14 days of written notice requiring it to do so.</w:t>
      </w:r>
    </w:p>
    <w:p>
      <w:pPr>
        <w:spacing w:after="0"/>
        <w:ind w:left="480"/>
      </w:pPr>
      <w:r>
        <w:rPr>
          <w:rFonts w:ascii="Arial" w:cs="Arial" w:eastAsia="Arial" w:hAnsi="Arial"/>
          <w:color w:val="111827"/>
          <w:sz w:val="22"/>
          <w:szCs w:val="22"/>
        </w:rPr>
        <w:t xml:space="preserve">On termination, the Provider will deliver any outstanding monthly update due and return or delete any credentials held in connection with the Services. The Client will pay all fees due up to and including the last day of the notice period.</w:t>
      </w:r>
    </w:p>
    <w:p>
      <w:pPr>
        <w:spacing w:after="120" w:before="280"/>
      </w:pPr>
      <w:r>
        <w:rPr>
          <w:rFonts w:ascii="Arial" w:cs="Arial" w:eastAsia="Arial" w:hAnsi="Arial"/>
          <w:b/>
          <w:bCs/>
          <w:color w:val="0D1F3C"/>
          <w:sz w:val="22"/>
          <w:szCs w:val="22"/>
        </w:rPr>
        <w:t>4.  Fees and payment</w:t>
      </w:r>
    </w:p>
    <w:p>
      <w:pPr>
        <w:spacing w:after="140"/>
        <w:ind w:left="480"/>
      </w:pPr>
      <w:r>
        <w:t>The fee for the Services is £1,500 (one thousand five hundred pounds) per month plus VAT, for each covered core system listed in Schedule A. The total monthly fee is the number of covered core systems listed in Schedule A multiplied by £1,500 plus VAT.</w:t>
      </w:r>
    </w:p>
    <w:p>
      <w:pPr>
        <w:spacing w:after="140"/>
        <w:ind w:left="480"/>
      </w:pPr>
      <w:r>
        <w:rPr>
          <w:rFonts w:ascii="Arial" w:cs="Arial" w:eastAsia="Arial" w:hAnsi="Arial"/>
          <w:color w:val="111827"/>
          <w:sz w:val="22"/>
          <w:szCs w:val="22"/>
        </w:rPr>
        <w:t xml:space="preserve">The Provider will issue an invoice on the first working day of each month. Payment is due within 14 days of the invoice date.</w:t>
      </w:r>
    </w:p>
    <w:p>
      <w:pPr>
        <w:spacing w:after="140"/>
        <w:ind w:left="480"/>
      </w:pPr>
      <w:r>
        <w:rPr>
          <w:rFonts w:ascii="Arial" w:cs="Arial" w:eastAsia="Arial" w:hAnsi="Arial"/>
          <w:color w:val="111827"/>
          <w:sz w:val="22"/>
          <w:szCs w:val="22"/>
        </w:rPr>
        <w:t xml:space="preserve">If payment is not received within 14 days, the Provider reserves the right to suspend the Services until payment is made, and to charge interest on overdue amounts at 8% per annum above the Bank of England base rate, as permitted under the Late Payment of Commercial Debts (Interest) Act 1998.</w:t>
      </w:r>
    </w:p>
    <w:p>
      <w:pPr>
        <w:spacing w:after="0"/>
        <w:ind w:left="480"/>
      </w:pPr>
      <w:r>
        <w:rPr>
          <w:rFonts w:ascii="Arial" w:cs="Arial" w:eastAsia="Arial" w:hAnsi="Arial"/>
          <w:color w:val="111827"/>
          <w:sz w:val="22"/>
          <w:szCs w:val="22"/>
        </w:rPr>
        <w:t xml:space="preserve">The Provider may increase fees by giving the Client not less than 60 days’ written notice. If the Client does not accept the increase, it may terminate this agreement in accordance with clause 3 without the usual 30-day notice period, provided termination takes effect no later than the date the new fees would take effect.</w:t>
      </w:r>
    </w:p>
    <w:p>
      <w:r>
        <w:br w:type="page"/>
      </w:r>
    </w:p>
    <w:p>
      <w:pPr>
        <w:spacing w:after="120" w:before="280"/>
      </w:pPr>
      <w:r>
        <w:rPr>
          <w:rFonts w:ascii="Arial" w:cs="Arial" w:eastAsia="Arial" w:hAnsi="Arial"/>
          <w:b/>
          <w:bCs/>
          <w:color w:val="0D1F3C"/>
          <w:sz w:val="22"/>
          <w:szCs w:val="22"/>
        </w:rPr>
        <w:t>5.  Access and cooperation</w:t>
      </w:r>
    </w:p>
    <w:p>
      <w:pPr>
        <w:spacing w:after="140"/>
        <w:ind w:left="480"/>
      </w:pPr>
      <w:r>
        <w:rPr>
          <w:rFonts w:ascii="Arial" w:cs="Arial" w:eastAsia="Arial" w:hAnsi="Arial"/>
          <w:color w:val="111827"/>
          <w:sz w:val="22"/>
          <w:szCs w:val="22"/>
        </w:rPr>
        <w:t xml:space="preserve">The Client will provide the Provider with the access necessary to carry out the Services, including read/write access to the relevant repositories and, where required, access to hosting or deployment environments.</w:t>
      </w:r>
    </w:p>
    <w:p>
      <w:pPr>
        <w:spacing w:after="140"/>
        <w:ind w:left="480"/>
      </w:pPr>
      <w:r>
        <w:t>The Client will notify the Provider promptly of any significant changes to the covered core systems listed in Schedule A, including deployments of new frameworks, changes to infrastructure, or changes to the deployment process.</w:t>
      </w:r>
    </w:p>
    <w:p>
      <w:pPr>
        <w:spacing w:after="0"/>
        <w:ind w:left="480"/>
      </w:pPr>
      <w:r>
        <w:rPr>
          <w:rFonts w:ascii="Arial" w:cs="Arial" w:eastAsia="Arial" w:hAnsi="Arial"/>
          <w:color w:val="111827"/>
          <w:sz w:val="22"/>
          <w:szCs w:val="22"/>
        </w:rPr>
        <w:t xml:space="preserve">The Client remains responsible for all decisions regarding whether and when to merge or deploy changes proposed by the Provider.</w:t>
      </w:r>
    </w:p>
    <w:p>
      <w:pPr>
        <w:spacing w:after="120" w:before="280"/>
      </w:pPr>
      <w:r>
        <w:rPr>
          <w:rFonts w:ascii="Arial" w:cs="Arial" w:eastAsia="Arial" w:hAnsi="Arial"/>
          <w:b/>
          <w:bCs/>
          <w:color w:val="0D1F3C"/>
          <w:sz w:val="22"/>
          <w:szCs w:val="22"/>
        </w:rPr>
        <w:t>6.  Confidentiality</w:t>
      </w:r>
    </w:p>
    <w:p>
      <w:pPr>
        <w:spacing w:after="140"/>
        <w:ind w:left="480"/>
      </w:pPr>
      <w:r>
        <w:rPr>
          <w:rFonts w:ascii="Arial" w:cs="Arial" w:eastAsia="Arial" w:hAnsi="Arial"/>
          <w:color w:val="111827"/>
          <w:sz w:val="22"/>
          <w:szCs w:val="22"/>
        </w:rPr>
        <w:t xml:space="preserve">Each party agrees to keep the other party’s confidential information — including code, credentials, business information, and the terms of this agreement — strictly confidential and not to disclose it to any third party without prior written consent.</w:t>
      </w:r>
    </w:p>
    <w:p>
      <w:pPr>
        <w:spacing w:after="140"/>
        <w:ind w:left="480"/>
      </w:pPr>
      <w:r>
        <w:rPr>
          <w:rFonts w:ascii="Arial" w:cs="Arial" w:eastAsia="Arial" w:hAnsi="Arial"/>
          <w:color w:val="111827"/>
          <w:sz w:val="22"/>
          <w:szCs w:val="22"/>
        </w:rPr>
        <w:t xml:space="preserve">This obligation does not apply to information that is or becomes publicly available through no fault of the receiving party, or that the receiving party is required to disclose by law.</w:t>
      </w:r>
    </w:p>
    <w:p>
      <w:pPr>
        <w:spacing w:after="140"/>
        <w:ind w:left="480"/>
      </w:pPr>
      <w:r>
        <w:rPr>
          <w:rFonts w:ascii="Arial" w:cs="Arial" w:eastAsia="Arial" w:hAnsi="Arial"/>
          <w:color w:val="111827"/>
          <w:sz w:val="22"/>
          <w:szCs w:val="22"/>
        </w:rPr>
        <w:t xml:space="preserve">The Provider will not use the Client’s systems or codebase for any purpose other than providing the Services.</w:t>
      </w:r>
    </w:p>
    <w:p>
      <w:pPr>
        <w:spacing w:after="0"/>
        <w:ind w:left="480"/>
      </w:pPr>
      <w:r>
        <w:rPr>
          <w:rFonts w:ascii="Arial" w:cs="Arial" w:eastAsia="Arial" w:hAnsi="Arial"/>
          <w:color w:val="111827"/>
          <w:sz w:val="22"/>
          <w:szCs w:val="22"/>
        </w:rPr>
        <w:t xml:space="preserve">This clause survives termination of this agreement.</w:t>
      </w:r>
    </w:p>
    <w:p>
      <w:pPr>
        <w:spacing w:after="120" w:before="280"/>
      </w:pPr>
      <w:r>
        <w:rPr>
          <w:rFonts w:ascii="Arial" w:cs="Arial" w:eastAsia="Arial" w:hAnsi="Arial"/>
          <w:b/>
          <w:bCs/>
          <w:color w:val="0D1F3C"/>
          <w:sz w:val="22"/>
          <w:szCs w:val="22"/>
        </w:rPr>
        <w:t>7.  Intellectual property</w:t>
      </w:r>
    </w:p>
    <w:p>
      <w:pPr>
        <w:spacing w:after="140"/>
        <w:ind w:left="480"/>
      </w:pPr>
      <w:r>
        <w:rPr>
          <w:rFonts w:ascii="Arial" w:cs="Arial" w:eastAsia="Arial" w:hAnsi="Arial"/>
          <w:color w:val="111827"/>
          <w:sz w:val="22"/>
          <w:szCs w:val="22"/>
        </w:rPr>
        <w:t xml:space="preserve">Nothing in this agreement transfers ownership of any intellectual property. The Client retains ownership of its codebase and any work product it owned before this agreement.</w:t>
      </w:r>
    </w:p>
    <w:p>
      <w:pPr>
        <w:spacing w:after="0"/>
        <w:ind w:left="480"/>
      </w:pPr>
      <w:r>
        <w:rPr>
          <w:rFonts w:ascii="Arial" w:cs="Arial" w:eastAsia="Arial" w:hAnsi="Arial"/>
          <w:color w:val="111827"/>
          <w:sz w:val="22"/>
          <w:szCs w:val="22"/>
        </w:rPr>
        <w:t xml:space="preserve">Where the Provider makes changes to the Client’s codebase in the course of providing the Services (for example, applying a dependency update or a security patch), those changes become the property of the Client on delivery.</w:t>
      </w:r>
    </w:p>
    <w:p>
      <w:pPr>
        <w:spacing w:after="120" w:before="280"/>
      </w:pPr>
      <w:r>
        <w:rPr>
          <w:rFonts w:ascii="Arial" w:cs="Arial" w:eastAsia="Arial" w:hAnsi="Arial"/>
          <w:b/>
          <w:bCs/>
          <w:color w:val="0D1F3C"/>
          <w:sz w:val="22"/>
          <w:szCs w:val="22"/>
        </w:rPr>
        <w:t>8.  Liability</w:t>
      </w:r>
    </w:p>
    <w:p>
      <w:pPr>
        <w:spacing w:after="140"/>
        <w:ind w:left="480"/>
      </w:pPr>
      <w:r>
        <w:rPr>
          <w:rFonts w:ascii="Arial" w:cs="Arial" w:eastAsia="Arial" w:hAnsi="Arial"/>
          <w:color w:val="111827"/>
          <w:sz w:val="22"/>
          <w:szCs w:val="22"/>
        </w:rPr>
        <w:t xml:space="preserve">The Provider’s total liability to the Client under or in connection with this agreement, whether in contract, tort (including negligence), or otherwise, is limited to the total fees paid by the Client to the Provider in the three months immediately preceding the event giving rise to the claim.</w:t>
      </w:r>
    </w:p>
    <w:p>
      <w:pPr>
        <w:spacing w:after="140"/>
        <w:ind w:left="480"/>
      </w:pPr>
      <w:r>
        <w:rPr>
          <w:rFonts w:ascii="Arial" w:cs="Arial" w:eastAsia="Arial" w:hAnsi="Arial"/>
          <w:color w:val="111827"/>
          <w:sz w:val="22"/>
          <w:szCs w:val="22"/>
        </w:rPr>
        <w:t xml:space="preserve">Neither party is liable to the other for any indirect or consequential loss, loss of profit, loss of revenue, loss of data, or loss of business opportunity, even if advised of the possibility of such loss.</w:t>
      </w:r>
    </w:p>
    <w:p>
      <w:pPr>
        <w:spacing w:after="0"/>
        <w:ind w:left="480"/>
      </w:pPr>
      <w:r>
        <w:rPr>
          <w:rFonts w:ascii="Arial" w:cs="Arial" w:eastAsia="Arial" w:hAnsi="Arial"/>
          <w:color w:val="111827"/>
          <w:sz w:val="22"/>
          <w:szCs w:val="22"/>
        </w:rPr>
        <w:t xml:space="preserve">Nothing in this agreement limits liability for fraud, death or personal injury caused by negligence, or any other liability that cannot be excluded or limited by law.</w:t>
      </w:r>
    </w:p>
    <w:p>
      <w:pPr>
        <w:spacing w:after="120" w:before="280"/>
      </w:pPr>
      <w:r>
        <w:rPr>
          <w:rFonts w:ascii="Arial" w:cs="Arial" w:eastAsia="Arial" w:hAnsi="Arial"/>
          <w:b/>
          <w:bCs/>
          <w:color w:val="0D1F3C"/>
          <w:sz w:val="22"/>
          <w:szCs w:val="22"/>
        </w:rPr>
        <w:t>9.  Independent contractor</w:t>
      </w:r>
    </w:p>
    <w:p>
      <w:pPr>
        <w:spacing w:after="140"/>
        <w:ind w:left="480"/>
      </w:pPr>
      <w:r>
        <w:rPr>
          <w:rFonts w:ascii="Arial" w:cs="Arial" w:eastAsia="Arial" w:hAnsi="Arial"/>
          <w:color w:val="111827"/>
          <w:sz w:val="22"/>
          <w:szCs w:val="22"/>
        </w:rPr>
        <w:t xml:space="preserve">The Provider operates as an independent contractor. Nothing in this agreement creates a partnership, joint venture, agency, employment, or franchise relationship between the parties.</w:t>
      </w:r>
    </w:p>
    <w:p>
      <w:pPr>
        <w:spacing w:after="0"/>
        <w:ind w:left="480"/>
      </w:pPr>
      <w:r>
        <w:rPr>
          <w:rFonts w:ascii="Arial" w:cs="Arial" w:eastAsia="Arial" w:hAnsi="Arial"/>
          <w:color w:val="111827"/>
          <w:sz w:val="22"/>
          <w:szCs w:val="22"/>
        </w:rPr>
        <w:t xml:space="preserve">The Provider is responsible for its own tax affairs, including income tax and National Insurance contributions. This agreement is intended to operate outside IR35 (Chapter 8 of ITEPA 2003). The Client makes no determination of the Provider’s employment status and the Provider warrants that it operates as a genuine business providing services to multiple clients.</w:t>
      </w:r>
    </w:p>
    <w:p>
      <w:pPr>
        <w:spacing w:after="120" w:before="280"/>
      </w:pPr>
      <w:r>
        <w:rPr>
          <w:rFonts w:ascii="Arial" w:cs="Arial" w:eastAsia="Arial" w:hAnsi="Arial"/>
          <w:b/>
          <w:bCs/>
          <w:color w:val="0D1F3C"/>
          <w:sz w:val="22"/>
          <w:szCs w:val="22"/>
        </w:rPr>
        <w:t>10.  General</w:t>
      </w:r>
    </w:p>
    <w:p>
      <w:pPr>
        <w:spacing w:after="120"/>
        <w:ind w:left="720"/>
      </w:pPr>
      <w:r>
        <w:rPr>
          <w:rFonts w:ascii="Arial" w:cs="Arial" w:eastAsia="Arial" w:hAnsi="Arial"/>
          <w:b/>
          <w:bCs/>
          <w:color w:val="6B7280"/>
          <w:sz w:val="22"/>
          <w:szCs w:val="22"/>
        </w:rPr>
        <w:t xml:space="preserve">10.1  </w:t>
      </w:r>
      <w:r>
        <w:rPr>
          <w:rFonts w:ascii="Arial" w:cs="Arial" w:eastAsia="Arial" w:hAnsi="Arial"/>
          <w:color w:val="111827"/>
          <w:sz w:val="22"/>
          <w:szCs w:val="22"/>
        </w:rPr>
        <w:t xml:space="preserve">This agreement constitutes the entire agreement between the parties in relation to its subject matter and supersedes all prior discussions, representations, and agreements.</w:t>
      </w:r>
    </w:p>
    <w:p>
      <w:pPr>
        <w:spacing w:after="120"/>
        <w:ind w:left="720"/>
      </w:pPr>
      <w:r>
        <w:rPr>
          <w:rFonts w:ascii="Arial" w:cs="Arial" w:eastAsia="Arial" w:hAnsi="Arial"/>
          <w:b/>
          <w:bCs/>
          <w:color w:val="6B7280"/>
          <w:sz w:val="22"/>
          <w:szCs w:val="22"/>
        </w:rPr>
        <w:t xml:space="preserve">10.2  </w:t>
      </w:r>
      <w:r>
        <w:rPr>
          <w:rFonts w:ascii="Arial" w:cs="Arial" w:eastAsia="Arial" w:hAnsi="Arial"/>
          <w:color w:val="111827"/>
          <w:sz w:val="22"/>
          <w:szCs w:val="22"/>
        </w:rPr>
        <w:t xml:space="preserve">Any amendment to this agreement must be in writing and signed by both parties.</w:t>
      </w:r>
    </w:p>
    <w:p>
      <w:pPr>
        <w:spacing w:after="120"/>
        <w:ind w:left="720"/>
      </w:pPr>
      <w:r>
        <w:rPr>
          <w:rFonts w:ascii="Arial" w:cs="Arial" w:eastAsia="Arial" w:hAnsi="Arial"/>
          <w:b/>
          <w:bCs/>
          <w:color w:val="6B7280"/>
          <w:sz w:val="22"/>
          <w:szCs w:val="22"/>
        </w:rPr>
        <w:t xml:space="preserve">10.3  </w:t>
      </w:r>
      <w:r>
        <w:rPr>
          <w:rFonts w:ascii="Arial" w:cs="Arial" w:eastAsia="Arial" w:hAnsi="Arial"/>
          <w:color w:val="111827"/>
          <w:sz w:val="22"/>
          <w:szCs w:val="22"/>
        </w:rPr>
        <w:t xml:space="preserve">If any provision of this agreement is found to be unenforceable, the remaining provisions continue in full force.</w:t>
      </w:r>
    </w:p>
    <w:p>
      <w:pPr>
        <w:spacing w:after="120"/>
        <w:ind w:left="720"/>
      </w:pPr>
      <w:r>
        <w:rPr>
          <w:rFonts w:ascii="Arial" w:cs="Arial" w:eastAsia="Arial" w:hAnsi="Arial"/>
          <w:b/>
          <w:bCs/>
          <w:color w:val="6B7280"/>
          <w:sz w:val="22"/>
          <w:szCs w:val="22"/>
        </w:rPr>
        <w:t xml:space="preserve">10.4  </w:t>
      </w:r>
      <w:r>
        <w:rPr>
          <w:rFonts w:ascii="Arial" w:cs="Arial" w:eastAsia="Arial" w:hAnsi="Arial"/>
          <w:color w:val="111827"/>
          <w:sz w:val="22"/>
          <w:szCs w:val="22"/>
        </w:rPr>
        <w:t xml:space="preserve">Neither party may assign or transfer its rights or obligations under this agreement without the prior written consent of the other party.</w:t>
      </w:r>
    </w:p>
    <w:p>
      <w:pPr>
        <w:spacing w:after="120"/>
        <w:ind w:left="720"/>
      </w:pPr>
      <w:r>
        <w:rPr>
          <w:rFonts w:ascii="Arial" w:cs="Arial" w:eastAsia="Arial" w:hAnsi="Arial"/>
          <w:b/>
          <w:bCs/>
          <w:color w:val="6B7280"/>
          <w:sz w:val="22"/>
          <w:szCs w:val="22"/>
        </w:rPr>
        <w:t xml:space="preserve">10.5  </w:t>
      </w:r>
      <w:r>
        <w:rPr>
          <w:rFonts w:ascii="Arial" w:cs="Arial" w:eastAsia="Arial" w:hAnsi="Arial"/>
          <w:color w:val="111827"/>
          <w:sz w:val="22"/>
          <w:szCs w:val="22"/>
        </w:rPr>
        <w:t xml:space="preserve">This agreement is governed by the laws of England and Wales. Each party submits to the exclusive jurisdiction of the courts of England and Wales.</w:t>
      </w:r>
    </w:p>
    <w:p>
      <w:pPr>
        <w:pBdr>
          <w:bottom w:val="single" w:color="E2E1DC" w:sz="4" w:space="1"/>
        </w:pBdr>
        <w:spacing w:after="320" w:before="200"/>
      </w:pPr>
      <w:r>
        <w:t xml:space="preserve"/>
      </w:r>
    </w:p>
    <w:p>
      <w:pPr>
        <w:spacing w:after="240"/>
      </w:pPr>
      <w:r>
        <w:rPr>
          <w:rFonts w:ascii="Arial" w:cs="Arial" w:eastAsia="Arial" w:hAnsi="Arial"/>
          <w:b/>
          <w:bCs/>
          <w:color w:val="0D1F3C"/>
          <w:sz w:val="22"/>
          <w:szCs w:val="22"/>
        </w:rPr>
        <w:t xml:space="preserve">Signed</w:t>
      </w:r>
    </w:p>
    <w:p>
      <w:pPr>
        <w:spacing w:after="160"/>
      </w:pPr>
      <w:r>
        <w:rPr>
          <w:rFonts w:ascii="Arial" w:cs="Arial" w:eastAsia="Arial" w:hAnsi="Arial"/>
          <w:color w:val="111827"/>
          <w:sz w:val="22"/>
          <w:szCs w:val="22"/>
        </w:rPr>
        <w:t xml:space="preserve">By signing below, each party agrees to the terms of this agreement.</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713"/>
      </w:tblGrid>
      <w:tr>
        <w:tc>
          <w:tcPr>
            <w:tcW w:type="dxa" w:w="4313"/>
            <w:tcBorders>
              <w:top w:val="none" w:color="FFFFFF" w:sz="0"/>
              <w:left w:val="none" w:color="FFFFFF" w:sz="0"/>
              <w:bottom w:val="none" w:color="FFFFFF" w:sz="0"/>
              <w:right w:val="none" w:color="FFFFFF" w:sz="0"/>
            </w:tcBorders>
            <w:tcMar>
              <w:top w:type="dxa" w:w="0"/>
              <w:left w:type="dxa" w:w="0"/>
              <w:bottom w:type="dxa" w:w="80"/>
              <w:right w:type="dxa" w:w="400"/>
            </w:tcMar>
          </w:tcPr>
          <w:p>
            <w:r>
              <w:rPr>
                <w:rFonts w:ascii="Arial" w:cs="Arial" w:eastAsia="Arial" w:hAnsi="Arial"/>
                <w:b/>
                <w:bCs/>
                <w:color w:val="0D1F3C"/>
                <w:sz w:val="20"/>
                <w:szCs w:val="20"/>
              </w:rPr>
              <w:t xml:space="preserve">Tensile Infrastructure Ltd</w:t>
            </w:r>
          </w:p>
        </w:tc>
        <w:tc>
          <w:tcPr>
            <w:tcW w:type="dxa" w:w="4713"/>
            <w:tcBorders>
              <w:top w:val="none" w:color="FFFFFF" w:sz="0"/>
              <w:left w:val="none" w:color="FFFFFF" w:sz="0"/>
              <w:bottom w:val="none" w:color="FFFFFF" w:sz="0"/>
              <w:right w:val="none" w:color="FFFFFF" w:sz="0"/>
            </w:tcBorders>
            <w:tcMar>
              <w:top w:type="dxa" w:w="0"/>
              <w:left w:type="dxa" w:w="400"/>
              <w:bottom w:type="dxa" w:w="80"/>
              <w:right w:type="dxa" w:w="0"/>
            </w:tcMar>
          </w:tcPr>
          <w:p>
            <w:r>
              <w:rPr>
                <w:rFonts w:ascii="Arial" w:cs="Arial" w:eastAsia="Arial" w:hAnsi="Arial"/>
                <w:b/>
                <w:bCs/>
                <w:color w:val="0D1F3C"/>
                <w:sz w:val="20"/>
                <w:szCs w:val="20"/>
              </w:rPr>
              <w:t xml:space="preserve">[Client company name]</w:t>
            </w:r>
          </w:p>
        </w:tc>
      </w:tr>
      <w:tr>
        <w:tc>
          <w:tcPr>
            <w:tcW w:type="dxa" w:w="4313"/>
            <w:tcBorders>
              <w:top w:val="none" w:color="FFFFFF" w:sz="0"/>
              <w:left w:val="none" w:color="FFFFFF" w:sz="0"/>
              <w:bottom w:val="single" w:color="E2E1DC" w:sz="4"/>
              <w:right w:val="none" w:color="FFFFFF" w:sz="0"/>
            </w:tcBorders>
            <w:tcMar>
              <w:top w:type="dxa" w:w="600"/>
              <w:left w:type="dxa" w:w="0"/>
              <w:bottom w:type="dxa" w:w="80"/>
              <w:right w:type="dxa" w:w="400"/>
            </w:tcMar>
          </w:tcPr>
          <w:p>
            <w:r>
              <w:rPr>
                <w:rFonts w:ascii="Arial" w:cs="Arial" w:eastAsia="Arial" w:hAnsi="Arial"/>
                <w:color w:val="9CA3AF"/>
                <w:sz w:val="18"/>
                <w:szCs w:val="18"/>
              </w:rPr>
              <w:t xml:space="preserve">Signature</w:t>
            </w:r>
          </w:p>
        </w:tc>
        <w:tc>
          <w:tcPr>
            <w:tcW w:type="dxa" w:w="4713"/>
            <w:tcBorders>
              <w:top w:val="none" w:color="FFFFFF" w:sz="0"/>
              <w:left w:val="none" w:color="FFFFFF" w:sz="0"/>
              <w:bottom w:val="single" w:color="E2E1DC" w:sz="4"/>
              <w:right w:val="none" w:color="FFFFFF" w:sz="0"/>
            </w:tcBorders>
            <w:tcMar>
              <w:top w:type="dxa" w:w="600"/>
              <w:left w:type="dxa" w:w="400"/>
              <w:bottom w:type="dxa" w:w="80"/>
              <w:right w:type="dxa" w:w="0"/>
            </w:tcMar>
          </w:tcPr>
          <w:p>
            <w:r>
              <w:rPr>
                <w:rFonts w:ascii="Arial" w:cs="Arial" w:eastAsia="Arial" w:hAnsi="Arial"/>
                <w:color w:val="9CA3AF"/>
                <w:sz w:val="18"/>
                <w:szCs w:val="18"/>
              </w:rPr>
              <w:t xml:space="preserve">Signature</w:t>
            </w:r>
          </w:p>
        </w:tc>
      </w:tr>
      <w:tr>
        <w:tc>
          <w:tcPr>
            <w:tcW w:type="dxa" w:w="4313"/>
            <w:tcBorders>
              <w:top w:val="none" w:color="FFFFFF" w:sz="0"/>
              <w:left w:val="none" w:color="FFFFFF" w:sz="0"/>
              <w:bottom w:val="single" w:color="E2E1DC" w:sz="4"/>
              <w:right w:val="none" w:color="FFFFFF" w:sz="0"/>
            </w:tcBorders>
            <w:tcMar>
              <w:top w:type="dxa" w:w="400"/>
              <w:left w:type="dxa" w:w="0"/>
              <w:bottom w:type="dxa" w:w="80"/>
              <w:right w:type="dxa" w:w="400"/>
            </w:tcMar>
          </w:tcPr>
          <w:p>
            <w:r>
              <w:rPr>
                <w:rFonts w:ascii="Arial" w:cs="Arial" w:eastAsia="Arial" w:hAnsi="Arial"/>
                <w:color w:val="9CA3AF"/>
                <w:sz w:val="18"/>
                <w:szCs w:val="18"/>
              </w:rPr>
              <w:t xml:space="preserve">Full name</w:t>
            </w:r>
          </w:p>
        </w:tc>
        <w:tc>
          <w:tcPr>
            <w:tcW w:type="dxa" w:w="4713"/>
            <w:tcBorders>
              <w:top w:val="none" w:color="FFFFFF" w:sz="0"/>
              <w:left w:val="none" w:color="FFFFFF" w:sz="0"/>
              <w:bottom w:val="single" w:color="E2E1DC" w:sz="4"/>
              <w:right w:val="none" w:color="FFFFFF" w:sz="0"/>
            </w:tcBorders>
            <w:tcMar>
              <w:top w:type="dxa" w:w="400"/>
              <w:left w:type="dxa" w:w="400"/>
              <w:bottom w:type="dxa" w:w="80"/>
              <w:right w:type="dxa" w:w="0"/>
            </w:tcMar>
          </w:tcPr>
          <w:p>
            <w:r>
              <w:rPr>
                <w:rFonts w:ascii="Arial" w:cs="Arial" w:eastAsia="Arial" w:hAnsi="Arial"/>
                <w:color w:val="9CA3AF"/>
                <w:sz w:val="18"/>
                <w:szCs w:val="18"/>
              </w:rPr>
              <w:t xml:space="preserve">Full name</w:t>
            </w:r>
          </w:p>
        </w:tc>
      </w:tr>
      <w:tr>
        <w:tc>
          <w:tcPr>
            <w:tcW w:type="dxa" w:w="4313"/>
            <w:tcBorders>
              <w:top w:val="none" w:color="FFFFFF" w:sz="0"/>
              <w:left w:val="none" w:color="FFFFFF" w:sz="0"/>
              <w:bottom w:val="single" w:color="E2E1DC" w:sz="4"/>
              <w:right w:val="none" w:color="FFFFFF" w:sz="0"/>
            </w:tcBorders>
            <w:tcMar>
              <w:top w:type="dxa" w:w="400"/>
              <w:left w:type="dxa" w:w="0"/>
              <w:bottom w:type="dxa" w:w="80"/>
              <w:right w:type="dxa" w:w="400"/>
            </w:tcMar>
          </w:tcPr>
          <w:p>
            <w:r>
              <w:rPr>
                <w:rFonts w:ascii="Arial" w:cs="Arial" w:eastAsia="Arial" w:hAnsi="Arial"/>
                <w:color w:val="9CA3AF"/>
                <w:sz w:val="18"/>
                <w:szCs w:val="18"/>
              </w:rPr>
              <w:t xml:space="preserve">Title / position</w:t>
            </w:r>
          </w:p>
        </w:tc>
        <w:tc>
          <w:tcPr>
            <w:tcW w:type="dxa" w:w="4713"/>
            <w:tcBorders>
              <w:top w:val="none" w:color="FFFFFF" w:sz="0"/>
              <w:left w:val="none" w:color="FFFFFF" w:sz="0"/>
              <w:bottom w:val="single" w:color="E2E1DC" w:sz="4"/>
              <w:right w:val="none" w:color="FFFFFF" w:sz="0"/>
            </w:tcBorders>
            <w:tcMar>
              <w:top w:type="dxa" w:w="400"/>
              <w:left w:type="dxa" w:w="400"/>
              <w:bottom w:type="dxa" w:w="80"/>
              <w:right w:type="dxa" w:w="0"/>
            </w:tcMar>
          </w:tcPr>
          <w:p>
            <w:r>
              <w:rPr>
                <w:rFonts w:ascii="Arial" w:cs="Arial" w:eastAsia="Arial" w:hAnsi="Arial"/>
                <w:color w:val="9CA3AF"/>
                <w:sz w:val="18"/>
                <w:szCs w:val="18"/>
              </w:rPr>
              <w:t xml:space="preserve">Title / position</w:t>
            </w:r>
          </w:p>
        </w:tc>
      </w:tr>
      <w:tr>
        <w:tc>
          <w:tcPr>
            <w:tcW w:type="dxa" w:w="4313"/>
            <w:tcBorders>
              <w:top w:val="none" w:color="FFFFFF" w:sz="0"/>
              <w:left w:val="none" w:color="FFFFFF" w:sz="0"/>
              <w:bottom w:val="single" w:color="E2E1DC" w:sz="4"/>
              <w:right w:val="none" w:color="FFFFFF" w:sz="0"/>
            </w:tcBorders>
            <w:tcMar>
              <w:top w:type="dxa" w:w="400"/>
              <w:left w:type="dxa" w:w="0"/>
              <w:bottom w:type="dxa" w:w="80"/>
              <w:right w:type="dxa" w:w="400"/>
            </w:tcMar>
          </w:tcPr>
          <w:p>
            <w:r>
              <w:rPr>
                <w:rFonts w:ascii="Arial" w:cs="Arial" w:eastAsia="Arial" w:hAnsi="Arial"/>
                <w:color w:val="9CA3AF"/>
                <w:sz w:val="18"/>
                <w:szCs w:val="18"/>
              </w:rPr>
              <w:t xml:space="preserve">Date</w:t>
            </w:r>
          </w:p>
        </w:tc>
        <w:tc>
          <w:tcPr>
            <w:tcW w:type="dxa" w:w="4713"/>
            <w:tcBorders>
              <w:top w:val="none" w:color="FFFFFF" w:sz="0"/>
              <w:left w:val="none" w:color="FFFFFF" w:sz="0"/>
              <w:bottom w:val="single" w:color="E2E1DC" w:sz="4"/>
              <w:right w:val="none" w:color="FFFFFF" w:sz="0"/>
            </w:tcBorders>
            <w:tcMar>
              <w:top w:type="dxa" w:w="400"/>
              <w:left w:type="dxa" w:w="400"/>
              <w:bottom w:type="dxa" w:w="80"/>
              <w:right w:type="dxa" w:w="0"/>
            </w:tcMar>
          </w:tcPr>
          <w:p>
            <w:r>
              <w:rPr>
                <w:rFonts w:ascii="Arial" w:cs="Arial" w:eastAsia="Arial" w:hAnsi="Arial"/>
                <w:color w:val="9CA3AF"/>
                <w:sz w:val="18"/>
                <w:szCs w:val="18"/>
              </w:rPr>
              <w:t xml:space="preserve">Date</w:t>
            </w:r>
          </w:p>
        </w:tc>
      </w:tr>
    </w:tbl>
    <w:p>
      <w:r>
        <w:br w:type="page"/>
      </w:r>
    </w:p>
    <w:p>
      <w:pPr>
        <w:spacing w:after="80" w:before="480"/>
      </w:pPr>
      <w:r>
        <w:rPr>
          <w:rFonts w:ascii="Arial" w:cs="Arial" w:eastAsia="Arial" w:hAnsi="Arial"/>
          <w:b/>
          <w:bCs/>
          <w:color w:val="0D1F3C"/>
          <w:sz w:val="32"/>
          <w:szCs w:val="32"/>
        </w:rPr>
        <w:t xml:space="preserve">Schedule A</w:t>
      </w:r>
    </w:p>
    <w:p>
      <w:pPr>
        <w:spacing w:after="0"/>
      </w:pPr>
      <w:r>
        <w:t>Covered core systems, repositories, and production URLs covered by this agreement.</w:t>
      </w:r>
    </w:p>
    <w:p>
      <w:r>
        <w:t>A covered core system means one named production application or service, plus the datastore and infrastructure directly supporting it. Separate apps, admin portals, marketing sites, APIs, worker services, and mobile apps are separate systems unless separately listed here.</w:t>
      </w:r>
    </w:p>
    <w:p>
      <w:pPr>
        <w:pBdr>
          <w:bottom w:val="single" w:color="E2E1DC" w:sz="4" w:space="1"/>
        </w:pBdr>
        <w:spacing w:after="320" w:before="200"/>
      </w:pPr>
      <w:r>
        <w:t xml:space="preserve"/>
      </w:r>
    </w:p>
    <w:p>
      <w:pPr>
        <w:spacing w:after="200"/>
      </w:pPr>
      <w:r>
        <w:t>Covered core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c>
          <w:tcPr>
            <w:tcW w:type="dxa" w:w="2600"/>
            <w:tcBorders>
              <w:top w:val="single" w:color="E2E1DC" w:sz="1"/>
              <w:left w:val="single" w:color="E2E1DC" w:sz="1"/>
              <w:bottom w:val="single" w:color="E2E1DC" w:sz="1"/>
              <w:right w:val="single" w:color="E2E1DC" w:sz="1"/>
            </w:tcBorders>
            <w:shd w:fill="F0EFE9" w:val="clear"/>
            <w:tcMar>
              <w:top w:type="dxa" w:w="100"/>
              <w:left w:type="dxa" w:w="160"/>
              <w:bottom w:type="dxa" w:w="100"/>
              <w:right w:type="dxa" w:w="160"/>
            </w:tcMar>
          </w:tcPr>
          <w:p>
            <w:r>
              <w:t>Covered core system</w:t>
            </w:r>
          </w:p>
        </w:tc>
        <w:tc>
          <w:tcPr>
            <w:tcW w:type="dxa" w:w="3600"/>
            <w:tcBorders>
              <w:top w:val="single" w:color="E2E1DC" w:sz="1"/>
              <w:left w:val="single" w:color="E2E1DC" w:sz="1"/>
              <w:bottom w:val="single" w:color="E2E1DC" w:sz="1"/>
              <w:right w:val="single" w:color="E2E1DC" w:sz="1"/>
            </w:tcBorders>
            <w:shd w:fill="F0EFE9" w:val="clear"/>
            <w:tcMar>
              <w:top w:type="dxa" w:w="100"/>
              <w:left w:type="dxa" w:w="160"/>
              <w:bottom w:type="dxa" w:w="100"/>
              <w:right w:type="dxa" w:w="160"/>
            </w:tcMar>
          </w:tcPr>
          <w:p>
            <w:r>
              <w:rPr>
                <w:rFonts w:ascii="Arial" w:cs="Arial" w:eastAsia="Arial" w:hAnsi="Arial"/>
                <w:b/>
                <w:bCs/>
                <w:color w:val="0D1F3C"/>
                <w:sz w:val="18"/>
                <w:szCs w:val="18"/>
              </w:rPr>
              <w:t xml:space="preserve">Repository URL</w:t>
            </w:r>
          </w:p>
        </w:tc>
        <w:tc>
          <w:tcPr>
            <w:tcW w:type="dxa" w:w="2826"/>
            <w:tcBorders>
              <w:top w:val="single" w:color="E2E1DC" w:sz="1"/>
              <w:left w:val="single" w:color="E2E1DC" w:sz="1"/>
              <w:bottom w:val="single" w:color="E2E1DC" w:sz="1"/>
              <w:right w:val="single" w:color="E2E1DC" w:sz="1"/>
            </w:tcBorders>
            <w:shd w:fill="F0EFE9" w:val="clear"/>
            <w:tcMar>
              <w:top w:type="dxa" w:w="100"/>
              <w:left w:type="dxa" w:w="160"/>
              <w:bottom w:type="dxa" w:w="100"/>
              <w:right w:type="dxa" w:w="160"/>
            </w:tcMar>
          </w:tcPr>
          <w:p>
            <w:r>
              <w:rPr>
                <w:rFonts w:ascii="Arial" w:cs="Arial" w:eastAsia="Arial" w:hAnsi="Arial"/>
                <w:b/>
                <w:bCs/>
                <w:color w:val="0D1F3C"/>
                <w:sz w:val="18"/>
                <w:szCs w:val="18"/>
              </w:rPr>
              <w:t xml:space="preserve">Production URL</w:t>
            </w:r>
          </w:p>
        </w:tc>
      </w:tr>
      <w:tr>
        <w:tc>
          <w:tcPr>
            <w:tcW w:type="dxa" w:w="2600"/>
            <w:tcBorders>
              <w:top w:val="single" w:color="E2E1DC" w:sz="1"/>
              <w:left w:val="single" w:color="E2E1DC" w:sz="1"/>
              <w:bottom w:val="single" w:color="E2E1DC" w:sz="1"/>
              <w:right w:val="single" w:color="E2E1DC" w:sz="1"/>
            </w:tcBorders>
            <w:tcMar>
              <w:top w:type="dxa" w:w="120"/>
              <w:left w:type="dxa" w:w="160"/>
              <w:bottom w:type="dxa" w:w="120"/>
              <w:right w:type="dxa" w:w="160"/>
            </w:tcMar>
          </w:tcPr>
          <w:p>
            <w:r>
              <w:rPr>
                <w:rFonts w:ascii="Arial" w:cs="Arial" w:eastAsia="Arial" w:hAnsi="Arial"/>
                <w:sz w:val="20"/>
                <w:szCs w:val="20"/>
              </w:rPr>
              <w:t xml:space="preserve"/>
            </w:r>
          </w:p>
        </w:tc>
        <w:tc>
          <w:tcPr>
            <w:tcW w:type="dxa" w:w="3600"/>
            <w:tcBorders>
              <w:top w:val="single" w:color="E2E1DC" w:sz="1"/>
              <w:left w:val="single" w:color="E2E1DC" w:sz="1"/>
              <w:bottom w:val="single" w:color="E2E1DC" w:sz="1"/>
              <w:right w:val="single" w:color="E2E1DC" w:sz="1"/>
            </w:tcBorders>
            <w:tcMar>
              <w:top w:type="dxa" w:w="120"/>
              <w:left w:type="dxa" w:w="160"/>
              <w:bottom w:type="dxa" w:w="120"/>
              <w:right w:type="dxa" w:w="160"/>
            </w:tcMar>
          </w:tcPr>
          <w:p>
            <w:r>
              <w:rPr>
                <w:rFonts w:ascii="Arial" w:cs="Arial" w:eastAsia="Arial" w:hAnsi="Arial"/>
                <w:sz w:val="20"/>
                <w:szCs w:val="20"/>
              </w:rPr>
              <w:t xml:space="preserve"/>
            </w:r>
          </w:p>
        </w:tc>
        <w:tc>
          <w:tcPr>
            <w:tcW w:type="dxa" w:w="2826"/>
            <w:tcBorders>
              <w:top w:val="single" w:color="E2E1DC" w:sz="1"/>
              <w:left w:val="single" w:color="E2E1DC" w:sz="1"/>
              <w:bottom w:val="single" w:color="E2E1DC" w:sz="1"/>
              <w:right w:val="single" w:color="E2E1DC" w:sz="1"/>
            </w:tcBorders>
            <w:tcMar>
              <w:top w:type="dxa" w:w="120"/>
              <w:left w:type="dxa" w:w="160"/>
              <w:bottom w:type="dxa" w:w="120"/>
              <w:right w:type="dxa" w:w="160"/>
            </w:tcMar>
          </w:tcPr>
          <w:p>
            <w:r>
              <w:rPr>
                <w:rFonts w:ascii="Arial" w:cs="Arial" w:eastAsia="Arial" w:hAnsi="Arial"/>
                <w:sz w:val="20"/>
                <w:szCs w:val="20"/>
              </w:rPr>
              <w:t xml:space="preserve"/>
            </w:r>
          </w:p>
        </w:tc>
      </w:tr>
      <w:tr>
        <w:tc>
          <w:tcPr>
            <w:tcW w:type="dxa" w:w="2600"/>
            <w:tcBorders>
              <w:top w:val="single" w:color="E2E1DC" w:sz="1"/>
              <w:left w:val="single" w:color="E2E1DC" w:sz="1"/>
              <w:bottom w:val="single" w:color="E2E1DC" w:sz="1"/>
              <w:right w:val="single" w:color="E2E1DC" w:sz="1"/>
            </w:tcBorders>
            <w:tcMar>
              <w:top w:type="dxa" w:w="120"/>
              <w:left w:type="dxa" w:w="160"/>
              <w:bottom w:type="dxa" w:w="120"/>
              <w:right w:type="dxa" w:w="160"/>
            </w:tcMar>
          </w:tcPr>
          <w:p>
            <w:r>
              <w:rPr>
                <w:rFonts w:ascii="Arial" w:cs="Arial" w:eastAsia="Arial" w:hAnsi="Arial"/>
                <w:sz w:val="20"/>
                <w:szCs w:val="20"/>
              </w:rPr>
              <w:t xml:space="preserve"/>
            </w:r>
          </w:p>
        </w:tc>
        <w:tc>
          <w:tcPr>
            <w:tcW w:type="dxa" w:w="3600"/>
            <w:tcBorders>
              <w:top w:val="single" w:color="E2E1DC" w:sz="1"/>
              <w:left w:val="single" w:color="E2E1DC" w:sz="1"/>
              <w:bottom w:val="single" w:color="E2E1DC" w:sz="1"/>
              <w:right w:val="single" w:color="E2E1DC" w:sz="1"/>
            </w:tcBorders>
            <w:tcMar>
              <w:top w:type="dxa" w:w="120"/>
              <w:left w:type="dxa" w:w="160"/>
              <w:bottom w:type="dxa" w:w="120"/>
              <w:right w:type="dxa" w:w="160"/>
            </w:tcMar>
          </w:tcPr>
          <w:p>
            <w:r>
              <w:rPr>
                <w:rFonts w:ascii="Arial" w:cs="Arial" w:eastAsia="Arial" w:hAnsi="Arial"/>
                <w:sz w:val="20"/>
                <w:szCs w:val="20"/>
              </w:rPr>
              <w:t xml:space="preserve"/>
            </w:r>
          </w:p>
        </w:tc>
        <w:tc>
          <w:tcPr>
            <w:tcW w:type="dxa" w:w="2826"/>
            <w:tcBorders>
              <w:top w:val="single" w:color="E2E1DC" w:sz="1"/>
              <w:left w:val="single" w:color="E2E1DC" w:sz="1"/>
              <w:bottom w:val="single" w:color="E2E1DC" w:sz="1"/>
              <w:right w:val="single" w:color="E2E1DC" w:sz="1"/>
            </w:tcBorders>
            <w:tcMar>
              <w:top w:type="dxa" w:w="120"/>
              <w:left w:type="dxa" w:w="160"/>
              <w:bottom w:type="dxa" w:w="120"/>
              <w:right w:type="dxa" w:w="160"/>
            </w:tcMar>
          </w:tcPr>
          <w:p>
            <w:r>
              <w:rPr>
                <w:rFonts w:ascii="Arial" w:cs="Arial" w:eastAsia="Arial" w:hAnsi="Arial"/>
                <w:sz w:val="20"/>
                <w:szCs w:val="20"/>
              </w:rPr>
              <w:t xml:space="preserve"/>
            </w:r>
          </w:p>
        </w:tc>
      </w:tr>
      <w:tr>
        <w:tc>
          <w:tcPr>
            <w:tcW w:type="dxa" w:w="2600"/>
            <w:tcBorders>
              <w:top w:val="single" w:color="E2E1DC" w:sz="1"/>
              <w:left w:val="single" w:color="E2E1DC" w:sz="1"/>
              <w:bottom w:val="single" w:color="E2E1DC" w:sz="1"/>
              <w:right w:val="single" w:color="E2E1DC" w:sz="1"/>
            </w:tcBorders>
            <w:tcMar>
              <w:top w:type="dxa" w:w="120"/>
              <w:left w:type="dxa" w:w="160"/>
              <w:bottom w:type="dxa" w:w="120"/>
              <w:right w:type="dxa" w:w="160"/>
            </w:tcMar>
          </w:tcPr>
          <w:p>
            <w:r>
              <w:rPr>
                <w:rFonts w:ascii="Arial" w:cs="Arial" w:eastAsia="Arial" w:hAnsi="Arial"/>
                <w:sz w:val="20"/>
                <w:szCs w:val="20"/>
              </w:rPr>
              <w:t xml:space="preserve"/>
            </w:r>
          </w:p>
        </w:tc>
        <w:tc>
          <w:tcPr>
            <w:tcW w:type="dxa" w:w="3600"/>
            <w:tcBorders>
              <w:top w:val="single" w:color="E2E1DC" w:sz="1"/>
              <w:left w:val="single" w:color="E2E1DC" w:sz="1"/>
              <w:bottom w:val="single" w:color="E2E1DC" w:sz="1"/>
              <w:right w:val="single" w:color="E2E1DC" w:sz="1"/>
            </w:tcBorders>
            <w:tcMar>
              <w:top w:type="dxa" w:w="120"/>
              <w:left w:type="dxa" w:w="160"/>
              <w:bottom w:type="dxa" w:w="120"/>
              <w:right w:type="dxa" w:w="160"/>
            </w:tcMar>
          </w:tcPr>
          <w:p>
            <w:r>
              <w:rPr>
                <w:rFonts w:ascii="Arial" w:cs="Arial" w:eastAsia="Arial" w:hAnsi="Arial"/>
                <w:sz w:val="20"/>
                <w:szCs w:val="20"/>
              </w:rPr>
              <w:t xml:space="preserve"/>
            </w:r>
          </w:p>
        </w:tc>
        <w:tc>
          <w:tcPr>
            <w:tcW w:type="dxa" w:w="2826"/>
            <w:tcBorders>
              <w:top w:val="single" w:color="E2E1DC" w:sz="1"/>
              <w:left w:val="single" w:color="E2E1DC" w:sz="1"/>
              <w:bottom w:val="single" w:color="E2E1DC" w:sz="1"/>
              <w:right w:val="single" w:color="E2E1DC" w:sz="1"/>
            </w:tcBorders>
            <w:tcMar>
              <w:top w:type="dxa" w:w="120"/>
              <w:left w:type="dxa" w:w="160"/>
              <w:bottom w:type="dxa" w:w="120"/>
              <w:right w:type="dxa" w:w="160"/>
            </w:tcMar>
          </w:tcPr>
          <w:p>
            <w:r>
              <w:rPr>
                <w:rFonts w:ascii="Arial" w:cs="Arial" w:eastAsia="Arial" w:hAnsi="Arial"/>
                <w:sz w:val="20"/>
                <w:szCs w:val="20"/>
              </w:rPr>
              <w:t xml:space="preserve"/>
            </w:r>
          </w:p>
        </w:tc>
      </w:tr>
    </w:tbl>
    <w:p>
      <w:pPr>
        <w:spacing w:after="320"/>
      </w:pPr>
      <w:r>
        <w:t xml:space="preserve"/>
      </w:r>
    </w:p>
    <w:p>
      <w:pPr>
        <w:spacing w:after="120"/>
      </w:pPr>
      <w:r>
        <w:t>Add or remove rows as needed. Each covered core system listed here is covered by the Services and billed separately at the monthly rate in clause 4. Systems not listed are not covered.</w:t>
      </w:r>
    </w:p>
    <w:p>
      <w:pPr>
        <w:pBdr>
          <w:bottom w:val="single" w:color="E2E1DC" w:sz="4" w:space="1"/>
        </w:pBdr>
        <w:spacing w:after="320" w:before="200"/>
      </w:pPr>
      <w:r>
        <w:t xml:space="preserve"/>
      </w:r>
    </w:p>
    <w:p>
      <w:pPr>
        <w:spacing w:after="160"/>
      </w:pPr>
      <w:r>
        <w:rPr>
          <w:rFonts w:ascii="Arial" w:cs="Arial" w:eastAsia="Arial" w:hAnsi="Arial"/>
          <w:b/>
          <w:bCs/>
          <w:color w:val="0D1F3C"/>
          <w:sz w:val="22"/>
          <w:szCs w:val="22"/>
        </w:rPr>
        <w:t xml:space="preserve">Amendments to this schedule</w:t>
      </w:r>
    </w:p>
    <w:p>
      <w:pPr>
        <w:spacing w:after="160"/>
      </w:pPr>
      <w:r>
        <w:t>Systems may be added to or removed from this schedule by written agreement between the parties. Additions take effect from the next invoice date and increase the monthly fee accordingly. Removals take effect immediately on written confirmation from both parties.</w:t>
      </w:r>
    </w:p>
    <w:p>
      <w:pPr>
        <w:spacing w:after="160"/>
      </w:pPr>
      <w:r>
        <w:t>One agreement may cover multiple covered core systems, but the total monthly fee is calculated from the number of systems listed in Schedule A.</w:t>
      </w:r>
    </w:p>
    <w:p>
      <w:pPr>
        <w:spacing w:after="400"/>
      </w:pPr>
      <w:r>
        <w:t xml:space="preserve"/>
      </w:r>
    </w:p>
    <w:p>
      <w:pPr>
        <w:spacing w:after="120"/>
      </w:pPr>
      <w:r>
        <w:rPr>
          <w:rFonts w:ascii="Arial" w:cs="Arial" w:eastAsia="Arial" w:hAnsi="Arial"/>
          <w:i/>
          <w:iCs/>
          <w:color w:val="9CA3AF"/>
          <w:sz w:val="18"/>
          <w:szCs w:val="18"/>
        </w:rPr>
        <w:t xml:space="preserve">This document is a template. Have it reviewed by a solicitor before use with a client. Replace all bracketed placeholders before signing.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1DC" w:sz="4" w:space="4"/>
      </w:pBdr>
      <w:tabs>
        <w:tab w:val="right" w:pos="9026"/>
      </w:tabs>
      <w:spacing w:before="120"/>
    </w:pPr>
    <w:r>
      <w:rPr>
        <w:rFonts w:ascii="Arial" w:cs="Arial" w:eastAsia="Arial" w:hAnsi="Arial"/>
        <w:color w:val="9CA3AF"/>
        <w:sz w:val="16"/>
        <w:szCs w:val="16"/>
      </w:rPr>
      <w:t xml:space="preserve">Tensile Infrastructure Ltd  ·  hello@tensileinfrastructure.co.uk</w:t>
    </w:r>
    <w:r>
      <w:rPr>
        <w:rFonts w:ascii="Arial" w:cs="Arial" w:eastAsia="Arial" w:hAnsi="Arial"/>
        <w:sz w:val="16"/>
        <w:szCs w:val="16"/>
      </w:rPr>
      <w:t xml:space="preserv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1DC" w:sz="4" w:space="4"/>
      </w:pBdr>
      <w:tabs>
        <w:tab w:val="right" w:pos="9026"/>
      </w:tabs>
      <w:spacing w:after="0"/>
    </w:pPr>
    <w:r>
      <w:rPr>
        <w:rFonts w:ascii="Arial" w:cs="Arial" w:eastAsia="Arial" w:hAnsi="Arial"/>
        <w:b/>
        <w:bCs/>
        <w:color w:val="0D1F3C"/>
        <w:sz w:val="18"/>
        <w:szCs w:val="18"/>
      </w:rPr>
      <w:t xml:space="preserve">Tensile Infrastructure</w:t>
    </w:r>
    <w:r>
      <w:rPr>
        <w:rFonts w:ascii="Arial" w:cs="Arial" w:eastAsia="Arial" w:hAnsi="Arial"/>
        <w:color w:val="6B7280"/>
        <w:sz w:val="18"/>
        <w:szCs w:val="18"/>
      </w:rPr>
      <w:t xml:space="preserve">	Safety Retainer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2026-04-05T12:38:16.953Z</dcterms:created>
  <dcterms:modified xsi:type="dcterms:W3CDTF">2026-04-05T12:38:16.953Z</dcterms:modified>
</cp:coreProperties>
</file>

<file path=docProps/custom.xml><?xml version="1.0" encoding="utf-8"?>
<Properties xmlns="http://schemas.openxmlformats.org/officeDocument/2006/custom-properties" xmlns:vt="http://schemas.openxmlformats.org/officeDocument/2006/docPropsVTypes"/>
</file>