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PaaS‑Certified Badge — Usage Guidelines (Public)</w:t>
      </w:r>
    </w:p>
    <w:p>
      <w:r>
        <w:t>This guideline defines how to display the PaaS‑Certified badge on software, websites, and marketing materials.</w:t>
      </w:r>
    </w:p>
    <w:p>
      <w:pPr>
        <w:pStyle w:val="Heading1"/>
      </w:pPr>
      <w:r>
        <w:t>Where you may use the badge</w:t>
      </w:r>
    </w:p>
    <w:p>
      <w:r>
        <w:t>Product pages, marketplace listings, release notes, and within certified user interfaces for the specific certified version.</w:t>
      </w:r>
    </w:p>
    <w:p>
      <w:pPr>
        <w:pStyle w:val="Heading1"/>
      </w:pPr>
      <w:r>
        <w:t>Rules</w:t>
      </w:r>
    </w:p>
    <w:p>
      <w:r>
        <w:t>Use only for certified versions; do not modify proportions or colors; include version string; remove within 30 days if certification lapses.</w:t>
      </w:r>
    </w:p>
    <w:p>
      <w:pPr>
        <w:pStyle w:val="Heading1"/>
      </w:pPr>
      <w:r>
        <w:t>Attribution</w:t>
      </w:r>
    </w:p>
    <w:p>
      <w:r>
        <w:t>Include: “PaaS‑Certified™ is a certification of Slash Turbo Limited.” No endorsement implied.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