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Persona-as-Software (PaaS) — Public Licensing Models Pack</w:t>
      </w:r>
    </w:p>
    <w:p>
      <w:r>
        <w:t>Date: 2025-11-02 • This document describes licensing options for public evaluation and procurement.</w:t>
      </w:r>
    </w:p>
    <w:p>
      <w:pPr>
        <w:pStyle w:val="Heading1"/>
      </w:pPr>
      <w:r>
        <w:t>Model A — Original Equipment Manufacturing Runtime License (Redistribution)</w:t>
      </w:r>
    </w:p>
    <w:p>
      <w:pPr>
        <w:pStyle w:val="Heading2"/>
      </w:pPr>
      <w:r>
        <w:t>Purpose</w:t>
      </w:r>
    </w:p>
    <w:p>
      <w:r>
        <w:t>Allow platforms and vendors to redistribute certified personas and the runtime within their own applications.</w:t>
      </w:r>
    </w:p>
    <w:p>
      <w:pPr>
        <w:pStyle w:val="Heading2"/>
      </w:pPr>
      <w:r>
        <w:t>License Grant</w:t>
      </w:r>
    </w:p>
    <w:p>
      <w:r>
        <w:t>Non-exclusive right to embed and distribute the PaaS runtime and certified personas to end customers under OEM’s brand.</w:t>
      </w:r>
    </w:p>
    <w:p>
      <w:pPr>
        <w:pStyle w:val="Heading2"/>
      </w:pPr>
      <w:r>
        <w:t>Limits and Restrictions</w:t>
      </w:r>
    </w:p>
    <w:p>
      <w:r>
        <w:t>No source code access; no reverse engineering; redistribution limited to certified personas; public benchmarks require consent.</w:t>
      </w:r>
    </w:p>
    <w:p>
      <w:pPr>
        <w:pStyle w:val="Heading2"/>
      </w:pPr>
      <w:r>
        <w:t>Fees and Commercial Terms</w:t>
      </w:r>
    </w:p>
    <w:p>
      <w:r>
        <w:t>Annual platform fee plus per-activation or per-tenant royalty; optional minimum guarantee; volume discounts applied to activation volume.</w:t>
      </w:r>
    </w:p>
    <w:p>
      <w:pPr>
        <w:pStyle w:val="Heading2"/>
      </w:pPr>
      <w:r>
        <w:t>Compliance and Governance</w:t>
      </w:r>
    </w:p>
    <w:p>
      <w:r>
        <w:t>Maintain certification, badge usage rules, security controls, and annual conformance audit. Provide quarterly usage reports.</w:t>
      </w:r>
    </w:p>
    <w:p>
      <w:pPr>
        <w:pStyle w:val="Heading2"/>
      </w:pPr>
      <w:r>
        <w:t>Go‑Live Checklist</w:t>
      </w:r>
    </w:p>
    <w:p>
      <w:r>
        <w:t>Publish marketplace SKU; attach ‘PaaS‑Certified’ badge; complete telemetry endpoint configuration; sign data-protection addendum.</w:t>
      </w:r>
    </w:p>
    <w:p>
      <w:pPr>
        <w:pStyle w:val="Heading1"/>
      </w:pPr>
      <w:r>
        <w:t>Model B — Enterprise Subscription (Production Use)</w:t>
      </w:r>
    </w:p>
    <w:p>
      <w:pPr>
        <w:pStyle w:val="Heading2"/>
      </w:pPr>
      <w:r>
        <w:t>Purpose</w:t>
      </w:r>
    </w:p>
    <w:p>
      <w:r>
        <w:t>Allow enterprises to run certified personas for internal production workloads.</w:t>
      </w:r>
    </w:p>
    <w:p>
      <w:pPr>
        <w:pStyle w:val="Heading2"/>
      </w:pPr>
      <w:r>
        <w:t>License Grant</w:t>
      </w:r>
    </w:p>
    <w:p>
      <w:r>
        <w:t>Right to access and use certified personas through hosted runtime or customer’s infrastructure.</w:t>
      </w:r>
    </w:p>
    <w:p>
      <w:pPr>
        <w:pStyle w:val="Heading2"/>
      </w:pPr>
      <w:r>
        <w:t>Limits and Restrictions</w:t>
      </w:r>
    </w:p>
    <w:p>
      <w:r>
        <w:t>No redistribution; no public benchmarking without consent; usage is limited to customer’s organization.</w:t>
      </w:r>
    </w:p>
    <w:p>
      <w:pPr>
        <w:pStyle w:val="Heading2"/>
      </w:pPr>
      <w:r>
        <w:t>Fees and Commercial Terms</w:t>
      </w:r>
    </w:p>
    <w:p>
      <w:r>
        <w:t>Monthly license by token bands or task volume; optional savings‑share on verified cloud‑bill reductions; premium support tiers.</w:t>
      </w:r>
    </w:p>
    <w:p>
      <w:pPr>
        <w:pStyle w:val="Heading2"/>
      </w:pPr>
      <w:r>
        <w:t>Compliance and Governance</w:t>
      </w:r>
    </w:p>
    <w:p>
      <w:r>
        <w:t>Follow evaluation protocol, keep audit logs, and align to risk frameworks; renew certification annually for covered personas.</w:t>
      </w:r>
    </w:p>
    <w:p>
      <w:pPr>
        <w:pStyle w:val="Heading2"/>
      </w:pPr>
      <w:r>
        <w:t>Go‑Live Checklist</w:t>
      </w:r>
    </w:p>
    <w:p>
      <w:r>
        <w:t>Complete security questionnaire; agree on pilot KPIs; enable logging and incident reporting; define data‑retention schedule.</w:t>
      </w:r>
    </w:p>
    <w:p>
      <w:pPr>
        <w:pStyle w:val="Heading1"/>
      </w:pPr>
      <w:r>
        <w:t>Model C — Certification Program and Badge License</w:t>
      </w:r>
    </w:p>
    <w:p>
      <w:pPr>
        <w:pStyle w:val="Heading2"/>
      </w:pPr>
      <w:r>
        <w:t>Purpose</w:t>
      </w:r>
    </w:p>
    <w:p>
      <w:r>
        <w:t>Establish trust via independently verifiable conformance and a license to display the badge.</w:t>
      </w:r>
    </w:p>
    <w:p>
      <w:pPr>
        <w:pStyle w:val="Heading2"/>
      </w:pPr>
      <w:r>
        <w:t>License Grant</w:t>
      </w:r>
    </w:p>
    <w:p>
      <w:r>
        <w:t>Right to use the ‘PaaS‑Certified’ badge for named versions that pass conformance tests.</w:t>
      </w:r>
    </w:p>
    <w:p>
      <w:pPr>
        <w:pStyle w:val="Heading2"/>
      </w:pPr>
      <w:r>
        <w:t>Limits and Restrictions</w:t>
      </w:r>
    </w:p>
    <w:p>
      <w:r>
        <w:t>Badge only for certified versions; must remove badge within 30 days of failed re‑certification.</w:t>
      </w:r>
    </w:p>
    <w:p>
      <w:pPr>
        <w:pStyle w:val="Heading2"/>
      </w:pPr>
      <w:r>
        <w:t>Fees and Commercial Terms</w:t>
      </w:r>
    </w:p>
    <w:p>
      <w:r>
        <w:t>Annual certification fee per persona; optional bundled pricing for multiple personas.</w:t>
      </w:r>
    </w:p>
    <w:p>
      <w:pPr>
        <w:pStyle w:val="Heading2"/>
      </w:pPr>
      <w:r>
        <w:t>Compliance and Governance</w:t>
      </w:r>
    </w:p>
    <w:p>
      <w:r>
        <w:t>Run conformance tests; provide logs and artifacts; permit limited audit of processes and change management.</w:t>
      </w:r>
    </w:p>
    <w:p>
      <w:pPr>
        <w:pStyle w:val="Heading2"/>
      </w:pPr>
      <w:r>
        <w:t>Go‑Live Checklist</w:t>
      </w:r>
    </w:p>
    <w:p>
      <w:r>
        <w:t>Publish certified versions list; add badge to marketplace listings; schedule re‑certification window.</w:t>
      </w:r>
    </w:p>
    <w:p>
      <w:pPr>
        <w:pStyle w:val="Heading1"/>
      </w:pPr>
      <w:r>
        <w:t>Model D — Evaluation Kit License (Non‑Production)</w:t>
      </w:r>
    </w:p>
    <w:p>
      <w:pPr>
        <w:pStyle w:val="Heading2"/>
      </w:pPr>
      <w:r>
        <w:t>Purpose</w:t>
      </w:r>
    </w:p>
    <w:p>
      <w:r>
        <w:t>Enable time‑boxed evaluation using realistic workloads without production rights.</w:t>
      </w:r>
    </w:p>
    <w:p>
      <w:pPr>
        <w:pStyle w:val="Heading2"/>
      </w:pPr>
      <w:r>
        <w:t>License Grant</w:t>
      </w:r>
    </w:p>
    <w:p>
      <w:r>
        <w:t>Non‑exclusive right to use evaluation personas and runtime for internal testing only.</w:t>
      </w:r>
    </w:p>
    <w:p>
      <w:pPr>
        <w:pStyle w:val="Heading2"/>
      </w:pPr>
      <w:r>
        <w:t>Limits and Restrictions</w:t>
      </w:r>
    </w:p>
    <w:p>
      <w:r>
        <w:t>No production use; no redistribution; evaluation datasets must be scrubbed; limited runtime features.</w:t>
      </w:r>
    </w:p>
    <w:p>
      <w:pPr>
        <w:pStyle w:val="Heading2"/>
      </w:pPr>
      <w:r>
        <w:t>Fees and Commercial Terms</w:t>
      </w:r>
    </w:p>
    <w:p>
      <w:r>
        <w:t>Flat evaluation fee or no‑fee with signed pilot intent; time limit (e.g., 30–60 days).</w:t>
      </w:r>
    </w:p>
    <w:p>
      <w:pPr>
        <w:pStyle w:val="Heading2"/>
      </w:pPr>
      <w:r>
        <w:t>Compliance and Governance</w:t>
      </w:r>
    </w:p>
    <w:p>
      <w:r>
        <w:t>No personal data unless necessary; ISOTruth artifacts retained for reproducibility; delete datasets post‑evaluation.</w:t>
      </w:r>
    </w:p>
    <w:p>
      <w:pPr>
        <w:pStyle w:val="Heading2"/>
      </w:pPr>
      <w:r>
        <w:t>Go‑Live Checklist</w:t>
      </w:r>
    </w:p>
    <w:p>
      <w:r>
        <w:t>Set up sandbox; load scrubbed workloads; run pilot protocol; produce a short decision memo.</w:t>
      </w:r>
    </w:p>
    <w:p>
      <w:pPr>
        <w:pStyle w:val="Heading1"/>
      </w:pPr>
      <w:r>
        <w:t>Model E — Open Language Specification License (HFML Interface)</w:t>
      </w:r>
    </w:p>
    <w:p>
      <w:pPr>
        <w:pStyle w:val="Heading2"/>
      </w:pPr>
      <w:r>
        <w:t>Purpose</w:t>
      </w:r>
    </w:p>
    <w:p>
      <w:r>
        <w:t>Maximize ecosystem growth while keeping runtime proprietary.</w:t>
      </w:r>
    </w:p>
    <w:p>
      <w:pPr>
        <w:pStyle w:val="Heading2"/>
      </w:pPr>
      <w:r>
        <w:t>License Grant</w:t>
      </w:r>
    </w:p>
    <w:p>
      <w:r>
        <w:t>Text of the interface specification is licensed under Creative Commons Attribution 4.0 for documentation reuse.</w:t>
      </w:r>
    </w:p>
    <w:p>
      <w:pPr>
        <w:pStyle w:val="Heading2"/>
      </w:pPr>
      <w:r>
        <w:t>Limits and Restrictions</w:t>
      </w:r>
    </w:p>
    <w:p>
      <w:r>
        <w:t>No license to runtime code or brand marks; no endorsement implied by using the spec.</w:t>
      </w:r>
    </w:p>
    <w:p>
      <w:pPr>
        <w:pStyle w:val="Heading2"/>
      </w:pPr>
      <w:r>
        <w:t>Fees and Commercial Terms</w:t>
      </w:r>
    </w:p>
    <w:p>
      <w:r>
        <w:t>No fee for the public spec; separate paid options for certification and runtime use.</w:t>
      </w:r>
    </w:p>
    <w:p>
      <w:pPr>
        <w:pStyle w:val="Heading2"/>
      </w:pPr>
      <w:r>
        <w:t>Compliance and Governance</w:t>
      </w:r>
    </w:p>
    <w:p>
      <w:r>
        <w:t>Attribution required; link to official repository; follow compatibility notes to avoid user confusion.</w:t>
      </w:r>
    </w:p>
    <w:p>
      <w:pPr>
        <w:pStyle w:val="Heading2"/>
      </w:pPr>
      <w:r>
        <w:t>Go‑Live Checklist</w:t>
      </w:r>
    </w:p>
    <w:p>
      <w:r>
        <w:t>Publish the spec URL; include versioning policy; provide conformance tests for community use.</w:t>
      </w:r>
    </w:p>
    <w:p>
      <w:pPr>
        <w:pStyle w:val="Heading1"/>
      </w:pPr>
      <w:r>
        <w:t>Model F — Marketplace Private Offer (Cloud Procurement)</w:t>
      </w:r>
    </w:p>
    <w:p>
      <w:pPr>
        <w:pStyle w:val="Heading2"/>
      </w:pPr>
      <w:r>
        <w:t>Purpose</w:t>
      </w:r>
    </w:p>
    <w:p>
      <w:r>
        <w:t>Accelerate enterprise procurement via cloud marketplaces.</w:t>
      </w:r>
    </w:p>
    <w:p>
      <w:pPr>
        <w:pStyle w:val="Heading2"/>
      </w:pPr>
      <w:r>
        <w:t>License Grant</w:t>
      </w:r>
    </w:p>
    <w:p>
      <w:r>
        <w:t>Right to purchase PaaS‑Certified SKUs via private offers with negotiated terms.</w:t>
      </w:r>
    </w:p>
    <w:p>
      <w:pPr>
        <w:pStyle w:val="Heading2"/>
      </w:pPr>
      <w:r>
        <w:t>Limits and Restrictions</w:t>
      </w:r>
    </w:p>
    <w:p>
      <w:r>
        <w:t>Offers limited to named tenants; transfer restricted; governed by marketplace terms in addition to license.</w:t>
      </w:r>
    </w:p>
    <w:p>
      <w:pPr>
        <w:pStyle w:val="Heading2"/>
      </w:pPr>
      <w:r>
        <w:t>Fees and Commercial Terms</w:t>
      </w:r>
    </w:p>
    <w:p>
      <w:r>
        <w:t>Annual or multi‑year commitments; drawdown against usage; co‑sell discounts for partner sellers.</w:t>
      </w:r>
    </w:p>
    <w:p>
      <w:pPr>
        <w:pStyle w:val="Heading2"/>
      </w:pPr>
      <w:r>
        <w:t>Compliance and Governance</w:t>
      </w:r>
    </w:p>
    <w:p>
      <w:r>
        <w:t>Provide usage reports; ensure marketplace metering; comply with security scans and listing policies.</w:t>
      </w:r>
    </w:p>
    <w:p>
      <w:pPr>
        <w:pStyle w:val="Heading2"/>
      </w:pPr>
      <w:r>
        <w:t>Go‑Live Checklist</w:t>
      </w:r>
    </w:p>
    <w:p>
      <w:r>
        <w:t>List SKUs; prepare private offer templates; align billing accounts; publish support contacts.</w:t>
      </w:r>
    </w:p>
    <w:p>
      <w:pPr>
        <w:pStyle w:val="Heading1"/>
      </w:pPr>
      <w:r>
        <w:t>Model G — Community Edition (Usage‑Limited)</w:t>
      </w:r>
    </w:p>
    <w:p>
      <w:pPr>
        <w:pStyle w:val="Heading2"/>
      </w:pPr>
      <w:r>
        <w:t>Purpose</w:t>
      </w:r>
    </w:p>
    <w:p>
      <w:r>
        <w:t>Allow individuals and small teams to experiment under fair limits.</w:t>
      </w:r>
    </w:p>
    <w:p>
      <w:pPr>
        <w:pStyle w:val="Heading2"/>
      </w:pPr>
      <w:r>
        <w:t>License Grant</w:t>
      </w:r>
    </w:p>
    <w:p>
      <w:r>
        <w:t>Right to use community personas for non‑commercial or small‑scale workloads within stated limits.</w:t>
      </w:r>
    </w:p>
    <w:p>
      <w:pPr>
        <w:pStyle w:val="Heading2"/>
      </w:pPr>
      <w:r>
        <w:t>Limits and Restrictions</w:t>
      </w:r>
    </w:p>
    <w:p>
      <w:r>
        <w:t>No redistribution; no production; rate and volume caps; no SLA; telemetry required for abuse control.</w:t>
      </w:r>
    </w:p>
    <w:p>
      <w:pPr>
        <w:pStyle w:val="Heading2"/>
      </w:pPr>
      <w:r>
        <w:t>Fees and Commercial Terms</w:t>
      </w:r>
    </w:p>
    <w:p>
      <w:r>
        <w:t>No fee within limits; paid upgrade to Enterprise or Evaluation Kit for additional capacity.</w:t>
      </w:r>
    </w:p>
    <w:p>
      <w:pPr>
        <w:pStyle w:val="Heading2"/>
      </w:pPr>
      <w:r>
        <w:t>Compliance and Governance</w:t>
      </w:r>
    </w:p>
    <w:p>
      <w:r>
        <w:t>Respect privacy and data‑handling rules; refrain from security testing; report bugs via community channel.</w:t>
      </w:r>
    </w:p>
    <w:p>
      <w:pPr>
        <w:pStyle w:val="Heading2"/>
      </w:pPr>
      <w:r>
        <w:t>Go‑Live Checklist</w:t>
      </w:r>
    </w:p>
    <w:p>
      <w:r>
        <w:t>Download, accept license, run sample workloads, and upgrade when limits are exceeded.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