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맑은 고딕" w:hAnsi="맑은 고딕"/>
          <w:b/>
          <w:i w:val="0"/>
          <w:color w:val="1F497D"/>
          <w:sz w:val="40"/>
        </w:rPr>
        <w:t>리튬이온전지 자가방전 측정에서의 이완 효과</w:t>
      </w:r>
    </w:p>
    <w:p>
      <w:pPr>
        <w:jc w:val="center"/>
      </w:pPr>
      <w:r>
        <w:rPr>
          <w:rFonts w:ascii="맑은 고딕" w:hAnsi="맑은 고딕"/>
          <w:b w:val="0"/>
          <w:i/>
          <w:color w:val="606060"/>
          <w:sz w:val="26"/>
        </w:rPr>
        <w:t>Relaxation Effects in Self-Discharge Measurements of Lithium-Ion Batteries</w:t>
      </w:r>
    </w:p>
    <w:p/>
    <w:p>
      <w:pPr>
        <w:jc w:val="center"/>
      </w:pPr>
      <w:r>
        <w:rPr>
          <w:rFonts w:ascii="맑은 고딕" w:hAnsi="맑은 고딕"/>
          <w:b w:val="0"/>
          <w:i w:val="0"/>
          <w:sz w:val="24"/>
        </w:rPr>
        <w:t>Thomas Roth, Luiza Streck, Andreas Graule, Philipp Niehoff, Andreas Jossen</w:t>
      </w:r>
    </w:p>
    <w:p>
      <w:pPr>
        <w:jc w:val="center"/>
      </w:pPr>
      <w:r>
        <w:rPr>
          <w:rFonts w:ascii="맑은 고딕" w:hAnsi="맑은 고딕"/>
          <w:b w:val="0"/>
          <w:i w:val="0"/>
          <w:color w:val="606060"/>
          <w:sz w:val="22"/>
        </w:rPr>
        <w:t>Technical University of Munich (TUM) / University of Münster</w:t>
      </w:r>
    </w:p>
    <w:p>
      <w:pPr>
        <w:jc w:val="center"/>
      </w:pPr>
      <w:r>
        <w:rPr>
          <w:rFonts w:ascii="맑은 고딕" w:hAnsi="맑은 고딕"/>
          <w:b/>
          <w:i w:val="0"/>
          <w:sz w:val="22"/>
        </w:rPr>
        <w:t>Journal of The Electrochemical Society, 170, 020502 (2023)</w:t>
      </w:r>
    </w:p>
    <w:p>
      <w:pPr>
        <w:jc w:val="center"/>
      </w:pPr>
      <w:r>
        <w:rPr>
          <w:rFonts w:ascii="맑은 고딕" w:hAnsi="맑은 고딕"/>
          <w:b w:val="0"/>
          <w:i w:val="0"/>
          <w:color w:val="606060"/>
          <w:sz w:val="20"/>
        </w:rPr>
        <w:t>DOI: 10.1149/1945-7111/acb669  |  Open Access</w:t>
      </w:r>
    </w:p>
    <w:p/>
    <w:p>
      <w:pPr>
        <w:jc w:val="center"/>
      </w:pPr>
      <w:r>
        <w:rPr>
          <w:rFonts w:ascii="맑은 고딕" w:hAnsi="맑은 고딕"/>
          <w:b/>
          <w:i w:val="0"/>
          <w:color w:val="C00000"/>
          <w:sz w:val="22"/>
        </w:rPr>
        <w:t>[ 한국어 번역본 — 활성화공정팀 내부 참고용 ]</w:t>
      </w:r>
    </w:p>
    <w:p>
      <w:r>
        <w:br w:type="page"/>
      </w:r>
    </w:p>
    <w:p>
      <w:pPr>
        <w:spacing w:before="280" w:after="80"/>
      </w:pPr>
      <w:r>
        <w:rPr>
          <w:rFonts w:ascii="맑은 고딕" w:hAnsi="맑은 고딕"/>
          <w:b/>
          <w:i w:val="0"/>
          <w:color w:val="1F497D"/>
          <w:sz w:val="30"/>
        </w:rPr>
        <w:t>초록 (Abstract)</w:t>
      </w:r>
    </w:p>
    <w:p>
      <w:pPr>
        <w:spacing w:after="100"/>
        <w:ind w:firstLine="454"/>
      </w:pPr>
      <w:r>
        <w:rPr>
          <w:rFonts w:ascii="맑은 고딕" w:hAnsi="맑은 고딕"/>
          <w:b w:val="0"/>
          <w:i w:val="0"/>
          <w:sz w:val="22"/>
        </w:rPr>
        <w:t>새로 생산된 리튬이온전지의 품질을 판정하기 위해, 제조 공정의 "에이징(aging) 단계"에서 자가방전 측정이 수행된다. 에이징 단계는 이완 효과(relaxation effect)가 자가방전 측정을 교란하기 때문에 시간과 비용이 많이 소요되는 공정이다. 이완 효과는 주로 전압 이완(voltage relaxation)과 음극 오버행 평준화(anode overhang equalization)에 기인한다. 본 연구에서는 전압 강하법(voltage decay method), 전압 유지법(voltage hold method), 용량 손실법(capacity loss method) 등 세 가지 전기적 자가방전 측정 방법을 상업용 Samsung INR21700-50E 원통형 셀(NCA/실리콘-흑연)과 비상업용 파우치 셀(NMC622/흑연)을 이용하여 비교 분석하였다. 다양한 사전처리(preconditioning) 방법을 통해 교란이 없는 셀(undisturbed), 단기 교란 셀, 장기 교란 셀을 구분하였다. 단기 교란은 수 시간 내에 소멸되었으나, 음극 오버행으로 인한 장기 교란은 모든 전기적 자가방전 측정을 수 주에 걸쳐 유의미하게 교란하는 것으로 확인되었다. 이에 대한 이론적 설명으로, 음극 오버행의 리튬 재분배로 인한 리튬 인벤토리 변화가 전압 기반 방법과 용량 기반 방법에서 서로 다르게 측정됨을 제시하였다. 실험 결과는 이 이론을 뒷받침하였으며, 전압 기반 자가방전 측정이 음극 오버행 평준화량을 과소 측정함을 보였다. 제조 초기 에이징 데이터와의 비교를 통해 자가방전 측정이 음극 오버행 평준화에 의해 교란되고 있음이 확인되었다.</w:t>
      </w:r>
    </w:p>
    <w:p>
      <w:r>
        <w:br w:type="page"/>
      </w:r>
    </w:p>
    <w:p>
      <w:pPr>
        <w:spacing w:before="280" w:after="80"/>
      </w:pPr>
      <w:r>
        <w:rPr>
          <w:rFonts w:ascii="맑은 고딕" w:hAnsi="맑은 고딕"/>
          <w:b/>
          <w:i w:val="0"/>
          <w:color w:val="1F497D"/>
          <w:sz w:val="30"/>
        </w:rPr>
        <w:t>1. 서론 (Introduction)</w:t>
      </w:r>
    </w:p>
    <w:p>
      <w:pPr>
        <w:spacing w:after="100"/>
        <w:ind w:firstLine="0"/>
      </w:pPr>
      <w:r>
        <w:rPr>
          <w:rFonts w:ascii="맑은 고딕" w:hAnsi="맑은 고딕"/>
          <w:b w:val="0"/>
          <w:i w:val="0"/>
          <w:sz w:val="22"/>
        </w:rPr>
        <w:t>리튬이온전지는 전기차, 에너지 저장 시스템, 소비자 가전 등 다양한 분야에서 핵심 에너지원으로 자리 잡았다. 전지 제조 공정에서 새로 생산된 셀의 품질을 평가하기 위해 자가방전 측정이 필수적으로 수행된다. 자가방전율이 높은 셀은 내부단락(internal short circuit, ISC)이나 부반응(side reaction)이 존재할 가능성이 높으며, 이는 에너지 손실, 수명 단축, 심각한 경우 열폭주(thermal runaway)로 이어질 수 있다.</w:t>
      </w:r>
    </w:p>
    <w:p>
      <w:pPr>
        <w:spacing w:after="100"/>
        <w:ind w:firstLine="0"/>
      </w:pPr>
      <w:r>
        <w:rPr>
          <w:rFonts w:ascii="맑은 고딕" w:hAnsi="맑은 고딕"/>
          <w:b w:val="0"/>
          <w:i w:val="0"/>
          <w:sz w:val="22"/>
        </w:rPr>
        <w:t>제조 에이징 단계에서 자가방전 측정 시간이 길어지는 주된 원인은 "이완 효과(relaxation effect)"이다. 이완 효과는 ① 단기 전압 이완과 ② 장기 음극 오버행 평준화로 구분된다. 이 두 효과는 실제 자가방전과 구별하기 어려우며, 측정값을 왜곡하여 품질 판정의 신뢰성을 저하시킨다.</w:t>
      </w:r>
    </w:p>
    <w:p>
      <w:pPr>
        <w:spacing w:after="100"/>
        <w:ind w:firstLine="0"/>
      </w:pPr>
      <w:r>
        <w:rPr>
          <w:rFonts w:ascii="맑은 고딕" w:hAnsi="맑은 고딕"/>
          <w:b w:val="0"/>
          <w:i w:val="0"/>
          <w:sz w:val="22"/>
        </w:rPr>
        <w:t>본 논문은 세 가지 자가방전 측정 방법(전압 강하법, 전압 유지법, 용량 손실법)을 비교하고, 각 방법에 대한 이완 효과의 영향을 정량적으로 분석하였다. 또한 제조 에이징 단계에서의 실제 측정값과 비교하여, 실제 공정 조건에서의 적용 가능성을 검토하였다.</w:t>
      </w:r>
    </w:p>
    <w:p>
      <w:pPr>
        <w:spacing w:before="280" w:after="80"/>
      </w:pPr>
      <w:r>
        <w:rPr>
          <w:rFonts w:ascii="맑은 고딕" w:hAnsi="맑은 고딕"/>
          <w:b/>
          <w:i w:val="0"/>
          <w:color w:val="1F497D"/>
          <w:sz w:val="30"/>
        </w:rPr>
        <w:t>2. 이론 (Theory)</w:t>
      </w:r>
    </w:p>
    <w:p>
      <w:pPr>
        <w:spacing w:before="200" w:after="60"/>
      </w:pPr>
      <w:r>
        <w:rPr>
          <w:rFonts w:ascii="맑은 고딕" w:hAnsi="맑은 고딕"/>
          <w:b/>
          <w:i w:val="0"/>
          <w:color w:val="2E75B6"/>
          <w:sz w:val="26"/>
        </w:rPr>
        <w:t>2.1 단기 전압 이완 (Short-term Voltage Relaxation)</w:t>
      </w:r>
    </w:p>
    <w:p>
      <w:pPr>
        <w:jc w:val="center"/>
      </w:pPr>
      <w:r>
        <w:drawing>
          <wp:inline xmlns:a="http://schemas.openxmlformats.org/drawingml/2006/main" xmlns:pic="http://schemas.openxmlformats.org/drawingml/2006/picture">
            <wp:extent cx="3600000" cy="3852399"/>
            <wp:docPr id="1" name="Picture 1"/>
            <wp:cNvGraphicFramePr>
              <a:graphicFrameLocks noChangeAspect="1"/>
            </wp:cNvGraphicFramePr>
            <a:graphic>
              <a:graphicData uri="http://schemas.openxmlformats.org/drawingml/2006/picture">
                <pic:pic>
                  <pic:nvPicPr>
                    <pic:cNvPr id="0" name="fig1a_shortterm.png"/>
                    <pic:cNvPicPr/>
                  </pic:nvPicPr>
                  <pic:blipFill>
                    <a:blip r:embed="rId9"/>
                    <a:stretch>
                      <a:fillRect/>
                    </a:stretch>
                  </pic:blipFill>
                  <pic:spPr>
                    <a:xfrm>
                      <a:off x="0" y="0"/>
                      <a:ext cx="3600000" cy="3852399"/>
                    </a:xfrm>
                    <a:prstGeom prst="rect"/>
                  </pic:spPr>
                </pic:pic>
              </a:graphicData>
            </a:graphic>
          </wp:inline>
        </w:drawing>
      </w:r>
    </w:p>
    <w:p>
      <w:pPr>
        <w:spacing w:before="60" w:after="200"/>
        <w:jc w:val="center"/>
      </w:pPr>
      <w:r>
        <w:rPr>
          <w:rFonts w:ascii="맑은 고딕" w:hAnsi="맑은 고딕"/>
          <w:b/>
          <w:i w:val="0"/>
          <w:color w:val="2E75B6"/>
          <w:sz w:val="20"/>
        </w:rPr>
        <w:t>Figure 1(a). 단기 전압 이완 메커니즘 — 전극 내 고체상·액상 농도 평준화로 인한 전압 변화</w:t>
      </w:r>
    </w:p>
    <w:p>
      <w:pPr>
        <w:spacing w:after="100"/>
        <w:ind w:firstLine="0"/>
      </w:pPr>
      <w:r>
        <w:rPr>
          <w:rFonts w:ascii="맑은 고딕" w:hAnsi="맑은 고딕"/>
          <w:b w:val="0"/>
          <w:i w:val="0"/>
          <w:sz w:val="22"/>
        </w:rPr>
        <w:t>전류가 중단된 직후, 전극 내 리튬이온의 농도 분포가 불균일한 상태가 된다. 고체상(solid phase) 및 액상(liquid phase)에서의 확산(diffusion)에 의해 농도가 점진적으로 균일화되며, 이 과정에서 셀 전압이 지속적으로 변화한다. 이 단기 이완 과정은 일반적으로 수 시간 내에 완료되며, 상업용 21700 셀 기준으로 약 20시간이 소요된다.</w:t>
      </w:r>
    </w:p>
    <w:p>
      <w:pPr>
        <w:spacing w:after="120"/>
        <w:ind w:left="567" w:right="567"/>
        <w:shd w:val="clear" w:color="auto" w:fill="FFF2CC"/>
      </w:pPr>
      <w:r>
        <w:rPr>
          <w:rFonts w:ascii="맑은 고딕" w:hAnsi="맑은 고딕"/>
          <w:b w:val="0"/>
          <w:i/>
          <w:color w:val="404040"/>
          <w:sz w:val="21"/>
        </w:rPr>
        <w:t>📌 공정 적용: 현재 "전압 안정화 1일"은 이 단기 이완을 기다리는 과정이다. 21700 셀 기준 ~20시간이면 안정화되므로, 1일 안정화는 대체로 합리적이나 완전히 수렴하지 않을 수 있다.</w:t>
      </w:r>
    </w:p>
    <w:p>
      <w:pPr>
        <w:spacing w:before="200" w:after="60"/>
      </w:pPr>
      <w:r>
        <w:rPr>
          <w:rFonts w:ascii="맑은 고딕" w:hAnsi="맑은 고딕"/>
          <w:b/>
          <w:i w:val="0"/>
          <w:color w:val="2E75B6"/>
          <w:sz w:val="26"/>
        </w:rPr>
        <w:t>2.2 장기 음극 오버행 평준화 (Long-term Anode Overhang Equalization)</w:t>
      </w:r>
    </w:p>
    <w:p>
      <w:pPr>
        <w:jc w:val="center"/>
      </w:pPr>
      <w:r>
        <w:drawing>
          <wp:inline xmlns:a="http://schemas.openxmlformats.org/drawingml/2006/main" xmlns:pic="http://schemas.openxmlformats.org/drawingml/2006/picture">
            <wp:extent cx="3600000" cy="3852399"/>
            <wp:docPr id="2" name="Picture 2"/>
            <wp:cNvGraphicFramePr>
              <a:graphicFrameLocks noChangeAspect="1"/>
            </wp:cNvGraphicFramePr>
            <a:graphic>
              <a:graphicData uri="http://schemas.openxmlformats.org/drawingml/2006/picture">
                <pic:pic>
                  <pic:nvPicPr>
                    <pic:cNvPr id="0" name="fig1b_overhang.png"/>
                    <pic:cNvPicPr/>
                  </pic:nvPicPr>
                  <pic:blipFill>
                    <a:blip r:embed="rId10"/>
                    <a:stretch>
                      <a:fillRect/>
                    </a:stretch>
                  </pic:blipFill>
                  <pic:spPr>
                    <a:xfrm>
                      <a:off x="0" y="0"/>
                      <a:ext cx="3600000" cy="3852399"/>
                    </a:xfrm>
                    <a:prstGeom prst="rect"/>
                  </pic:spPr>
                </pic:pic>
              </a:graphicData>
            </a:graphic>
          </wp:inline>
        </w:drawing>
      </w:r>
    </w:p>
    <w:p>
      <w:pPr>
        <w:spacing w:before="60" w:after="200"/>
        <w:jc w:val="center"/>
      </w:pPr>
      <w:r>
        <w:rPr>
          <w:rFonts w:ascii="맑은 고딕" w:hAnsi="맑은 고딕"/>
          <w:b/>
          <w:i w:val="0"/>
          <w:color w:val="2E75B6"/>
          <w:sz w:val="20"/>
        </w:rPr>
        <w:t>Figure 1(b). 장기 음극 오버행 평준화 메커니즘 — 전위 기울기에 의한 Li 이동</w:t>
      </w:r>
    </w:p>
    <w:p>
      <w:pPr>
        <w:spacing w:after="100"/>
        <w:ind w:firstLine="0"/>
      </w:pPr>
      <w:r>
        <w:rPr>
          <w:rFonts w:ascii="맑은 고딕" w:hAnsi="맑은 고딕"/>
          <w:b w:val="0"/>
          <w:i w:val="0"/>
          <w:sz w:val="22"/>
        </w:rPr>
        <w:t>리튬이온전지에서 음극은 리튬 플레이팅을 방지하기 위해 양극보다 크게 설계된다. 양극 면적을 벗어난 음극 가장자리를 "오버행(overhang)"이라 부르며, 이 영역은 전류가 흐르지 않는 비활성 영역이다.</w:t>
      </w:r>
    </w:p>
    <w:p>
      <w:pPr>
        <w:spacing w:after="100"/>
        <w:ind w:firstLine="0"/>
      </w:pPr>
      <w:r>
        <w:rPr>
          <w:rFonts w:ascii="맑은 고딕" w:hAnsi="맑은 고딕"/>
          <w:b w:val="0"/>
          <w:i w:val="0"/>
          <w:sz w:val="22"/>
        </w:rPr>
        <w:t>충방전 과정 후, 활성 음극 영역(AASOC)과 비활성 오버행 영역(AOSOC) 사이에 전위 차(potential gradient)가 발생한다. 이 전위 차에 의해 리튬이온이 전해액을 통해 두 영역 사이를 천천히 이동하며, 이 과정에서 셀 전압이 변화하게 된다. 이 변화는 내부단락으로 인한 자가방전과 전기적으로 구별이 불가능하다.</w:t>
      </w:r>
    </w:p>
    <w:p>
      <w:pPr>
        <w:spacing w:after="80"/>
        <w:ind w:left="680"/>
      </w:pPr>
      <w:r>
        <w:rPr>
          <w:rFonts w:ascii="맑은 고딕" w:hAnsi="맑은 고딕"/>
          <w:b w:val="0"/>
          <w:i/>
          <w:color w:val="606060"/>
          <w:sz w:val="20"/>
        </w:rPr>
        <w:t>[원문] "Wilhelm et al. showed that the anode overhang was lithiated concentrically from all sides of the electrode, even in inactive areas. Therefore, apart from solid phase equalization of adjacent anode areas, there needs to be liquid phase lithium-ion movement and, consequently, intercalation of lithium-ions from the electrolyte into the anode overhang."</w:t>
      </w:r>
    </w:p>
    <w:p>
      <w:pPr>
        <w:spacing w:after="100"/>
        <w:ind w:firstLine="0"/>
      </w:pPr>
      <w:r>
        <w:rPr>
          <w:rFonts w:ascii="맑은 고딕" w:hAnsi="맑은 고딕"/>
          <w:b w:val="0"/>
          <w:i w:val="0"/>
          <w:sz w:val="22"/>
        </w:rPr>
        <w:t>음극 오버행 평준화는 전위 기울기(potential gradient)에 의해 구동되며, 농도 기울기와는 다른 메커니즘이다. 이 효과는 수 주에 걸쳐 지속될 수 있으며, 표준 시험 규격(IEC 62660-1, ISO 12405-4)에서 규정한 28일 시험에서도 완전히 소멸되지 않는다.</w:t>
      </w:r>
    </w:p>
    <w:p>
      <w:pPr>
        <w:spacing w:after="120"/>
        <w:ind w:left="567" w:right="567"/>
        <w:shd w:val="clear" w:color="auto" w:fill="FFF2CC"/>
      </w:pPr>
      <w:r>
        <w:rPr>
          <w:rFonts w:ascii="맑은 고딕" w:hAnsi="맑은 고딕"/>
          <w:b w:val="0"/>
          <w:i/>
          <w:color w:val="404040"/>
          <w:sz w:val="21"/>
        </w:rPr>
        <w:t>📌 핵심: 오버행 평준화 효과의 시정수(τ)는 수 주 규모이다. 3일 측정 구간에서는 이 효과가 거의 직선형으로 나타나 실제 자가방전과 구별이 불가능하다.</w:t>
      </w:r>
    </w:p>
    <w:p>
      <w:pPr>
        <w:spacing w:before="200" w:after="60"/>
      </w:pPr>
      <w:r>
        <w:rPr>
          <w:rFonts w:ascii="맑은 고딕" w:hAnsi="맑은 고딕"/>
          <w:b/>
          <w:i w:val="0"/>
          <w:color w:val="2E75B6"/>
          <w:sz w:val="26"/>
        </w:rPr>
        <w:t>2.3 세 가지 자가방전 측정 방법</w:t>
      </w:r>
    </w:p>
    <w:p>
      <w:pPr>
        <w:jc w:val="center"/>
      </w:pPr>
      <w:r>
        <w:drawing>
          <wp:inline xmlns:a="http://schemas.openxmlformats.org/drawingml/2006/main" xmlns:pic="http://schemas.openxmlformats.org/drawingml/2006/picture">
            <wp:extent cx="5400000" cy="7226568"/>
            <wp:docPr id="3" name="Picture 3"/>
            <wp:cNvGraphicFramePr>
              <a:graphicFrameLocks noChangeAspect="1"/>
            </wp:cNvGraphicFramePr>
            <a:graphic>
              <a:graphicData uri="http://schemas.openxmlformats.org/drawingml/2006/picture">
                <pic:pic>
                  <pic:nvPicPr>
                    <pic:cNvPr id="0" name="page_05.png"/>
                    <pic:cNvPicPr/>
                  </pic:nvPicPr>
                  <pic:blipFill>
                    <a:blip r:embed="rId11"/>
                    <a:stretch>
                      <a:fillRect/>
                    </a:stretch>
                  </pic:blipFill>
                  <pic:spPr>
                    <a:xfrm>
                      <a:off x="0" y="0"/>
                      <a:ext cx="5400000" cy="7226568"/>
                    </a:xfrm>
                    <a:prstGeom prst="rect"/>
                  </pic:spPr>
                </pic:pic>
              </a:graphicData>
            </a:graphic>
          </wp:inline>
        </w:drawing>
      </w:r>
    </w:p>
    <w:p>
      <w:pPr>
        <w:spacing w:before="60" w:after="200"/>
        <w:jc w:val="center"/>
      </w:pPr>
      <w:r>
        <w:rPr>
          <w:rFonts w:ascii="맑은 고딕" w:hAnsi="맑은 고딕"/>
          <w:b/>
          <w:i w:val="0"/>
          <w:color w:val="2E75B6"/>
          <w:sz w:val="20"/>
        </w:rPr>
        <w:t>Figure 2. 세 가지 자가방전 측정 방법: (a) 전압 강하법, (b) 전압 유지법, (c) 용량 손실법</w:t>
      </w:r>
    </w:p>
    <w:p>
      <w:pPr>
        <w:spacing w:before="140"/>
      </w:pPr>
      <w:r>
        <w:rPr>
          <w:rFonts w:ascii="맑은 고딕" w:hAnsi="맑은 고딕"/>
          <w:b/>
          <w:i w:val="0"/>
          <w:color w:val="404040"/>
          <w:sz w:val="24"/>
        </w:rPr>
        <w:t>(a) 전압 강하법 (Voltage Decay Method) — 현재 공정 적용 방법</w:t>
      </w:r>
    </w:p>
    <w:p>
      <w:pPr>
        <w:spacing w:after="100"/>
        <w:ind w:firstLine="0"/>
      </w:pPr>
      <w:r>
        <w:rPr>
          <w:rFonts w:ascii="맑은 고딕" w:hAnsi="맑은 고딕"/>
          <w:b w:val="0"/>
          <w:i w:val="0"/>
          <w:sz w:val="22"/>
        </w:rPr>
        <w:t>일정 시간 동안 개방 회로 전압(OCV)의 변화량(ΔV/Δt)을 측정한 후, dQ/dV 값으로 나누어 자가방전 전류를 환산한다.</w:t>
      </w:r>
    </w:p>
    <w:p>
      <w:pPr>
        <w:spacing w:after="100"/>
        <w:ind w:firstLine="0"/>
      </w:pPr>
      <w:r>
        <w:rPr>
          <w:rFonts w:ascii="맑은 고딕" w:hAnsi="맑은 고딕"/>
          <w:b w:val="0"/>
          <w:i w:val="0"/>
          <w:sz w:val="22"/>
        </w:rPr>
        <w:t>수식: I_SD = (ΔV/Δt) × (dQ/dV_pulse)</w:t>
      </w:r>
    </w:p>
    <w:p>
      <w:pPr>
        <w:spacing w:after="100"/>
        <w:ind w:firstLine="0"/>
      </w:pPr>
      <w:r>
        <w:rPr>
          <w:rFonts w:ascii="맑은 고딕" w:hAnsi="맑은 고딕"/>
          <w:b w:val="0"/>
          <w:i w:val="0"/>
          <w:sz w:val="22"/>
        </w:rPr>
        <w:t>dQ/dV는 짧은 전류 펄스로 측정하며, 정확도는 펄스 길이에 따라 달라진다. 펄스가 짧을수록 측정이 빠르지만 dQ/dV를 과소 측정할 수 있으며, 이는 자가방전 전류의 과소 추정으로 이어진다.</w:t>
      </w:r>
    </w:p>
    <w:p>
      <w:pPr>
        <w:spacing w:before="140"/>
      </w:pPr>
      <w:r>
        <w:rPr>
          <w:rFonts w:ascii="맑은 고딕" w:hAnsi="맑은 고딕"/>
          <w:b/>
          <w:i w:val="0"/>
          <w:color w:val="404040"/>
          <w:sz w:val="24"/>
        </w:rPr>
        <w:t>(b) 전압 유지법 (Voltage Hold Method) — BT2152B 원리</w:t>
      </w:r>
    </w:p>
    <w:p>
      <w:pPr>
        <w:spacing w:after="100"/>
        <w:ind w:firstLine="0"/>
      </w:pPr>
      <w:r>
        <w:rPr>
          <w:rFonts w:ascii="맑은 고딕" w:hAnsi="맑은 고딕"/>
          <w:b w:val="0"/>
          <w:i w:val="0"/>
          <w:sz w:val="22"/>
        </w:rPr>
        <w:t>정밀 전압원을 셀 OCV와 정확히 일치시켜 인가하고, 셀의 자가방전을 보상하기 위해 흐르는 전류를 직접 측정한다. 전압을 일정하게 유지하므로, 측정 전류가 곧 자가방전 전류이다.</w:t>
      </w:r>
    </w:p>
    <w:p>
      <w:pPr>
        <w:spacing w:after="100"/>
        <w:ind w:firstLine="0"/>
      </w:pPr>
      <w:r>
        <w:rPr>
          <w:rFonts w:ascii="맑은 고딕" w:hAnsi="맑은 고딕"/>
          <w:b w:val="0"/>
          <w:i w:val="0"/>
          <w:sz w:val="22"/>
        </w:rPr>
        <w:t>전압 유지법은 이상적인 조건에서도 안정화까지 최대 100시간이 소요될 수 있다. 또한 최근 충방전된 셀은 전압 이완으로 인해 측정 초반에 Hold 전압 이상으로 전압이 상승하여 초기 측정이 불가능한 구간이 발생할 수 있다.</w:t>
      </w:r>
    </w:p>
    <w:p>
      <w:pPr>
        <w:spacing w:before="140"/>
      </w:pPr>
      <w:r>
        <w:rPr>
          <w:rFonts w:ascii="맑은 고딕" w:hAnsi="맑은 고딕"/>
          <w:b/>
          <w:i w:val="0"/>
          <w:color w:val="404040"/>
          <w:sz w:val="24"/>
        </w:rPr>
        <w:t>(c) 용량 손실법 (Capacity Loss Method)</w:t>
      </w:r>
    </w:p>
    <w:p>
      <w:pPr>
        <w:spacing w:after="100"/>
        <w:ind w:firstLine="0"/>
      </w:pPr>
      <w:r>
        <w:rPr>
          <w:rFonts w:ascii="맑은 고딕" w:hAnsi="맑은 고딕"/>
          <w:b w:val="0"/>
          <w:i w:val="0"/>
          <w:sz w:val="22"/>
        </w:rPr>
        <w:t>방전 전후의 셀 용량을 직접 비교하여 자가방전을 정량화한다. 절차는 다음과 같다:</w:t>
      </w:r>
    </w:p>
    <w:p>
      <w:pPr>
        <w:spacing w:after="100"/>
        <w:ind w:firstLine="0"/>
      </w:pPr>
      <w:r>
        <w:rPr>
          <w:rFonts w:ascii="맑은 고딕" w:hAnsi="맑은 고딕"/>
          <w:b w:val="0"/>
          <w:i w:val="0"/>
          <w:sz w:val="22"/>
        </w:rPr>
        <w:t xml:space="preserve">  ① 측정 SOC(통상 50%)에서 방전 → 기준 용량 Q₀ 측정</w:t>
      </w:r>
    </w:p>
    <w:p>
      <w:pPr>
        <w:spacing w:after="100"/>
        <w:ind w:firstLine="0"/>
      </w:pPr>
      <w:r>
        <w:rPr>
          <w:rFonts w:ascii="맑은 고딕" w:hAnsi="맑은 고딕"/>
          <w:b w:val="0"/>
          <w:i w:val="0"/>
          <w:sz w:val="22"/>
        </w:rPr>
        <w:t xml:space="preserve">  ② 완전 충전 후 측정 SOC 재설정</w:t>
      </w:r>
    </w:p>
    <w:p>
      <w:pPr>
        <w:spacing w:after="100"/>
        <w:ind w:firstLine="0"/>
      </w:pPr>
      <w:r>
        <w:rPr>
          <w:rFonts w:ascii="맑은 고딕" w:hAnsi="맑은 고딕"/>
          <w:b w:val="0"/>
          <w:i w:val="0"/>
          <w:sz w:val="22"/>
        </w:rPr>
        <w:t xml:space="preserve">  ③ 최대 4주간 보관</w:t>
      </w:r>
    </w:p>
    <w:p>
      <w:pPr>
        <w:spacing w:after="100"/>
        <w:ind w:firstLine="0"/>
      </w:pPr>
      <w:r>
        <w:rPr>
          <w:rFonts w:ascii="맑은 고딕" w:hAnsi="맑은 고딕"/>
          <w:b w:val="0"/>
          <w:i w:val="0"/>
          <w:sz w:val="22"/>
        </w:rPr>
        <w:t xml:space="preserve">  ④ 보관 후 방전 → 잔여 용량 Q₁ 측정</w:t>
      </w:r>
    </w:p>
    <w:p>
      <w:pPr>
        <w:spacing w:after="100"/>
        <w:ind w:firstLine="0"/>
      </w:pPr>
      <w:r>
        <w:rPr>
          <w:rFonts w:ascii="맑은 고딕" w:hAnsi="맑은 고딕"/>
          <w:b w:val="0"/>
          <w:i w:val="0"/>
          <w:sz w:val="22"/>
        </w:rPr>
        <w:t xml:space="preserve">  ⑤ 추가 1사이클 → Q₂ 측정</w:t>
      </w:r>
    </w:p>
    <w:p>
      <w:pPr>
        <w:spacing w:after="100"/>
        <w:ind w:firstLine="0"/>
      </w:pPr>
      <w:r>
        <w:rPr>
          <w:rFonts w:ascii="맑은 고딕" w:hAnsi="맑은 고딕"/>
          <w:b w:val="0"/>
          <w:i w:val="0"/>
          <w:sz w:val="22"/>
        </w:rPr>
        <w:t xml:space="preserve">  가역 용량 손실: Q_rev = Q₂ − Q₁ (음극 오버행 평준화 등 회복 가능한 손실)</w:t>
      </w:r>
    </w:p>
    <w:p>
      <w:pPr>
        <w:spacing w:after="100"/>
        <w:ind w:firstLine="0"/>
      </w:pPr>
      <w:r>
        <w:rPr>
          <w:rFonts w:ascii="맑은 고딕" w:hAnsi="맑은 고딕"/>
          <w:b w:val="0"/>
          <w:i w:val="0"/>
          <w:sz w:val="22"/>
        </w:rPr>
        <w:t xml:space="preserve">  비가역 용량 손실: Q_irr = Q₀ − Q₂ (진짜 자가방전, SEI 성장 등 영구 손실)</w:t>
      </w:r>
    </w:p>
    <w:p>
      <w:pPr>
        <w:spacing w:after="100"/>
        <w:ind w:firstLine="0"/>
      </w:pPr>
      <w:r>
        <w:rPr>
          <w:rFonts w:ascii="맑은 고딕" w:hAnsi="맑은 고딕"/>
          <w:b w:val="0"/>
          <w:i w:val="0"/>
          <w:sz w:val="22"/>
        </w:rPr>
        <w:t>용량 손실법은 가역/비가역 손실을 분리할 수 있는 가장 정확한 방법이나, 측정 전후 완전 충방전 사이클이 필요하여 생산 라인 인라인 적용이 불가능하다.</w:t>
      </w:r>
    </w:p>
    <w:p>
      <w:pPr>
        <w:spacing w:after="120"/>
        <w:ind w:left="567" w:right="567"/>
        <w:shd w:val="clear" w:color="auto" w:fill="FFF2CC"/>
      </w:pPr>
      <w:r>
        <w:rPr>
          <w:rFonts w:ascii="맑은 고딕" w:hAnsi="맑은 고딕"/>
          <w:b w:val="0"/>
          <w:i/>
          <w:color w:val="404040"/>
          <w:sz w:val="21"/>
        </w:rPr>
        <w:t>📌 중요: Roth 2023은 전압 기반 방법(전압 강하법, 전압 유지법) 모두 음극 오버행 평준화를 용량 손실법에 비해 과소 측정함을 실험적으로 증명하였다. 두 전압 기반 방법은 오버행 평준화에 대해 서로 유사한 수준의 영향을 받는다.</w:t>
      </w:r>
    </w:p>
    <w:p>
      <w:r>
        <w:br w:type="page"/>
      </w:r>
    </w:p>
    <w:p>
      <w:pPr>
        <w:spacing w:before="280" w:after="80"/>
      </w:pPr>
      <w:r>
        <w:rPr>
          <w:rFonts w:ascii="맑은 고딕" w:hAnsi="맑은 고딕"/>
          <w:b/>
          <w:i w:val="0"/>
          <w:color w:val="1F497D"/>
          <w:sz w:val="30"/>
        </w:rPr>
        <w:t>3. 실험 방법 (Experimental)</w:t>
      </w:r>
    </w:p>
    <w:p>
      <w:pPr>
        <w:spacing w:before="200" w:after="60"/>
      </w:pPr>
      <w:r>
        <w:rPr>
          <w:rFonts w:ascii="맑은 고딕" w:hAnsi="맑은 고딕"/>
          <w:b/>
          <w:i w:val="0"/>
          <w:color w:val="2E75B6"/>
          <w:sz w:val="26"/>
        </w:rPr>
        <w:t>3.1 실험 셀</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sz w:val="20"/>
              </w:rPr>
              <w:t>항목</w:t>
            </w:r>
          </w:p>
        </w:tc>
        <w:tc>
          <w:tcPr>
            <w:tcW w:type="dxa" w:w="3024"/>
          </w:tcPr>
          <w:p>
            <w:r>
              <w:rPr>
                <w:b/>
                <w:sz w:val="20"/>
              </w:rPr>
              <w:t>Samsung INR21700-50E</w:t>
            </w:r>
          </w:p>
        </w:tc>
        <w:tc>
          <w:tcPr>
            <w:tcW w:type="dxa" w:w="3024"/>
          </w:tcPr>
          <w:p>
            <w:r>
              <w:rPr>
                <w:b/>
                <w:sz w:val="20"/>
              </w:rPr>
              <w:t>비상업용 파우치 셀</w:t>
            </w:r>
          </w:p>
        </w:tc>
      </w:tr>
      <w:tr>
        <w:tc>
          <w:tcPr>
            <w:tcW w:type="dxa" w:w="3024"/>
          </w:tcPr>
          <w:p>
            <w:r>
              <w:rPr>
                <w:sz w:val="20"/>
              </w:rPr>
              <w:t>제조사</w:t>
            </w:r>
          </w:p>
        </w:tc>
        <w:tc>
          <w:tcPr>
            <w:tcW w:type="dxa" w:w="3024"/>
          </w:tcPr>
          <w:p>
            <w:r>
              <w:rPr>
                <w:sz w:val="20"/>
              </w:rPr>
              <w:t>Samsung</w:t>
            </w:r>
          </w:p>
        </w:tc>
        <w:tc>
          <w:tcPr>
            <w:tcW w:type="dxa" w:w="3024"/>
          </w:tcPr>
          <w:p>
            <w:r>
              <w:rPr>
                <w:sz w:val="20"/>
              </w:rPr>
              <w:t>MEET Battery Research Center (Münster)</w:t>
            </w:r>
          </w:p>
        </w:tc>
      </w:tr>
      <w:tr>
        <w:tc>
          <w:tcPr>
            <w:tcW w:type="dxa" w:w="3024"/>
          </w:tcPr>
          <w:p>
            <w:r>
              <w:rPr>
                <w:sz w:val="20"/>
              </w:rPr>
              <w:t>셀 형태</w:t>
            </w:r>
          </w:p>
        </w:tc>
        <w:tc>
          <w:tcPr>
            <w:tcW w:type="dxa" w:w="3024"/>
          </w:tcPr>
          <w:p>
            <w:r>
              <w:rPr>
                <w:sz w:val="20"/>
              </w:rPr>
              <w:t>원통형 (Cylindrical)</w:t>
            </w:r>
          </w:p>
        </w:tc>
        <w:tc>
          <w:tcPr>
            <w:tcW w:type="dxa" w:w="3024"/>
          </w:tcPr>
          <w:p>
            <w:r>
              <w:rPr>
                <w:sz w:val="20"/>
              </w:rPr>
              <w:t>파우치 (Pouch)</w:t>
            </w:r>
          </w:p>
        </w:tc>
      </w:tr>
      <w:tr>
        <w:tc>
          <w:tcPr>
            <w:tcW w:type="dxa" w:w="3024"/>
          </w:tcPr>
          <w:p>
            <w:r>
              <w:rPr>
                <w:sz w:val="20"/>
              </w:rPr>
              <w:t>활물질</w:t>
            </w:r>
          </w:p>
        </w:tc>
        <w:tc>
          <w:tcPr>
            <w:tcW w:type="dxa" w:w="3024"/>
          </w:tcPr>
          <w:p>
            <w:r>
              <w:rPr>
                <w:sz w:val="20"/>
              </w:rPr>
              <w:t>NCA / 실리콘-흑연</w:t>
            </w:r>
          </w:p>
        </w:tc>
        <w:tc>
          <w:tcPr>
            <w:tcW w:type="dxa" w:w="3024"/>
          </w:tcPr>
          <w:p>
            <w:r>
              <w:rPr>
                <w:sz w:val="20"/>
              </w:rPr>
              <w:t>NMC622 / 흑연</w:t>
            </w:r>
          </w:p>
        </w:tc>
      </w:tr>
      <w:tr>
        <w:tc>
          <w:tcPr>
            <w:tcW w:type="dxa" w:w="3024"/>
          </w:tcPr>
          <w:p>
            <w:r>
              <w:rPr>
                <w:sz w:val="20"/>
              </w:rPr>
              <w:t>공칭 용량</w:t>
            </w:r>
          </w:p>
        </w:tc>
        <w:tc>
          <w:tcPr>
            <w:tcW w:type="dxa" w:w="3024"/>
          </w:tcPr>
          <w:p>
            <w:r>
              <w:rPr>
                <w:sz w:val="20"/>
              </w:rPr>
              <w:t>4.9 Ah</w:t>
            </w:r>
          </w:p>
        </w:tc>
        <w:tc>
          <w:tcPr>
            <w:tcW w:type="dxa" w:w="3024"/>
          </w:tcPr>
          <w:p>
            <w:r>
              <w:rPr>
                <w:sz w:val="20"/>
              </w:rPr>
              <w:t>5.5 Ah</w:t>
            </w:r>
          </w:p>
        </w:tc>
      </w:tr>
      <w:tr>
        <w:tc>
          <w:tcPr>
            <w:tcW w:type="dxa" w:w="3024"/>
          </w:tcPr>
          <w:p>
            <w:r>
              <w:rPr>
                <w:sz w:val="20"/>
              </w:rPr>
              <w:t>최대/최소 전압</w:t>
            </w:r>
          </w:p>
        </w:tc>
        <w:tc>
          <w:tcPr>
            <w:tcW w:type="dxa" w:w="3024"/>
          </w:tcPr>
          <w:p>
            <w:r>
              <w:rPr>
                <w:sz w:val="20"/>
              </w:rPr>
              <w:t>4.2 V / 2.9 V</w:t>
            </w:r>
          </w:p>
        </w:tc>
        <w:tc>
          <w:tcPr>
            <w:tcW w:type="dxa" w:w="3024"/>
          </w:tcPr>
          <w:p>
            <w:r>
              <w:rPr>
                <w:sz w:val="20"/>
              </w:rPr>
              <w:t>4.2 V / 2.9 V</w:t>
            </w:r>
          </w:p>
        </w:tc>
      </w:tr>
      <w:tr>
        <w:tc>
          <w:tcPr>
            <w:tcW w:type="dxa" w:w="3024"/>
          </w:tcPr>
          <w:p>
            <w:r>
              <w:rPr>
                <w:sz w:val="20"/>
              </w:rPr>
              <w:t>음극 코팅 면적</w:t>
            </w:r>
          </w:p>
        </w:tc>
        <w:tc>
          <w:tcPr>
            <w:tcW w:type="dxa" w:w="3024"/>
          </w:tcPr>
          <w:p>
            <w:r>
              <w:rPr>
                <w:sz w:val="20"/>
              </w:rPr>
              <w:t>1,270 cm²</w:t>
            </w:r>
          </w:p>
        </w:tc>
        <w:tc>
          <w:tcPr>
            <w:tcW w:type="dxa" w:w="3024"/>
          </w:tcPr>
          <w:p>
            <w:r>
              <w:rPr>
                <w:sz w:val="20"/>
              </w:rPr>
              <w:t>2,139 cm²</w:t>
            </w:r>
          </w:p>
        </w:tc>
      </w:tr>
      <w:tr>
        <w:tc>
          <w:tcPr>
            <w:tcW w:type="dxa" w:w="3024"/>
          </w:tcPr>
          <w:p>
            <w:r>
              <w:rPr>
                <w:sz w:val="20"/>
              </w:rPr>
              <w:t>총 음극 오버행</w:t>
            </w:r>
          </w:p>
        </w:tc>
        <w:tc>
          <w:tcPr>
            <w:tcW w:type="dxa" w:w="3024"/>
          </w:tcPr>
          <w:p>
            <w:r>
              <w:rPr>
                <w:sz w:val="20"/>
              </w:rPr>
              <w:t>6.5%</w:t>
            </w:r>
          </w:p>
        </w:tc>
        <w:tc>
          <w:tcPr>
            <w:tcW w:type="dxa" w:w="3024"/>
          </w:tcPr>
          <w:p>
            <w:r>
              <w:rPr>
                <w:sz w:val="20"/>
              </w:rPr>
              <w:t>13.5%</w:t>
            </w:r>
          </w:p>
        </w:tc>
      </w:tr>
      <w:tr>
        <w:tc>
          <w:tcPr>
            <w:tcW w:type="dxa" w:w="3024"/>
          </w:tcPr>
          <w:p>
            <w:r>
              <w:rPr>
                <w:sz w:val="20"/>
              </w:rPr>
              <w:t>단변 오버행 / 장변 오버행</w:t>
            </w:r>
          </w:p>
        </w:tc>
        <w:tc>
          <w:tcPr>
            <w:tcW w:type="dxa" w:w="3024"/>
          </w:tcPr>
          <w:p>
            <w:r>
              <w:rPr>
                <w:sz w:val="20"/>
              </w:rPr>
              <w:t>0.8% / 5.7%</w:t>
            </w:r>
          </w:p>
        </w:tc>
        <w:tc>
          <w:tcPr>
            <w:tcW w:type="dxa" w:w="3024"/>
          </w:tcPr>
          <w:p>
            <w:r>
              <w:rPr>
                <w:sz w:val="20"/>
              </w:rPr>
              <w:t>4.8% / 8.7%</w:t>
            </w:r>
          </w:p>
        </w:tc>
      </w:tr>
    </w:tbl>
    <w:p/>
    <w:p>
      <w:pPr>
        <w:spacing w:before="200" w:after="60"/>
      </w:pPr>
      <w:r>
        <w:rPr>
          <w:rFonts w:ascii="맑은 고딕" w:hAnsi="맑은 고딕"/>
          <w:b/>
          <w:i w:val="0"/>
          <w:color w:val="2E75B6"/>
          <w:sz w:val="26"/>
        </w:rPr>
        <w:t>3.2 사전처리 그룹 (Preconditioning Groups)</w:t>
      </w:r>
    </w:p>
    <w:p>
      <w:pPr>
        <w:spacing w:after="100"/>
        <w:ind w:firstLine="0"/>
      </w:pPr>
      <w:r>
        <w:rPr>
          <w:rFonts w:ascii="맑은 고딕" w:hAnsi="맑은 고딕"/>
          <w:b w:val="0"/>
          <w:i w:val="0"/>
          <w:sz w:val="22"/>
        </w:rPr>
        <w:t>음극 오버행 SOC(AOSOC)를 인위적으로 조절한 4개 그룹을 구성하여 이완 효과를 분리·정량화하였다.</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20"/>
              </w:rPr>
              <w:t>그룹명</w:t>
            </w:r>
          </w:p>
        </w:tc>
        <w:tc>
          <w:tcPr>
            <w:tcW w:type="dxa" w:w="2268"/>
          </w:tcPr>
          <w:p>
            <w:r>
              <w:rPr>
                <w:b/>
                <w:sz w:val="20"/>
              </w:rPr>
              <w:t>사전 처리</w:t>
            </w:r>
          </w:p>
        </w:tc>
        <w:tc>
          <w:tcPr>
            <w:tcW w:type="dxa" w:w="2268"/>
          </w:tcPr>
          <w:p>
            <w:r>
              <w:rPr>
                <w:b/>
                <w:sz w:val="20"/>
              </w:rPr>
              <w:t>오버행 상태</w:t>
            </w:r>
          </w:p>
        </w:tc>
        <w:tc>
          <w:tcPr>
            <w:tcW w:type="dxa" w:w="2268"/>
          </w:tcPr>
          <w:p>
            <w:r>
              <w:rPr>
                <w:b/>
                <w:sz w:val="20"/>
              </w:rPr>
              <w:t>의미</w:t>
            </w:r>
          </w:p>
        </w:tc>
      </w:tr>
      <w:tr>
        <w:tc>
          <w:tcPr>
            <w:tcW w:type="dxa" w:w="2268"/>
          </w:tcPr>
          <w:p>
            <w:r>
              <w:rPr>
                <w:sz w:val="20"/>
              </w:rPr>
              <w:t>Reference</w:t>
            </w:r>
          </w:p>
        </w:tc>
        <w:tc>
          <w:tcPr>
            <w:tcW w:type="dxa" w:w="2268"/>
          </w:tcPr>
          <w:p>
            <w:r>
              <w:rPr>
                <w:sz w:val="20"/>
              </w:rPr>
              <w:t>50% SOC 장기 유지</w:t>
            </w:r>
          </w:p>
        </w:tc>
        <w:tc>
          <w:tcPr>
            <w:tcW w:type="dxa" w:w="2268"/>
          </w:tcPr>
          <w:p>
            <w:r>
              <w:rPr>
                <w:sz w:val="20"/>
              </w:rPr>
              <w:t>AOSOC = AASOC</w:t>
            </w:r>
          </w:p>
        </w:tc>
        <w:tc>
          <w:tcPr>
            <w:tcW w:type="dxa" w:w="2268"/>
          </w:tcPr>
          <w:p>
            <w:r>
              <w:rPr>
                <w:sz w:val="20"/>
              </w:rPr>
              <w:t>교란 없는 기준 측정 (이상적 조건)</w:t>
            </w:r>
          </w:p>
        </w:tc>
      </w:tr>
      <w:tr>
        <w:tc>
          <w:tcPr>
            <w:tcW w:type="dxa" w:w="2268"/>
          </w:tcPr>
          <w:p>
            <w:r>
              <w:rPr>
                <w:sz w:val="20"/>
              </w:rPr>
              <w:t>Cycling</w:t>
            </w:r>
          </w:p>
        </w:tc>
        <w:tc>
          <w:tcPr>
            <w:tcW w:type="dxa" w:w="2268"/>
          </w:tcPr>
          <w:p>
            <w:r>
              <w:rPr>
                <w:sz w:val="20"/>
              </w:rPr>
              <w:t>측정 직전 완전 충방전 1회</w:t>
            </w:r>
          </w:p>
        </w:tc>
        <w:tc>
          <w:tcPr>
            <w:tcW w:type="dxa" w:w="2268"/>
          </w:tcPr>
          <w:p>
            <w:r>
              <w:rPr>
                <w:sz w:val="20"/>
              </w:rPr>
              <w:t>AOSOC ≠ AASOC</w:t>
            </w:r>
          </w:p>
        </w:tc>
        <w:tc>
          <w:tcPr>
            <w:tcW w:type="dxa" w:w="2268"/>
          </w:tcPr>
          <w:p>
            <w:r>
              <w:rPr>
                <w:sz w:val="20"/>
              </w:rPr>
              <w:t>실제 제조 공정과 가장 유사한 조건 ⭐</w:t>
            </w:r>
          </w:p>
        </w:tc>
      </w:tr>
      <w:tr>
        <w:tc>
          <w:tcPr>
            <w:tcW w:type="dxa" w:w="2268"/>
          </w:tcPr>
          <w:p>
            <w:r>
              <w:rPr>
                <w:sz w:val="20"/>
              </w:rPr>
              <w:t>LowAOSOC</w:t>
            </w:r>
          </w:p>
        </w:tc>
        <w:tc>
          <w:tcPr>
            <w:tcW w:type="dxa" w:w="2268"/>
          </w:tcPr>
          <w:p>
            <w:r>
              <w:rPr>
                <w:sz w:val="20"/>
              </w:rPr>
              <w:t>2% SOC(3.0V)에서 장기 보관 후 50%로 충전</w:t>
            </w:r>
          </w:p>
        </w:tc>
        <w:tc>
          <w:tcPr>
            <w:tcW w:type="dxa" w:w="2268"/>
          </w:tcPr>
          <w:p>
            <w:r>
              <w:rPr>
                <w:sz w:val="20"/>
              </w:rPr>
              <w:t>AOSOC ≪ AASOC</w:t>
            </w:r>
          </w:p>
        </w:tc>
        <w:tc>
          <w:tcPr>
            <w:tcW w:type="dxa" w:w="2268"/>
          </w:tcPr>
          <w:p>
            <w:r>
              <w:rPr>
                <w:sz w:val="20"/>
              </w:rPr>
              <w:t>최대 교란 유도</w:t>
            </w:r>
          </w:p>
        </w:tc>
      </w:tr>
      <w:tr>
        <w:tc>
          <w:tcPr>
            <w:tcW w:type="dxa" w:w="2268"/>
          </w:tcPr>
          <w:p>
            <w:r>
              <w:rPr>
                <w:sz w:val="20"/>
              </w:rPr>
              <w:t>LowAOSOC + Cycling</w:t>
            </w:r>
          </w:p>
        </w:tc>
        <w:tc>
          <w:tcPr>
            <w:tcW w:type="dxa" w:w="2268"/>
          </w:tcPr>
          <w:p>
            <w:r>
              <w:rPr>
                <w:sz w:val="20"/>
              </w:rPr>
              <w:t>위 조건 + 추가 2 사이클</w:t>
            </w:r>
          </w:p>
        </w:tc>
        <w:tc>
          <w:tcPr>
            <w:tcW w:type="dxa" w:w="2268"/>
          </w:tcPr>
          <w:p>
            <w:r>
              <w:rPr>
                <w:sz w:val="20"/>
              </w:rPr>
              <w:t>복합 교란</w:t>
            </w:r>
          </w:p>
        </w:tc>
        <w:tc>
          <w:tcPr>
            <w:tcW w:type="dxa" w:w="2268"/>
          </w:tcPr>
          <w:p>
            <w:r>
              <w:rPr>
                <w:sz w:val="20"/>
              </w:rPr>
              <w:t>—</w:t>
            </w:r>
          </w:p>
        </w:tc>
      </w:tr>
    </w:tbl>
    <w:p/>
    <w:p>
      <w:pPr>
        <w:spacing w:before="200" w:after="60"/>
      </w:pPr>
      <w:r>
        <w:rPr>
          <w:rFonts w:ascii="맑은 고딕" w:hAnsi="맑은 고딕"/>
          <w:b/>
          <w:i w:val="0"/>
          <w:color w:val="2E75B6"/>
          <w:sz w:val="26"/>
        </w:rPr>
        <w:t>3.3 자가방전 측정 조건</w:t>
      </w:r>
    </w:p>
    <w:p>
      <w:pPr>
        <w:spacing w:after="100"/>
        <w:ind w:firstLine="0"/>
      </w:pPr>
      <w:r>
        <w:rPr>
          <w:rFonts w:ascii="맑은 고딕" w:hAnsi="맑은 고딕"/>
          <w:b w:val="0"/>
          <w:i w:val="0"/>
          <w:sz w:val="22"/>
        </w:rPr>
        <w:t>• 측정 온도: 25°C   |   측정 SOC: 50%   |   측정 기간: 28일 (672시간)</w:t>
      </w:r>
    </w:p>
    <w:p>
      <w:pPr>
        <w:spacing w:after="100"/>
        <w:ind w:firstLine="0"/>
      </w:pPr>
      <w:r>
        <w:rPr>
          <w:rFonts w:ascii="맑은 고딕" w:hAnsi="맑은 고딕"/>
          <w:b w:val="0"/>
          <w:i w:val="0"/>
          <w:sz w:val="22"/>
        </w:rPr>
        <w:t>• 전압 강하법, 전압 유지법: 전 조건 그룹에 적용</w:t>
      </w:r>
    </w:p>
    <w:p>
      <w:pPr>
        <w:spacing w:after="100"/>
        <w:ind w:firstLine="0"/>
      </w:pPr>
      <w:r>
        <w:rPr>
          <w:rFonts w:ascii="맑은 고딕" w:hAnsi="맑은 고딕"/>
          <w:b w:val="0"/>
          <w:i w:val="0"/>
          <w:sz w:val="22"/>
        </w:rPr>
        <w:t>• 용량 손실법: "Cycling" 및 "LowAOSOC+Cycling" 그룹에만 적용 (사이클 필요)</w:t>
      </w:r>
    </w:p>
    <w:p>
      <w:r>
        <w:br w:type="page"/>
      </w:r>
    </w:p>
    <w:p>
      <w:pPr>
        <w:spacing w:before="280" w:after="80"/>
      </w:pPr>
      <w:r>
        <w:rPr>
          <w:rFonts w:ascii="맑은 고딕" w:hAnsi="맑은 고딕"/>
          <w:b/>
          <w:i w:val="0"/>
          <w:color w:val="1F497D"/>
          <w:sz w:val="30"/>
        </w:rPr>
        <w:t>4. 결과 및 고찰 (Results and Discussion)</w:t>
      </w:r>
    </w:p>
    <w:p>
      <w:pPr>
        <w:spacing w:before="200" w:after="60"/>
      </w:pPr>
      <w:r>
        <w:rPr>
          <w:rFonts w:ascii="맑은 고딕" w:hAnsi="맑은 고딕"/>
          <w:b/>
          <w:i w:val="0"/>
          <w:color w:val="2E75B6"/>
          <w:sz w:val="26"/>
        </w:rPr>
        <w:t>4.1 단기 이완 교란 (Figure 4, 5)</w:t>
      </w:r>
    </w:p>
    <w:p>
      <w:pPr>
        <w:jc w:val="center"/>
      </w:pPr>
      <w:r>
        <w:drawing>
          <wp:inline xmlns:a="http://schemas.openxmlformats.org/drawingml/2006/main" xmlns:pic="http://schemas.openxmlformats.org/drawingml/2006/picture">
            <wp:extent cx="5400000" cy="2743173"/>
            <wp:docPr id="4" name="Picture 4"/>
            <wp:cNvGraphicFramePr>
              <a:graphicFrameLocks noChangeAspect="1"/>
            </wp:cNvGraphicFramePr>
            <a:graphic>
              <a:graphicData uri="http://schemas.openxmlformats.org/drawingml/2006/picture">
                <pic:pic>
                  <pic:nvPicPr>
                    <pic:cNvPr id="0" name="fig5_shortterm30h.png"/>
                    <pic:cNvPicPr/>
                  </pic:nvPicPr>
                  <pic:blipFill>
                    <a:blip r:embed="rId12"/>
                    <a:stretch>
                      <a:fillRect/>
                    </a:stretch>
                  </pic:blipFill>
                  <pic:spPr>
                    <a:xfrm>
                      <a:off x="0" y="0"/>
                      <a:ext cx="5400000" cy="2743173"/>
                    </a:xfrm>
                    <a:prstGeom prst="rect"/>
                  </pic:spPr>
                </pic:pic>
              </a:graphicData>
            </a:graphic>
          </wp:inline>
        </w:drawing>
      </w:r>
    </w:p>
    <w:p>
      <w:pPr>
        <w:spacing w:before="60" w:after="200"/>
        <w:jc w:val="center"/>
      </w:pPr>
      <w:r>
        <w:rPr>
          <w:rFonts w:ascii="맑은 고딕" w:hAnsi="맑은 고딕"/>
          <w:b/>
          <w:i w:val="0"/>
          <w:color w:val="2E75B6"/>
          <w:sz w:val="20"/>
        </w:rPr>
        <w:t>Figure 5. 단기 전압 이완에 의한 자가방전 측정 교란 (첫 30시간)</w:t>
        <w:br/>
        <w:t>(a) 전압 강하법 — 21700 셀,  (b) 전압 유지법 — 21700 셀</w:t>
      </w:r>
    </w:p>
    <w:p>
      <w:pPr>
        <w:spacing w:after="100"/>
        <w:ind w:firstLine="0"/>
      </w:pPr>
      <w:r>
        <w:rPr>
          <w:rFonts w:ascii="맑은 고딕" w:hAnsi="맑은 고딕"/>
          <w:b w:val="0"/>
          <w:i w:val="0"/>
          <w:sz w:val="22"/>
        </w:rPr>
        <w:t>전압 강하법에서 Reference 그룹은 측정 초반부터 일정한 전압 강하를 보였다. Cycling 그룹은 단기 전압 이완으로 인해 처음 수 시간 동안 교란이 발생하였으나, 상업용 21700 셀은 약 20시간 이내에 Reference와 유사한 수준으로 수렴하였다. 비상업용 파우치 셀은 오버행 비율이 더 높아 교란이 더 오래 지속되었다.</w:t>
      </w:r>
    </w:p>
    <w:p>
      <w:pPr>
        <w:spacing w:after="80"/>
        <w:ind w:left="680"/>
      </w:pPr>
      <w:r>
        <w:rPr>
          <w:rFonts w:ascii="맑은 고딕" w:hAnsi="맑은 고딕"/>
          <w:b w:val="0"/>
          <w:i/>
          <w:color w:val="606060"/>
          <w:sz w:val="20"/>
        </w:rPr>
        <w:t>[원문] "A deviation from the ideal "Reference" measurement was still visible up to 20h, suggesting that voltage relaxation took longer for the pouch cells, or that the larger short overhang might have already caused a small anode overhang equalization."</w:t>
      </w:r>
    </w:p>
    <w:p>
      <w:pPr>
        <w:spacing w:after="100"/>
        <w:ind w:firstLine="0"/>
      </w:pPr>
      <w:r>
        <w:rPr>
          <w:rFonts w:ascii="맑은 고딕" w:hAnsi="맑은 고딕"/>
          <w:b w:val="0"/>
          <w:i w:val="0"/>
          <w:sz w:val="22"/>
        </w:rPr>
        <w:t>전압 유지법에서 Reference 셀도 이상적인 조건에서 완전 안정화까지 최대 100시간이 소요되었다. Cycling 셀은 충전 후 전압 이완으로 인해 초기에 Hold 전압보다 높은 전압을 보여 자가방전 전류가 0으로 측정되는 구간이 발생하였다.</w:t>
      </w:r>
    </w:p>
    <w:p>
      <w:pPr>
        <w:spacing w:after="120"/>
        <w:ind w:left="567" w:right="567"/>
        <w:shd w:val="clear" w:color="auto" w:fill="FFF2CC"/>
      </w:pPr>
      <w:r>
        <w:rPr>
          <w:rFonts w:ascii="맑은 고딕" w:hAnsi="맑은 고딕"/>
          <w:b w:val="0"/>
          <w:i/>
          <w:color w:val="404040"/>
          <w:sz w:val="21"/>
        </w:rPr>
        <w:t>📌 시사점: 현재 공정의 "1일 전압 안정화 후 OCV₁ 측정"은 단기 이완이 완전히 끝나지 않은 상태에서 측정이 시작될 수 있다. 특히 충전 이력이 있는 셀은 이완이 더 오래 걸린다.</w:t>
      </w:r>
    </w:p>
    <w:p>
      <w:pPr>
        <w:spacing w:before="200" w:after="60"/>
      </w:pPr>
      <w:r>
        <w:rPr>
          <w:rFonts w:ascii="맑은 고딕" w:hAnsi="맑은 고딕"/>
          <w:b/>
          <w:i w:val="0"/>
          <w:color w:val="2E75B6"/>
          <w:sz w:val="26"/>
        </w:rPr>
        <w:t>4.2 장기 오버행 교란 (Figure 6) — 핵심 결과</w:t>
      </w:r>
    </w:p>
    <w:p>
      <w:pPr>
        <w:jc w:val="center"/>
      </w:pPr>
      <w:r>
        <w:drawing>
          <wp:inline xmlns:a="http://schemas.openxmlformats.org/drawingml/2006/main" xmlns:pic="http://schemas.openxmlformats.org/drawingml/2006/picture">
            <wp:extent cx="5400000" cy="3181550"/>
            <wp:docPr id="5" name="Picture 5"/>
            <wp:cNvGraphicFramePr>
              <a:graphicFrameLocks noChangeAspect="1"/>
            </wp:cNvGraphicFramePr>
            <a:graphic>
              <a:graphicData uri="http://schemas.openxmlformats.org/drawingml/2006/picture">
                <pic:pic>
                  <pic:nvPicPr>
                    <pic:cNvPr id="0" name="fig6_overhang600h.png"/>
                    <pic:cNvPicPr/>
                  </pic:nvPicPr>
                  <pic:blipFill>
                    <a:blip r:embed="rId13"/>
                    <a:stretch>
                      <a:fillRect/>
                    </a:stretch>
                  </pic:blipFill>
                  <pic:spPr>
                    <a:xfrm>
                      <a:off x="0" y="0"/>
                      <a:ext cx="5400000" cy="3181550"/>
                    </a:xfrm>
                    <a:prstGeom prst="rect"/>
                  </pic:spPr>
                </pic:pic>
              </a:graphicData>
            </a:graphic>
          </wp:inline>
        </w:drawing>
      </w:r>
    </w:p>
    <w:p>
      <w:pPr>
        <w:spacing w:before="60" w:after="200"/>
        <w:jc w:val="center"/>
      </w:pPr>
      <w:r>
        <w:rPr>
          <w:rFonts w:ascii="맑은 고딕" w:hAnsi="맑은 고딕"/>
          <w:b/>
          <w:i w:val="0"/>
          <w:color w:val="2E75B6"/>
          <w:sz w:val="20"/>
        </w:rPr>
        <w:t>Figure 6. 음극 오버행 평준화에 의한 자가방전 측정 장기 교란 (600시간 = 25일)</w:t>
        <w:br/>
        <w:t>(a) 전압 강하법 — 21700 및 파우치 셀,  (b) 전압 유지법</w:t>
      </w:r>
    </w:p>
    <w:p>
      <w:pPr>
        <w:spacing w:after="100"/>
        <w:ind w:firstLine="0"/>
      </w:pPr>
      <w:r>
        <w:rPr>
          <w:rFonts w:ascii="맑은 고딕" w:hAnsi="맑은 고딕"/>
          <w:b w:val="0"/>
          <w:i w:val="0"/>
          <w:sz w:val="22"/>
        </w:rPr>
        <w:t>600시간(약 25일)이 경과한 후에도, 오버행 교란이 있는 셀들의 자가방전 전류는 Reference 그룹의 최대 3배 수준을 유지하였다.</w:t>
      </w:r>
    </w:p>
    <w:p>
      <w:pPr>
        <w:spacing w:after="80"/>
        <w:ind w:left="680"/>
      </w:pPr>
      <w:r>
        <w:rPr>
          <w:rFonts w:ascii="맑은 고딕" w:hAnsi="맑은 고딕"/>
          <w:b w:val="0"/>
          <w:i/>
          <w:color w:val="606060"/>
          <w:sz w:val="20"/>
        </w:rPr>
        <w:t>[원문] "Even after four weeks, the self-discharge current was still as much as two times higher than the undisturbed reference."</w:t>
      </w:r>
    </w:p>
    <w:p>
      <w:pPr>
        <w:spacing w:after="100"/>
        <w:ind w:firstLine="0"/>
      </w:pPr>
      <w:r>
        <w:rPr>
          <w:rFonts w:ascii="맑은 고딕" w:hAnsi="맑은 고딕"/>
          <w:b w:val="0"/>
          <w:i w:val="0"/>
          <w:sz w:val="22"/>
        </w:rPr>
        <w:t>이는 음극 오버행 평준화 효과의 시정수가 수 주 규모임을 의미한다. 3일(72시간) 측정 구간은 이 그래프의 초반 일부에 불과하며, 이 기간 동안 오버행 효과가 자가방전 측정에 유의미하게 섞여 있다.</w:t>
      </w:r>
    </w:p>
    <w:p>
      <w:pPr>
        <w:spacing w:after="100"/>
        <w:ind w:firstLine="0"/>
      </w:pPr>
      <w:r>
        <w:rPr>
          <w:rFonts w:ascii="맑은 고딕" w:hAnsi="맑은 고딕"/>
          <w:b w:val="0"/>
          <w:i w:val="0"/>
          <w:sz w:val="22"/>
        </w:rPr>
        <w:t>전압 강하법과 전압 유지법은 21700 및 파우치 셀 모두에서 유사한 자가방전 결과를 보였다. 두 방법 모두 오버행 평준화의 영향을 유사하게 받는다는 것을 의미한다.</w:t>
      </w:r>
    </w:p>
    <w:p>
      <w:pPr>
        <w:spacing w:after="120"/>
        <w:ind w:left="567" w:right="567"/>
        <w:shd w:val="clear" w:color="auto" w:fill="FFF2CC"/>
      </w:pPr>
      <w:r>
        <w:rPr>
          <w:rFonts w:ascii="맑은 고딕" w:hAnsi="맑은 고딕"/>
          <w:b w:val="0"/>
          <w:i/>
          <w:color w:val="404040"/>
          <w:sz w:val="21"/>
        </w:rPr>
        <w:t>📌 핵심 발견: 3일 dOCV 측정 구간에서 오버행 평준화는 "직선형"으로 나타나 실제 자가방전과 시각적으로 구별이 불가능하다. 이는 오버행의 시정수가 3일보다 훨씬 길기 때문이다.</w:t>
      </w:r>
    </w:p>
    <w:p>
      <w:pPr>
        <w:spacing w:before="200" w:after="60"/>
      </w:pPr>
      <w:r>
        <w:rPr>
          <w:rFonts w:ascii="맑은 고딕" w:hAnsi="맑은 고딕"/>
          <w:b/>
          <w:i w:val="0"/>
          <w:color w:val="2E75B6"/>
          <w:sz w:val="26"/>
        </w:rPr>
        <w:t>4.3 용량 손실법과의 비교 (Figure 7)</w:t>
      </w:r>
    </w:p>
    <w:p>
      <w:pPr>
        <w:jc w:val="center"/>
      </w:pPr>
      <w:r>
        <w:drawing>
          <wp:inline xmlns:a="http://schemas.openxmlformats.org/drawingml/2006/main" xmlns:pic="http://schemas.openxmlformats.org/drawingml/2006/picture">
            <wp:extent cx="5400000" cy="7226568"/>
            <wp:docPr id="6" name="Picture 6"/>
            <wp:cNvGraphicFramePr>
              <a:graphicFrameLocks noChangeAspect="1"/>
            </wp:cNvGraphicFramePr>
            <a:graphic>
              <a:graphicData uri="http://schemas.openxmlformats.org/drawingml/2006/picture">
                <pic:pic>
                  <pic:nvPicPr>
                    <pic:cNvPr id="0" name="page_11.png"/>
                    <pic:cNvPicPr/>
                  </pic:nvPicPr>
                  <pic:blipFill>
                    <a:blip r:embed="rId14"/>
                    <a:stretch>
                      <a:fillRect/>
                    </a:stretch>
                  </pic:blipFill>
                  <pic:spPr>
                    <a:xfrm>
                      <a:off x="0" y="0"/>
                      <a:ext cx="5400000" cy="7226568"/>
                    </a:xfrm>
                    <a:prstGeom prst="rect"/>
                  </pic:spPr>
                </pic:pic>
              </a:graphicData>
            </a:graphic>
          </wp:inline>
        </w:drawing>
      </w:r>
    </w:p>
    <w:p>
      <w:pPr>
        <w:spacing w:before="60" w:after="200"/>
        <w:jc w:val="center"/>
      </w:pPr>
      <w:r>
        <w:rPr>
          <w:rFonts w:ascii="맑은 고딕" w:hAnsi="맑은 고딕"/>
          <w:b/>
          <w:i w:val="0"/>
          <w:color w:val="2E75B6"/>
          <w:sz w:val="20"/>
        </w:rPr>
        <w:t>Figure 7. 전압 기반 측정값과 용량 손실법 비교 — (a) 21700, (b) 파우치 셀</w:t>
        <w:br/>
        <w:t>전압 기반 방법은 오버행 평준화를 과소 측정함</w:t>
      </w:r>
    </w:p>
    <w:p>
      <w:pPr>
        <w:spacing w:after="100"/>
        <w:ind w:firstLine="0"/>
      </w:pPr>
      <w:r>
        <w:rPr>
          <w:rFonts w:ascii="맑은 고딕" w:hAnsi="맑은 고딕"/>
          <w:b w:val="0"/>
          <w:i w:val="0"/>
          <w:sz w:val="22"/>
        </w:rPr>
        <w:t>용량 손실법과의 비교 결과, 전압 기반 방법(전압 강하법·전압 유지법)은 음극 오버행 평준화로 인한 가역 용량 손실을 과소 측정하는 것으로 나타났다.</w:t>
      </w:r>
    </w:p>
    <w:p>
      <w:pPr>
        <w:spacing w:after="100"/>
        <w:ind w:firstLine="0"/>
      </w:pPr>
      <w:r>
        <w:rPr>
          <w:rFonts w:ascii="맑은 고딕" w:hAnsi="맑은 고딕"/>
          <w:b w:val="0"/>
          <w:i w:val="0"/>
          <w:sz w:val="22"/>
        </w:rPr>
        <w:t>이는 이론적 분석과 일치한다: 오버행 평준화 시 리튬이 음극에서만 이동하므로 양극 전위는 변하지 않는다. 전압 기반 방법은 셀 전압(음극 + 양극)으로 측정하므로 음극 기여분만 포착하는 반면, 용량 손실법은 실제 이동한 리튬 총량을 직접 측정한다.</w:t>
      </w:r>
    </w:p>
    <w:p>
      <w:pPr>
        <w:spacing w:after="100"/>
        <w:ind w:firstLine="0"/>
      </w:pPr>
      <w:r>
        <w:rPr>
          <w:rFonts w:ascii="맑은 고딕" w:hAnsi="맑은 고딕"/>
          <w:b w:val="0"/>
          <w:i w:val="0"/>
          <w:sz w:val="22"/>
        </w:rPr>
        <w:t>LowAOSOC 조건에서는 오버행 평준화가 가역 용량 손실뿐 아니라 비가역 용량 손실 측정도 교란시키는 것으로 확인되었다. 이는 오버행 평준화가 가역적임에도 불구하고 비가역 용량 손실 측정에 기여하는 역설적인 현상이다.</w:t>
      </w:r>
    </w:p>
    <w:p>
      <w:pPr>
        <w:spacing w:before="200" w:after="60"/>
      </w:pPr>
      <w:r>
        <w:rPr>
          <w:rFonts w:ascii="맑은 고딕" w:hAnsi="맑은 고딕"/>
          <w:b/>
          <w:i w:val="0"/>
          <w:color w:val="2E75B6"/>
          <w:sz w:val="26"/>
        </w:rPr>
        <w:t>4.4 제조 에이징 단계와의 비교 (Figure 8) — 우리 공정과의 직접 연결</w:t>
      </w:r>
    </w:p>
    <w:p>
      <w:pPr>
        <w:jc w:val="center"/>
      </w:pPr>
      <w:r>
        <w:drawing>
          <wp:inline xmlns:a="http://schemas.openxmlformats.org/drawingml/2006/main" xmlns:pic="http://schemas.openxmlformats.org/drawingml/2006/picture">
            <wp:extent cx="5400000" cy="4480074"/>
            <wp:docPr id="7" name="Picture 7"/>
            <wp:cNvGraphicFramePr>
              <a:graphicFrameLocks noChangeAspect="1"/>
            </wp:cNvGraphicFramePr>
            <a:graphic>
              <a:graphicData uri="http://schemas.openxmlformats.org/drawingml/2006/picture">
                <pic:pic>
                  <pic:nvPicPr>
                    <pic:cNvPr id="0" name="fig8_manufacturing.png"/>
                    <pic:cNvPicPr/>
                  </pic:nvPicPr>
                  <pic:blipFill>
                    <a:blip r:embed="rId15"/>
                    <a:stretch>
                      <a:fillRect/>
                    </a:stretch>
                  </pic:blipFill>
                  <pic:spPr>
                    <a:xfrm>
                      <a:off x="0" y="0"/>
                      <a:ext cx="5400000" cy="4480074"/>
                    </a:xfrm>
                    <a:prstGeom prst="rect"/>
                  </pic:spPr>
                </pic:pic>
              </a:graphicData>
            </a:graphic>
          </wp:inline>
        </w:drawing>
      </w:r>
    </w:p>
    <w:p>
      <w:pPr>
        <w:spacing w:before="60" w:after="200"/>
        <w:jc w:val="center"/>
      </w:pPr>
      <w:r>
        <w:rPr>
          <w:rFonts w:ascii="맑은 고딕" w:hAnsi="맑은 고딕"/>
          <w:b/>
          <w:i w:val="0"/>
          <w:color w:val="2E75B6"/>
          <w:sz w:val="20"/>
        </w:rPr>
        <w:t>Figure 8. 제조 에이징 단계에서의 전압 강하와 6개월 후 실험실 측정값 비교</w:t>
        <w:br/>
        <w:t>"Cell aging step" = 제조 직후 에이징 단계 데이터 (우리 공정과 동일한 조건)</w:t>
      </w:r>
    </w:p>
    <w:p>
      <w:pPr>
        <w:spacing w:after="100"/>
        <w:ind w:firstLine="0"/>
      </w:pPr>
      <w:r>
        <w:rPr>
          <w:rFonts w:ascii="맑은 고딕" w:hAnsi="맑은 고딕"/>
          <w:b w:val="0"/>
          <w:i w:val="0"/>
          <w:sz w:val="22"/>
        </w:rPr>
        <w:t>제조 직후 에이징 단계(= 우리 공정의 3일 방치 구간)에서 측정한 전압 강하와 동일 셀을 6개월 후 실험실에서 재측정한 결과를 비교하였다.</w:t>
      </w:r>
    </w:p>
    <w:p>
      <w:pPr>
        <w:spacing w:after="100"/>
        <w:ind w:firstLine="0"/>
      </w:pPr>
      <w:r>
        <w:rPr>
          <w:rFonts w:ascii="맑은 고딕" w:hAnsi="맑은 고딕"/>
          <w:b w:val="0"/>
          <w:i w:val="0"/>
          <w:sz w:val="22"/>
        </w:rPr>
        <w:t>제조 에이징 단계의 결과는 Reference 그룹의 일정한 전압 강하(5~6mV)와 유사하게 나타났다. 하나의 이상치(outlier)는 34mV의 큰 전압 강하를 보였으며, 이는 일시적인 미세단락으로 추정된다.</w:t>
      </w:r>
    </w:p>
    <w:p>
      <w:pPr>
        <w:spacing w:after="80"/>
        <w:ind w:left="680"/>
      </w:pPr>
      <w:r>
        <w:rPr>
          <w:rFonts w:ascii="맑은 고딕" w:hAnsi="맑은 고딕"/>
          <w:b w:val="0"/>
          <w:i/>
          <w:color w:val="606060"/>
          <w:sz w:val="20"/>
        </w:rPr>
        <w:t>[원문] "Fresh cells and cells with disturbances from anode overhang showed similar voltage drop, suggesting that disturbances due to anode overhang equalization significantly affected the measured self-discharge for fresh cells."</w:t>
      </w:r>
    </w:p>
    <w:p>
      <w:pPr>
        <w:spacing w:after="100"/>
        <w:ind w:firstLine="0"/>
      </w:pPr>
      <w:r>
        <w:rPr>
          <w:rFonts w:ascii="맑은 고딕" w:hAnsi="맑은 고딕"/>
          <w:b w:val="0"/>
          <w:i w:val="0"/>
          <w:sz w:val="22"/>
        </w:rPr>
        <w:t>즉, 제조 직후 셀(Fresh cells)은 구조적으로 음극 오버행 평준화가 진행 중인 상태이며, 이로 인해 에이징 단계의 자가방전 측정이 교란되고 있음이 실험적으로 확인되었다.</w:t>
      </w:r>
    </w:p>
    <w:p>
      <w:pPr>
        <w:spacing w:after="120"/>
        <w:ind w:left="567" w:right="567"/>
        <w:shd w:val="clear" w:color="auto" w:fill="FFF2CC"/>
      </w:pPr>
      <w:r>
        <w:rPr>
          <w:rFonts w:ascii="맑은 고딕" w:hAnsi="맑은 고딕"/>
          <w:b w:val="0"/>
          <w:i/>
          <w:color w:val="404040"/>
          <w:sz w:val="21"/>
        </w:rPr>
        <w:t>📌 우리 공정에 대한 직접적 시사점: 제조 직후 셀의 3일 dOCV는 음극 오버행 평준화 효과를 포함하고 있으며, 이를 실제 자가방전과 구별하는 것이 dOCV 방법만으로는 불가능하다.</w:t>
      </w:r>
    </w:p>
    <w:p>
      <w:r>
        <w:br w:type="page"/>
      </w:r>
    </w:p>
    <w:p>
      <w:pPr>
        <w:spacing w:before="280" w:after="80"/>
      </w:pPr>
      <w:r>
        <w:rPr>
          <w:rFonts w:ascii="맑은 고딕" w:hAnsi="맑은 고딕"/>
          <w:b/>
          <w:i w:val="0"/>
          <w:color w:val="1F497D"/>
          <w:sz w:val="30"/>
        </w:rPr>
        <w:t>5. 결론 (Conclusions)</w:t>
      </w:r>
    </w:p>
    <w:p>
      <w:pPr>
        <w:spacing w:after="100"/>
        <w:ind w:firstLine="0"/>
      </w:pPr>
      <w:r>
        <w:rPr>
          <w:rFonts w:ascii="맑은 고딕" w:hAnsi="맑은 고딕"/>
          <w:b w:val="0"/>
          <w:i w:val="0"/>
          <w:sz w:val="22"/>
        </w:rPr>
        <w:t>본 연구는 전압 이완과 음극 오버행 평준화의 메커니즘을 설명하고, 이들이 자가방전 측정에 미치는 영향을 분석하였다. 주요 결론은 다음과 같다.</w:t>
      </w:r>
    </w:p>
    <w:p>
      <w:pPr>
        <w:spacing w:before="140"/>
      </w:pPr>
      <w:r>
        <w:rPr>
          <w:rFonts w:ascii="맑은 고딕" w:hAnsi="맑은 고딕"/>
          <w:b/>
          <w:i w:val="0"/>
          <w:color w:val="404040"/>
          <w:sz w:val="24"/>
        </w:rPr>
        <w:t>결론 1. 단기 전압 이완</w:t>
      </w:r>
    </w:p>
    <w:p>
      <w:pPr>
        <w:spacing w:after="100"/>
        <w:ind w:firstLine="0"/>
      </w:pPr>
      <w:r>
        <w:rPr>
          <w:rFonts w:ascii="맑은 고딕" w:hAnsi="맑은 고딕"/>
          <w:b w:val="0"/>
          <w:i w:val="0"/>
          <w:sz w:val="22"/>
        </w:rPr>
        <w:t>단기 전압 이완은 수 시간 내에 소멸된다(21700 셀 기준 ~20시간). 그러나 전압 유지법은 이상적 조건에서도 완전 안정화까지 최대 100시간이 소요된다. 충방전 이력이 있는 셀에서는 전압 이완으로 인해 전압 유지법의 초기 측정이 지연될 수 있다.</w:t>
      </w:r>
    </w:p>
    <w:p>
      <w:pPr>
        <w:spacing w:before="140"/>
      </w:pPr>
      <w:r>
        <w:rPr>
          <w:rFonts w:ascii="맑은 고딕" w:hAnsi="맑은 고딕"/>
          <w:b/>
          <w:i w:val="0"/>
          <w:color w:val="404040"/>
          <w:sz w:val="24"/>
        </w:rPr>
        <w:t>결론 2. 음극 오버행 평준화 — 장기 교란의 주원인</w:t>
      </w:r>
    </w:p>
    <w:p>
      <w:pPr>
        <w:spacing w:after="100"/>
        <w:ind w:firstLine="0"/>
      </w:pPr>
      <w:r>
        <w:rPr>
          <w:rFonts w:ascii="맑은 고딕" w:hAnsi="맑은 고딕"/>
          <w:b w:val="0"/>
          <w:i w:val="0"/>
          <w:sz w:val="22"/>
        </w:rPr>
        <w:t>음극 오버행 평준화는 모든 자가방전 측정 시간이 길어지는 주된 원인이다. 4주가 경과한 후에도 자가방전 전류가 교란이 없는 Reference의 2배에 달하였다. 따라서 음극 오버행 SOC(AOSOC)와 측정 SOC를 일치시키는 공정 조건 관리가 자가방전 측정 신뢰성 향상의 핵심이다.</w:t>
      </w:r>
    </w:p>
    <w:p>
      <w:pPr>
        <w:spacing w:after="80"/>
        <w:ind w:left="680"/>
      </w:pPr>
      <w:r>
        <w:rPr>
          <w:rFonts w:ascii="맑은 고딕" w:hAnsi="맑은 고딕"/>
          <w:b w:val="0"/>
          <w:i/>
          <w:color w:val="606060"/>
          <w:sz w:val="20"/>
        </w:rPr>
        <w:t>[원문] "Acknowledging storage conditions for anode overhang SOC and measurement conditions for cell SOC can greatly improve self-discharge evaluation."</w:t>
      </w:r>
    </w:p>
    <w:p>
      <w:pPr>
        <w:spacing w:before="140"/>
      </w:pPr>
      <w:r>
        <w:rPr>
          <w:rFonts w:ascii="맑은 고딕" w:hAnsi="맑은 고딕"/>
          <w:b/>
          <w:i w:val="0"/>
          <w:color w:val="404040"/>
          <w:sz w:val="24"/>
        </w:rPr>
        <w:t>결론 3. 전압 기반 측정법의 한계</w:t>
      </w:r>
    </w:p>
    <w:p>
      <w:pPr>
        <w:spacing w:after="100"/>
        <w:ind w:firstLine="0"/>
      </w:pPr>
      <w:r>
        <w:rPr>
          <w:rFonts w:ascii="맑은 고딕" w:hAnsi="맑은 고딕"/>
          <w:b w:val="0"/>
          <w:i w:val="0"/>
          <w:sz w:val="22"/>
        </w:rPr>
        <w:t>음극 오버행 평준화는 모든 전기적 자가방전 측정 방법에 영향을 미쳤다. 그러나 전압 기반 방법(전압 강하법·전압 유지법)은 용량 손실법에 비해 오버행 평준화량을 과소 측정하므로, 오버행 리튬 이동량을 정량화하는 목적에는 적합하지 않다. 또한 오버행 평준화는 비가역 용량 손실 측정도 교란시켰다.</w:t>
      </w:r>
    </w:p>
    <w:p>
      <w:pPr>
        <w:spacing w:before="140"/>
      </w:pPr>
      <w:r>
        <w:rPr>
          <w:rFonts w:ascii="맑은 고딕" w:hAnsi="맑은 고딕"/>
          <w:b/>
          <w:i w:val="0"/>
          <w:color w:val="404040"/>
          <w:sz w:val="24"/>
        </w:rPr>
        <w:t>향후 연구 방향 (논문 제시)</w:t>
      </w:r>
    </w:p>
    <w:p>
      <w:pPr>
        <w:spacing w:after="100"/>
        <w:ind w:firstLine="0"/>
      </w:pPr>
      <w:r>
        <w:rPr>
          <w:rFonts w:ascii="맑은 고딕" w:hAnsi="맑은 고딕"/>
          <w:b w:val="0"/>
          <w:i w:val="0"/>
          <w:sz w:val="22"/>
        </w:rPr>
        <w:t>저자들은 음극 오버행 평준화 교란을 최소화하기 위한 방법으로 다음 두 가지를 제안하였다:</w:t>
      </w:r>
    </w:p>
    <w:p>
      <w:pPr>
        <w:spacing w:after="100"/>
        <w:ind w:firstLine="0"/>
      </w:pPr>
      <w:r>
        <w:rPr>
          <w:rFonts w:ascii="맑은 고딕" w:hAnsi="맑은 고딕"/>
          <w:b w:val="0"/>
          <w:i w:val="0"/>
          <w:sz w:val="22"/>
        </w:rPr>
        <w:t xml:space="preserve">  ① 측정 SOC를 오버행 SOC(AOSOC)에 맞게 낮춤 (전위 기울기 최소화)</w:t>
      </w:r>
    </w:p>
    <w:p>
      <w:pPr>
        <w:spacing w:after="100"/>
        <w:ind w:firstLine="0"/>
      </w:pPr>
      <w:r>
        <w:rPr>
          <w:rFonts w:ascii="맑은 고딕" w:hAnsi="맑은 고딕"/>
          <w:b w:val="0"/>
          <w:i w:val="0"/>
          <w:sz w:val="22"/>
        </w:rPr>
        <w:t xml:space="preserve">  ② 오버행 효과를 모델링하여 측정값에서 보정</w:t>
      </w:r>
    </w:p>
    <w:p>
      <w:r>
        <w:br w:type="page"/>
      </w:r>
    </w:p>
    <w:p>
      <w:pPr>
        <w:spacing w:before="280" w:after="80"/>
      </w:pPr>
      <w:r>
        <w:rPr>
          <w:rFonts w:ascii="맑은 고딕" w:hAnsi="맑은 고딕"/>
          <w:b/>
          <w:i w:val="0"/>
          <w:color w:val="1F497D"/>
          <w:sz w:val="30"/>
        </w:rPr>
        <w:t>6. 활성화공정 적용 시사점 (번역자 정리)</w:t>
      </w:r>
    </w:p>
    <w:p>
      <w:pPr>
        <w:spacing w:after="120"/>
        <w:ind w:left="567" w:right="567"/>
        <w:shd w:val="clear" w:color="auto" w:fill="FFF2CC"/>
      </w:pPr>
      <w:r>
        <w:rPr>
          <w:rFonts w:ascii="맑은 고딕" w:hAnsi="맑은 고딕"/>
          <w:b w:val="0"/>
          <w:i/>
          <w:color w:val="404040"/>
          <w:sz w:val="21"/>
        </w:rPr>
        <w:t>※ 이 섹션은 원문에 없는 내용으로, 활성화공정팀 적용을 위해 번역자가 추가 정리한 내용입니다.</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sz w:val="20"/>
              </w:rPr>
              <w:t>현재 공정 단계</w:t>
            </w:r>
          </w:p>
        </w:tc>
        <w:tc>
          <w:tcPr>
            <w:tcW w:type="dxa" w:w="3024"/>
          </w:tcPr>
          <w:p>
            <w:r>
              <w:rPr>
                <w:b/>
                <w:sz w:val="20"/>
              </w:rPr>
              <w:t>Roth 2023의 시사점</w:t>
            </w:r>
          </w:p>
        </w:tc>
        <w:tc>
          <w:tcPr>
            <w:tcW w:type="dxa" w:w="3024"/>
          </w:tcPr>
          <w:p>
            <w:r>
              <w:rPr>
                <w:b/>
                <w:sz w:val="20"/>
              </w:rPr>
              <w:t>개선 방향</w:t>
            </w:r>
          </w:p>
        </w:tc>
      </w:tr>
      <w:tr>
        <w:tc>
          <w:tcPr>
            <w:tcW w:type="dxa" w:w="3024"/>
          </w:tcPr>
          <w:p>
            <w:r>
              <w:rPr>
                <w:sz w:val="20"/>
              </w:rPr>
              <w:t>1일 전압 안정화</w:t>
            </w:r>
          </w:p>
        </w:tc>
        <w:tc>
          <w:tcPr>
            <w:tcW w:type="dxa" w:w="3024"/>
          </w:tcPr>
          <w:p>
            <w:r>
              <w:rPr>
                <w:sz w:val="20"/>
              </w:rPr>
              <w:t>단기 이완(~20h) 대기 목적.</w:t>
              <w:br/>
              <w:t>21700 기준 합리적이나 완전히 수렴 안 할 수 있음</w:t>
            </w:r>
          </w:p>
        </w:tc>
        <w:tc>
          <w:tcPr>
            <w:tcW w:type="dxa" w:w="3024"/>
          </w:tcPr>
          <w:p>
            <w:r>
              <w:rPr>
                <w:sz w:val="20"/>
              </w:rPr>
              <w:t>현 유지 또는 단기 이완 완료 판단 기준 설정</w:t>
            </w:r>
          </w:p>
        </w:tc>
      </w:tr>
      <w:tr>
        <w:tc>
          <w:tcPr>
            <w:tcW w:type="dxa" w:w="3024"/>
          </w:tcPr>
          <w:p>
            <w:r>
              <w:rPr>
                <w:sz w:val="20"/>
              </w:rPr>
              <w:t>3일 상온 방치</w:t>
            </w:r>
          </w:p>
        </w:tc>
        <w:tc>
          <w:tcPr>
            <w:tcW w:type="dxa" w:w="3024"/>
          </w:tcPr>
          <w:p>
            <w:r>
              <w:rPr>
                <w:sz w:val="20"/>
              </w:rPr>
              <w:t>오버행 평준화 효과가 3일 내내 자가방전에 섞임.</w:t>
              <w:br/>
              <w:t>dOCV만으로 분리 불가</w:t>
            </w:r>
          </w:p>
        </w:tc>
        <w:tc>
          <w:tcPr>
            <w:tcW w:type="dxa" w:w="3024"/>
          </w:tcPr>
          <w:p>
            <w:r>
              <w:rPr>
                <w:sz w:val="20"/>
              </w:rPr>
              <w:t>직접 전류 측정(BT2152B)으로 대체 검토</w:t>
            </w:r>
          </w:p>
        </w:tc>
      </w:tr>
      <w:tr>
        <w:tc>
          <w:tcPr>
            <w:tcW w:type="dxa" w:w="3024"/>
          </w:tcPr>
          <w:p>
            <w:r>
              <w:rPr>
                <w:sz w:val="20"/>
              </w:rPr>
              <w:t>dOCV 불량 판정</w:t>
            </w:r>
          </w:p>
        </w:tc>
        <w:tc>
          <w:tcPr>
            <w:tcW w:type="dxa" w:w="3024"/>
          </w:tcPr>
          <w:p>
            <w:r>
              <w:rPr>
                <w:sz w:val="20"/>
              </w:rPr>
              <w:t>오버행 기여분으로 인해 과선별/미선별 위험.</w:t>
              <w:br/>
              <w:t>제조 직후 셀은 구조적으로 교란 상태</w:t>
            </w:r>
          </w:p>
        </w:tc>
        <w:tc>
          <w:tcPr>
            <w:tcW w:type="dxa" w:w="3024"/>
          </w:tcPr>
          <w:p>
            <w:r>
              <w:rPr>
                <w:sz w:val="20"/>
              </w:rPr>
              <w:t>판정 기준값(threshold) 재검토 또는</w:t>
              <w:br/>
              <w:t>누설 전류 기반 기준으로 전환</w:t>
            </w:r>
          </w:p>
        </w:tc>
      </w:tr>
    </w:tbl>
    <w:p/>
    <w:p>
      <w:r>
        <w:br w:type="page"/>
      </w:r>
    </w:p>
    <w:p>
      <w:pPr>
        <w:spacing w:before="280" w:after="80"/>
      </w:pPr>
      <w:r>
        <w:rPr>
          <w:rFonts w:ascii="맑은 고딕" w:hAnsi="맑은 고딕"/>
          <w:b/>
          <w:i w:val="0"/>
          <w:color w:val="1F497D"/>
          <w:sz w:val="30"/>
        </w:rPr>
        <w:t>참고문헌 (선별)</w:t>
      </w:r>
    </w:p>
    <w:p>
      <w:pPr>
        <w:pStyle w:val="ListBullet"/>
      </w:pPr>
      <w:r>
        <w:rPr>
          <w:rFonts w:ascii="맑은 고딕" w:hAnsi="맑은 고딕"/>
          <w:b w:val="0"/>
          <w:i w:val="0"/>
          <w:sz w:val="20"/>
        </w:rPr>
        <w:t>Roth T. et al., "Relaxation Effects in Self-Discharge Measurements of Lithium-Ion Batteries," J. Electrochem. Soc. 170, 020502, 2023. DOI: 10.1149/1945-7111/acb669</w:t>
      </w:r>
    </w:p>
    <w:p>
      <w:pPr>
        <w:pStyle w:val="ListBullet"/>
      </w:pPr>
      <w:r>
        <w:rPr>
          <w:rFonts w:ascii="맑은 고딕" w:hAnsi="맑은 고딕"/>
          <w:b w:val="0"/>
          <w:i w:val="0"/>
          <w:sz w:val="20"/>
        </w:rPr>
        <w:t>Sazhin S.V., Dufek E.J., Gering K.L., "Enhancing Li-Ion Battery Safety by Early Detection of Nascent Internal Shorts," J. Electrochem. Soc. 164, A6281, 2017. DOI: 10.1149/2.0431701jes</w:t>
      </w:r>
    </w:p>
    <w:p>
      <w:pPr>
        <w:pStyle w:val="ListBullet"/>
      </w:pPr>
      <w:r>
        <w:rPr>
          <w:rFonts w:ascii="맑은 고딕" w:hAnsi="맑은 고딕"/>
          <w:b w:val="0"/>
          <w:i w:val="0"/>
          <w:sz w:val="20"/>
        </w:rPr>
        <w:t>Wilhelm J. et al., "Cycling capacity recovery effect: a coulombic efficiency and post-mortem study," J. Power Sources, 2017.</w:t>
      </w:r>
    </w:p>
    <w:p>
      <w:pPr>
        <w:pStyle w:val="ListBullet"/>
      </w:pPr>
      <w:r>
        <w:rPr>
          <w:rFonts w:ascii="맑은 고딕" w:hAnsi="맑은 고딕"/>
          <w:b w:val="0"/>
          <w:i w:val="0"/>
          <w:sz w:val="20"/>
        </w:rPr>
        <w:t>Gyenes B. et al., "Understanding anomalous behavior in coulombic efficiency measurements on Li-Ion batteries," J. Electrochem. Soc. 162, A278, 2015.</w:t>
      </w:r>
    </w:p>
    <w:p>
      <w:pPr>
        <w:pStyle w:val="ListBullet"/>
      </w:pPr>
      <w:r>
        <w:rPr>
          <w:rFonts w:ascii="맑은 고딕" w:hAnsi="맑은 고딕"/>
          <w:b w:val="0"/>
          <w:i w:val="0"/>
          <w:sz w:val="20"/>
        </w:rPr>
        <w:t>Hüfner T. et al., "Lithium flow between active area and overhang of graphite anodes as a function of temperature and overhang geometry," J. Energy Storage, 24, 100790, 2019.</w:t>
      </w:r>
    </w:p>
    <w:p>
      <w:pPr>
        <w:pStyle w:val="ListBullet"/>
      </w:pPr>
      <w:r>
        <w:rPr>
          <w:rFonts w:ascii="맑은 고딕" w:hAnsi="맑은 고딕"/>
          <w:b w:val="0"/>
          <w:i w:val="0"/>
          <w:sz w:val="20"/>
        </w:rPr>
        <w:t>Lewerenz M. et al., "Irreversible calendar aging and quantification of the reversible capacity loss caused by anode overhang," J. Energy Storage, 18, 149, 2018.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