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eastAsia="맑은 고딕"/>
          <w:rFonts w:ascii="맑은 고딕" w:hAnsi="맑은 고딕"/>
          <w:b/>
          <w:i w:val="0"/>
          <w:color w:val="1F4E79"/>
          <w:sz w:val="36"/>
        </w:rPr>
        <w:t>짧은 시간 내 리튬이온 배터리</w:t>
        <w:br/>
        <w:t>개방 회로 전압의 정밀 예측</w:t>
      </w:r>
    </w:p>
    <w:p>
      <w:pPr>
        <w:jc w:val="center"/>
      </w:pPr>
      <w:r>
        <w:rPr>
          <w:rFonts w:eastAsia="맑은 고딕"/>
          <w:rFonts w:ascii="맑은 고딕" w:hAnsi="맑은 고딕"/>
          <w:b w:val="0"/>
          <w:i/>
          <w:color w:val="646464"/>
          <w:sz w:val="20"/>
        </w:rPr>
        <w:t>(원제) Precise prediction of open circuit voltage of lithium ion batteries in a short time period</w:t>
      </w:r>
    </w:p>
    <w:p/>
    <w:p>
      <w:pPr>
        <w:jc w:val="center"/>
      </w:pPr>
      <w:r>
        <w:rPr>
          <w:rFonts w:eastAsia="맑은 고딕"/>
          <w:rFonts w:ascii="맑은 고딕" w:hAnsi="맑은 고딕"/>
          <w:b/>
          <w:i w:val="0"/>
          <w:sz w:val="22"/>
        </w:rPr>
        <w:t>Ming-Ying Zhou · Jian-Bang Zhang · Chi-Jyun Ko · Kuo-Ching Chen</w:t>
      </w:r>
    </w:p>
    <w:p>
      <w:pPr>
        <w:jc w:val="center"/>
      </w:pPr>
      <w:r>
        <w:rPr>
          <w:rFonts w:eastAsia="맑은 고딕"/>
          <w:rFonts w:ascii="맑은 고딕" w:hAnsi="맑은 고딕"/>
          <w:b w:val="0"/>
          <w:i w:val="0"/>
          <w:sz w:val="21"/>
        </w:rPr>
        <w:t>국립대만대학교 응용역학연구소, 타이페이, 10617, 대만</w:t>
      </w:r>
    </w:p>
    <w:p>
      <w:pPr>
        <w:jc w:val="center"/>
      </w:pPr>
      <w:r>
        <w:rPr>
          <w:rFonts w:eastAsia="맑은 고딕"/>
          <w:rFonts w:ascii="맑은 고딕" w:hAnsi="맑은 고딕"/>
          <w:b w:val="0"/>
          <w:i w:val="0"/>
          <w:color w:val="4472C4"/>
          <w:sz w:val="20"/>
        </w:rPr>
        <w:t>Journal of Power Sources 553 (2023) 232295</w:t>
        <w:br/>
        <w:t>https://doi.org/10.1016/j.jpowsour.2022.232295</w:t>
      </w:r>
    </w:p>
    <w:p>
      <w:pPr>
        <w:jc w:val="center"/>
      </w:pPr>
      <w:r>
        <w:rPr>
          <w:rFonts w:eastAsia="맑은 고딕"/>
          <w:rFonts w:ascii="맑은 고딕" w:hAnsi="맑은 고딕"/>
          <w:b w:val="0"/>
          <w:i w:val="0"/>
          <w:color w:val="787878"/>
          <w:sz w:val="19"/>
        </w:rPr>
        <w:t>투고: 2022년 7월 11일  |  수정: 2022년 10월 16일  |  수락: 2022년 10월 21일  |  온라인 게재: 2022년 10월 29일</w:t>
      </w:r>
    </w:p>
    <w:p>
      <w:pPr>
        <w:pBdr>
          <w:bottom w:val="single" w:sz="6" w:space="1" w:color="AAAAAA"/>
        </w:pBdr>
      </w:pPr>
    </w:p>
    <w:p>
      <w:pPr>
        <w:spacing w:before="160" w:after="120"/>
      </w:pPr>
      <w:r>
        <w:rPr>
          <w:rFonts w:eastAsia="맑은 고딕"/>
          <w:rFonts w:ascii="맑은 고딕" w:hAnsi="맑은 고딕"/>
          <w:b/>
          <w:i w:val="0"/>
          <w:color w:val="2F5496"/>
          <w:sz w:val="24"/>
        </w:rPr>
        <w:t>◆ 주요 내용 (Highlights)</w:t>
      </w:r>
    </w:p>
    <w:p>
      <w:pPr>
        <w:pStyle w:val="ListBullet"/>
        <w:spacing w:before="20" w:after="20"/>
        <w:ind w:left="283"/>
      </w:pPr>
      <w:r>
        <w:rPr>
          <w:rFonts w:eastAsia="맑은 고딕"/>
          <w:rFonts w:ascii="맑은 고딕" w:hAnsi="맑은 고딕"/>
          <w:b w:val="0"/>
          <w:i w:val="0"/>
          <w:sz w:val="21"/>
        </w:rPr>
        <w:t>OCV는 짧은 기간 내에 RC 회로 모델을 통해 예측됩니다.</w:t>
      </w:r>
    </w:p>
    <w:p>
      <w:pPr>
        <w:pStyle w:val="ListBullet"/>
        <w:spacing w:before="20" w:after="20"/>
        <w:ind w:left="283"/>
      </w:pPr>
      <w:r>
        <w:rPr>
          <w:rFonts w:eastAsia="맑은 고딕"/>
          <w:rFonts w:ascii="맑은 고딕" w:hAnsi="맑은 고딕"/>
          <w:b w:val="0"/>
          <w:i w:val="0"/>
          <w:sz w:val="21"/>
        </w:rPr>
        <w:t>완전한 이완 과정을 수학적으로 피팅할 필요가 없습니다.</w:t>
      </w:r>
    </w:p>
    <w:p>
      <w:pPr>
        <w:pStyle w:val="ListBullet"/>
        <w:spacing w:before="20" w:after="20"/>
        <w:ind w:left="283"/>
      </w:pPr>
      <w:r>
        <w:rPr>
          <w:rFonts w:eastAsia="맑은 고딕"/>
          <w:rFonts w:ascii="맑은 고딕" w:hAnsi="맑은 고딕"/>
          <w:b w:val="0"/>
          <w:i w:val="0"/>
          <w:sz w:val="21"/>
        </w:rPr>
        <w:t>시간 상수는 초기 이완 곡선의 전압 기준에 의해 결정됩니다.</w:t>
      </w:r>
    </w:p>
    <w:p>
      <w:pPr>
        <w:pStyle w:val="ListBullet"/>
        <w:spacing w:before="20" w:after="20"/>
        <w:ind w:left="283"/>
      </w:pPr>
      <w:r>
        <w:rPr>
          <w:rFonts w:eastAsia="맑은 고딕"/>
          <w:rFonts w:ascii="맑은 고딕" w:hAnsi="맑은 고딕"/>
          <w:b w:val="0"/>
          <w:i w:val="0"/>
          <w:sz w:val="21"/>
        </w:rPr>
        <w:t>서로 다른 온도 및 SOH 조건에서의 셀 OCV가 광범위하게 논의됩니다.</w:t>
      </w:r>
    </w:p>
    <w:p>
      <w:pPr>
        <w:pBdr>
          <w:bottom w:val="single" w:sz="6" w:space="1" w:color="AAAAAA"/>
        </w:pBdr>
      </w:pPr>
    </w:p>
    <w:p>
      <w:pPr>
        <w:spacing w:before="280" w:after="120"/>
      </w:pPr>
      <w:r>
        <w:rPr>
          <w:rFonts w:eastAsia="맑은 고딕"/>
          <w:rFonts w:ascii="맑은 고딕" w:hAnsi="맑은 고딕"/>
          <w:b/>
          <w:i w:val="0"/>
          <w:color w:val="1F4E79"/>
          <w:sz w:val="28"/>
        </w:rPr>
        <w:t>초록 (Abstract)</w:t>
      </w:r>
    </w:p>
    <w:p>
      <w:pPr>
        <w:spacing w:before="40" w:after="80" w:line="360" w:lineRule="exact"/>
      </w:pPr>
      <w:r>
        <w:rPr>
          <w:rFonts w:eastAsia="맑은 고딕"/>
          <w:rFonts w:ascii="맑은 고딕" w:hAnsi="맑은 고딕"/>
          <w:b w:val="0"/>
          <w:i w:val="0"/>
          <w:sz w:val="21"/>
        </w:rPr>
        <w:t>배터리가 개방 회로 상태에 들어간 후 발생하는 이완 과정으로 인해, 배터리의 개방 회로 전압(OCV)을 측정하는 것은 상당한 시간이 소요됩니다. 본 연구에서는 완전한 전압 이완 정보 없이도, 간단한 1차 RC 회로 모델을 통해 각 충전 상태(SOC)에서의 OCV를 짧은 시간 내에 얻을 수 있는 '실시간 계산 접근법'을 제안합니다. RC 모델의 시간 상수는, 실제 이완 과정에서 지정된 전압 기준이 충족되는 가장 이른 순간에 측정된 이완 전압의 1차 및 2차 시간 미분의 비율로 계산됩니다. 이 기준을 활용하면 추정된 OCV 오차가 극히 작은 것으로 확인됩니다. 제안된 방법의 정확도와 견고성을 검증하기 위해, 세 가지 서로 다른 온도 및 세 가지 배터리 건강 상태(SOH)에서 실험이 수행됩니다. 기존의 각 SOC에서의 OCV 예측 방법과 비교하여, 제안된 방법은 신뢰할 수 있는 정확도(대부분의 경우 3 mV 미만)로 OCV 측정 시간을 단 몇 분(대부분의 경우 6분 미만)으로 줄일 수 있습니다.</w:t>
      </w:r>
    </w:p>
    <w:p>
      <w:pPr>
        <w:pBdr>
          <w:bottom w:val="single" w:sz="6" w:space="1" w:color="AAAAAA"/>
        </w:pBdr>
      </w:pPr>
    </w:p>
    <w:p>
      <w:pPr>
        <w:spacing w:before="280" w:after="120"/>
      </w:pPr>
      <w:r>
        <w:rPr>
          <w:rFonts w:eastAsia="맑은 고딕"/>
          <w:rFonts w:ascii="맑은 고딕" w:hAnsi="맑은 고딕"/>
          <w:b/>
          <w:i w:val="0"/>
          <w:color w:val="1F4E79"/>
          <w:sz w:val="28"/>
        </w:rPr>
        <w:t>1. 서론 (Introduction)</w:t>
      </w:r>
    </w:p>
    <w:p>
      <w:pPr>
        <w:spacing w:before="40" w:after="80" w:line="360" w:lineRule="exact"/>
      </w:pPr>
      <w:r>
        <w:rPr>
          <w:rFonts w:eastAsia="맑은 고딕"/>
          <w:rFonts w:ascii="맑은 고딕" w:hAnsi="맑은 고딕"/>
          <w:b w:val="0"/>
          <w:i w:val="0"/>
          <w:sz w:val="21"/>
        </w:rPr>
        <w:t>리튬이온 배터리(LIB)는 높은 에너지 밀도, 낮은 자가방전율, 긴 사이클 수명을 가지고 있어 전기자동차 및 모바일 기기와 같은 에너지 저장 시스템에 폭넓게 활용되고 있습니다 [1]. LIB의 안전하고 신뢰성 있는 운용을 보장하기 위해, 배터리 관리 시스템(BMS)에서 배터리 상태—예: 충전 상태(SOC) 및 건강 상태(SOH)—를 모니터링하는 것이 매우 중요한 과제가 되었습니다. SOC의 정확한 추정은 과충전 및 과방전 문제를 방지하여 배터리가 정상 범위 내에서 운용되도록 합니다. SOH는 새것과 비교했을 때 배터리가 에너지를 공급할 수 있는 능력을 나타내며, LIB의 장기적인 용량을 의미합니다.</w:t>
      </w:r>
    </w:p>
    <w:p>
      <w:pPr>
        <w:spacing w:before="40" w:after="80" w:line="360" w:lineRule="exact"/>
      </w:pPr>
      <w:r>
        <w:rPr>
          <w:rFonts w:eastAsia="맑은 고딕"/>
          <w:rFonts w:ascii="맑은 고딕" w:hAnsi="맑은 고딕"/>
          <w:b w:val="0"/>
          <w:i w:val="0"/>
          <w:sz w:val="21"/>
        </w:rPr>
        <w:t>개방 회로 전압(OCV)은 LIB의 근본적인 특성으로서 BMS 및 전기화학 모델링에서 핵심적인 역할을 합니다. OCV는 SOC 및 SOH와 밀접하게 관련되어 있으며, SOC의 단조 함수로 알려져 있습니다 [2]. OCV와 SOC의 관계를 기반으로, 배터리 SOC는 등가 회로 모델(ECM) [3–8] 또는 전기화학 모델 [9,10]을 통해 추정할 수 있습니다. 이 중 ECM은 종종 다양한 필터 알고리즘과 결합되어 SOC 추정의 정확도를 높입니다. 예를 들어 적응형 칼만 필터 [4], 비례-적분 옵저버 [5], H 무한 필터 [6], 확장 칼만 필터 [7] 등이 있습니다. 그러나 OCV-SOC 관계는 배터리 SOH의 영향도 받으므로 [11,12], OCV는 LIB의 건강 상태를 평가하는 지표로도 활용될 수 있습니다. 실험을 통해 얻은 OCV vs. Q 관계는 증분 용량(IC) 및 미분 전압(DV) 곡선, 즉 dQ/dV 및 dV/dQ 곡선 분석을 통해 배터리 건강 상태 변화를 관찰하는 데 자주 활용됩니다 [13]. OCV-Q 곡선을 dQ/dV-V 곡선으로 변환하면 여러 피크/골짜기를 관찰할 수 있으며, 피크/골짜기의 값 변화와 위치 이동을 통해 배터리의 열화 정도가 파악됩니다 [14–18]. 이 dQ/dV 분석은 특정 소재의 배터리에만 국한되지 않고 다양한 양극 소재의 LIB에 적용 가능한 것으로 알려져 있습니다 [19–21].</w:t>
      </w:r>
    </w:p>
    <w:p>
      <w:pPr>
        <w:spacing w:before="40" w:after="80" w:line="360" w:lineRule="exact"/>
      </w:pPr>
      <w:r>
        <w:rPr>
          <w:rFonts w:eastAsia="맑은 고딕"/>
          <w:rFonts w:ascii="맑은 고딕" w:hAnsi="맑은 고딕"/>
          <w:b w:val="0"/>
          <w:i w:val="0"/>
          <w:sz w:val="21"/>
        </w:rPr>
        <w:t>일반적으로 OCV-SOC 곡선을 측정하는 방법에는 저전류 OCV 시험(low current OCV test)과 증분 OCV 시험(incremental OCV test)의 두 가지가 있습니다. 저전류 시험은 매우 낮은 C레이트(예: C/25, C/50)의 정전류로 배터리를 충방전하는 방법으로, 연속적이고 완전한 충방전 곡선을 얻을 수 있다는 장점이 있습니다 [22–24]. 그러나 측정 중 전류가 흐르고 있기 때문에 측정된 전압 값은 OCV의 근사치로만 간주됩니다. 증분 시험은 배터리를 고정된 용량(예: 5% SOC, 10% SOC)만큼 점진적으로 충방전하고, 긴 휴지 후 휴지 끝의 전압 값을 측정하며 이를 반복하는 방법입니다 [6,23,25,26]. Petzl과 Danzer는 이 두 가지 시험을 비교 분석하여, 증분 OCV 시험이 분극 효과의 영향을 크게 줄이고 측정 결과가 실제 OCV에 더 가깝다는 것을 확인하였습니다 [23]. 이와 동일한 결론이 문헌 [2]에서도 나타났는데, 증분 OCV 시험으로 얻은 OCV-SOC 곡선은 온라인 SOC 추정에서 더 높은 정확도와 신뢰성을 보여주었습니다.</w:t>
      </w:r>
    </w:p>
    <w:p>
      <w:pPr>
        <w:spacing w:before="40" w:after="80" w:line="360" w:lineRule="exact"/>
      </w:pPr>
      <w:r>
        <w:rPr>
          <w:rFonts w:eastAsia="맑은 고딕"/>
          <w:rFonts w:ascii="맑은 고딕" w:hAnsi="맑은 고딕"/>
          <w:b w:val="0"/>
          <w:i w:val="0"/>
          <w:sz w:val="21"/>
        </w:rPr>
        <w:t>그러나 LIB의 OCV 측정에는 두 가지 주요 문제점이 있습니다. 첫째, 배터리가 작동 중일 때 단자 전압은 분극 효과와 내부 저항의 영향을 받아 실제 OCV에서 벗어납니다. 따라서 OCV는 일반적으로 시간이 많이 소요되는 다음의 단계들을 거쳐 얻어집니다: (i) 배터리에 흐르는 전류를 차단하여 LIB가 장기간 개방 회로 상태로 진입하게 하고, (ii) 내부 반응이 평형에 도달하여 분극 전압이 소멸될 때까지 오랫동안 기다리는 것입니다. 둘째, OCV-SOC 관계는 SOH 및 주변 온도에 따라 변화합니다 [2,27]. 따라서 완전한 OCV-SOC 관계를 구축하는 것은 단순한 작업이 아닙니다. 이는 배터리가 장시간 개방 회로 상태에 있어야 할 뿐만 아니라, 여러 요인의 영향을 받기 때문입니다. 이러한 상황에서 OCV 측정 시간을 단축하는 것은 매우 중요한 과제가 됩니다.</w:t>
      </w:r>
    </w:p>
    <w:p>
      <w:pPr>
        <w:spacing w:before="40" w:after="80" w:line="360" w:lineRule="exact"/>
      </w:pPr>
      <w:r>
        <w:rPr>
          <w:rFonts w:eastAsia="맑은 고딕"/>
          <w:rFonts w:ascii="맑은 고딕" w:hAnsi="맑은 고딕"/>
          <w:b w:val="0"/>
          <w:i w:val="0"/>
          <w:sz w:val="21"/>
        </w:rPr>
        <w:t>현재 OCV 측정 시간을 줄이기 위한 여러 방법들이 제안되어 있습니다. 첫 번째 접근법은 모의 함수 [28,29] 또는 등가 회로 모델 [30–33]을 통해 분극 전압의 진화 과정을 모방하여 OCV 값을 예측하는 방법입니다. 예를 들어, Meng 등은 수학 함수를 이용하여 전압 곡선을 피팅하는 동시에, OCV 예측 정확도를 향상시키기 위해 다중 보정 방법을 적용합니다. 이 방법에서는 첫 번째 피팅 결과의 오차를 다음 피팅의 입력으로 사용합니다 [29]. Pei 등 [31]은 2차 RC 회로 모델을 사용하여 OCV를 평가하는데, 모델 매개변수는 20분간의 이완 전압 측정을 통해 식별될 수 있습니다. 이 연구에서 이완 시간 상수는 휴지 시간에 따라 선형적으로 변화함을 보였습니다. 그러나 이 분석은 복잡한 수학적 모델 때문에 실제 응용에 어려움이 있습니다. 마찬가지로, Zhou 등 [33]은 일정 전압원과 두 등가 임피던스(전하 이동 임피던스와 확산 임피던스)로 구성된 2차 가중치 등가 회로 모델을 채택하고, 두 반응으로 인한 전압 차이를 구분하기 위해 가중 계수를 도입합니다. 10분의 초기 전압 이완 곡선을 활용하여 PSO와 BAS 알고리즘의 조합으로 최적의 방법으로 OCV 값을 계산합니다. 그러나 이 방법도 복잡한 계산 과정이 필요합니다. 두 번째 접근법은 분극 효과를 능동적으로 제거하기 위해 전류를 인가하여 배터리 단자 전압의 수렴을 가속화함으로써 OCV에 더욱 가깝게 만드는 것입니다 [34,35]. 능동적 제거는 필요한 휴지 시간을 효과적으로 줄일 수 있지만, 입력 전류의 인가로 인해 SOC의 편차가 발생할 수 있습니다.</w:t>
      </w:r>
    </w:p>
    <w:p>
      <w:pPr>
        <w:spacing w:before="40" w:after="80" w:line="360" w:lineRule="exact"/>
      </w:pPr>
      <w:r>
        <w:rPr>
          <w:rFonts w:eastAsia="맑은 고딕"/>
          <w:rFonts w:ascii="맑은 고딕" w:hAnsi="맑은 고딕"/>
          <w:b w:val="0"/>
          <w:i w:val="0"/>
          <w:sz w:val="21"/>
        </w:rPr>
        <w:t>그 외에도, OCV 곡선은 빅데이터 기술을 통해 정전류 충전 곡선으로 합성곱 신경망(CNN)을 훈련시켜 재구성할 수 있습니다 [36]. 이 방법은 빠르게 OCV 곡선을 얻을 수 있지만, 네트워크 훈련에 방대한 양의 데이터가 필요합니다. Xiong 등 [37]의 연구에서는 전압-전류 정보를 기반으로 H 무한 필터를 통해 OCV-SOC 관계를 빠르게 추출하는 방법이 제안되었습니다. 이 추출 방법은 완전한 충방전 과정이 필요하며, 부분 충방전 데이터의 경우 OCV-SOC 곡선을 정확하게 얻는 방법은 여전히 해결해야 할 과제입니다.</w:t>
      </w:r>
    </w:p>
    <w:p>
      <w:pPr>
        <w:spacing w:before="40" w:after="80" w:line="360" w:lineRule="exact"/>
      </w:pPr>
      <w:r>
        <w:rPr>
          <w:rFonts w:eastAsia="맑은 고딕"/>
          <w:rFonts w:ascii="맑은 고딕" w:hAnsi="맑은 고딕"/>
          <w:b w:val="0"/>
          <w:i w:val="0"/>
          <w:sz w:val="21"/>
        </w:rPr>
        <w:t>OCV 값을 올바르게 예측하는 데 필요한 측정 시간을 단축하기 위해, 본 연구는 간단한 1차 등가 RC 회로 모델을 활용하여 측정 기간을 최소화하는 새로운 방법을 제안합니다. 이 방법은 모델 매개변수를 구하기 위한 복잡한 수학적 조작에 의존하지 않으며, 이완 전압의 완전한 피팅도 요구하지 않아 계산 복잡도가 낮습니다. 초기 이완 전압 분석에 따르면, 등가 회로 모델의 시간 상수는 전압의 1차 및 2차 시간 미분의 비율로 쉽게 계산될 수 있습니다. 본 논문의 구성은 다음과 같습니다: 제2절은 OCV를 얻기 위한 실험 세부 사항을 설명하며, 이는 이후 비교를 위한 기준으로 사용됩니다. 제3절은 이완 과정을 처리하는 새로운 방법을 제안하여, 단자 전압이 최종적으로 수렴하는 OCV를 짧은 시간 내에 수학적으로 예측합니다. 제4절은 다양한 주변 온도와 배터리 SOH에서 제안된 OCV 예측 방법의 신뢰성을 검증합니다. 제5절은 본 연구의 결론을 제시합니다.</w:t>
      </w:r>
    </w:p>
    <w:p>
      <w:pPr>
        <w:pBdr>
          <w:bottom w:val="single" w:sz="6" w:space="1" w:color="AAAAAA"/>
        </w:pBdr>
      </w:pPr>
    </w:p>
    <w:p>
      <w:pPr>
        <w:spacing w:before="280" w:after="120"/>
      </w:pPr>
      <w:r>
        <w:rPr>
          <w:rFonts w:eastAsia="맑은 고딕"/>
          <w:rFonts w:ascii="맑은 고딕" w:hAnsi="맑은 고딕"/>
          <w:b/>
          <w:i w:val="0"/>
          <w:color w:val="1F4E79"/>
          <w:sz w:val="28"/>
        </w:rPr>
        <w:t>2. 실험 (Experiment)</w:t>
      </w:r>
    </w:p>
    <w:p>
      <w:pPr>
        <w:spacing w:before="40" w:after="80" w:line="360" w:lineRule="exact"/>
      </w:pPr>
      <w:r>
        <w:rPr>
          <w:rFonts w:eastAsia="맑은 고딕"/>
          <w:rFonts w:ascii="맑은 고딕" w:hAnsi="맑은 고딕"/>
          <w:b w:val="0"/>
          <w:i w:val="0"/>
          <w:sz w:val="21"/>
        </w:rPr>
        <w:t>본 연구에서는 동일한 사양의 상용 NMC 리튬이온 배터리 3개(LG 18650 F1L)를 데이터셋 소스로 사용합니다. 실험 장치는 Bio-Logic BCS-815 충방전 사이클 시스템, 항온 챔버, 컴퓨터의 세 부분으로 구성됩니다. BCS-815는 매우 높은 측정 정확도(전압 기준 ±0.01% 이하, ±0.3 mV)와 고속 데이터 수집 기능(최대 500 Hz)을 제공합니다. 컴퓨터는 충방전 기기 제어 및 실험 데이터 기록을 담당합니다. 배터리는 각각 45°C, 25°C, 5°C의 온도로 설정된 항온 챔버에서 시험됩니다.</w:t>
      </w:r>
    </w:p>
    <w:p>
      <w:pPr>
        <w:spacing w:before="40" w:after="80" w:line="360" w:lineRule="exact"/>
      </w:pPr>
      <w:r>
        <w:rPr>
          <w:rFonts w:eastAsia="맑은 고딕"/>
          <w:rFonts w:ascii="맑은 고딕" w:hAnsi="맑은 고딕"/>
          <w:b w:val="0"/>
          <w:i w:val="0"/>
          <w:sz w:val="21"/>
        </w:rPr>
        <w:t>시험 전, 세 배터리를 미리 5회 충방전하여(배터리 활성화) 정상 작동 여부를 확인했습니다. 본 연구에서는 서로 다른 SOH를 가진 세 개의 LIB를 시험하므로, 먼저 열화 시험을 수행합니다. 열화 시험의 한 사이클에서는, 단일 LIB를 실온(25°C)에서 1C 정전류(CC)로 차단 전압 4.2 V까지 충전한 후, 동일하게 1C 정전류로 차단 전압 2.5 V까지 방전합니다. 두 배터리에 대해 열화를 진행하는데, 하나(셀 #2)는 100회 사이클, 나머지(셀 #3)는 160회 사이클을 수행합니다. 셀 #1은 열화 시험 없이 새 배터리 상태입니다.</w:t>
      </w:r>
    </w:p>
    <w:p>
      <w:pPr>
        <w:spacing w:before="40" w:after="80" w:line="360" w:lineRule="exact"/>
      </w:pPr>
      <w:r>
        <w:rPr>
          <w:rFonts w:eastAsia="맑은 고딕"/>
          <w:rFonts w:ascii="맑은 고딕" w:hAnsi="맑은 고딕"/>
          <w:b w:val="0"/>
          <w:i w:val="0"/>
          <w:sz w:val="21"/>
        </w:rPr>
        <w:t>열화 시험 완료 후, 전통적인 OCV 시험—저전류 OCV 시험 및 증분 OCV 시험—을 진행합니다. 얻어진 OCV는 이후 제안 방법으로 구한 결과와 비교하기 위한 실험적 기준으로 활용됩니다.</w:t>
      </w:r>
    </w:p>
    <w:p>
      <w:pPr>
        <w:spacing w:before="160" w:after="120"/>
      </w:pPr>
      <w:r>
        <w:rPr>
          <w:rFonts w:eastAsia="맑은 고딕"/>
          <w:rFonts w:ascii="맑은 고딕" w:hAnsi="맑은 고딕"/>
          <w:b/>
          <w:i w:val="0"/>
          <w:color w:val="2F5496"/>
          <w:sz w:val="24"/>
        </w:rPr>
        <w:t>2.1. 저전류 OCV 시험 (Low-current OCV Test)</w:t>
      </w:r>
    </w:p>
    <w:p>
      <w:pPr>
        <w:spacing w:before="40" w:after="80" w:line="360" w:lineRule="exact"/>
      </w:pPr>
      <w:r>
        <w:rPr>
          <w:rFonts w:eastAsia="맑은 고딕"/>
          <w:rFonts w:ascii="맑은 고딕" w:hAnsi="맑은 고딕"/>
          <w:b w:val="0"/>
          <w:i w:val="0"/>
          <w:sz w:val="21"/>
        </w:rPr>
        <w:t>이 시험에서는 배터리를 극히 낮은 전류로 충방전합니다. 매우 작은 전류는 분극 효과의 영향을 효과적으로 줄여, 측정된 단자 전압이 OCV에 가까워지도록 합니다.</w:t>
      </w:r>
    </w:p>
    <w:p>
      <w:pPr>
        <w:spacing w:before="40" w:after="80" w:line="360" w:lineRule="exact"/>
      </w:pPr>
      <w:r>
        <w:rPr>
          <w:rFonts w:eastAsia="맑은 고딕"/>
          <w:rFonts w:ascii="맑은 고딕" w:hAnsi="맑은 고딕"/>
          <w:b w:val="0"/>
          <w:i w:val="0"/>
          <w:sz w:val="21"/>
        </w:rPr>
        <w:t>시험 전, 배터리를 항온 챔버 25°C에서 0.25C 정전류로 차단 전압 4.2 V까지 충전한 후, 차단 전류가 50 mA 미만이 될 때까지 정전압 4.2 V로 충전합니다. 이후 3시간 휴지하고 저전류(LC) OCV 시험을 시작합니다. 시험은 서로 다른 SOH를 가진 세 배터리 및 세 가지 주변 온도에서 수행됩니다.</w:t>
      </w:r>
    </w:p>
    <w:p>
      <w:pPr>
        <w:spacing w:before="40" w:after="80" w:line="360" w:lineRule="exact"/>
      </w:pPr>
      <w:r>
        <w:rPr>
          <w:rFonts w:eastAsia="맑은 고딕"/>
          <w:rFonts w:ascii="맑은 고딕" w:hAnsi="맑은 고딕"/>
          <w:b/>
          <w:i w:val="0"/>
          <w:sz w:val="21"/>
        </w:rPr>
        <w:t>실험 절차는 다음과 같습니다:</w:t>
      </w:r>
    </w:p>
    <w:p>
      <w:pPr>
        <w:pStyle w:val="ListBullet"/>
        <w:spacing w:before="20" w:after="20"/>
        <w:ind w:left="283"/>
      </w:pPr>
      <w:r>
        <w:rPr>
          <w:rFonts w:eastAsia="맑은 고딕"/>
          <w:rFonts w:ascii="맑은 고딕" w:hAnsi="맑은 고딕"/>
          <w:b w:val="0"/>
          <w:i w:val="0"/>
          <w:sz w:val="21"/>
        </w:rPr>
        <w:t>항온 챔버를 목표 온도(45°C, 25°C, 5°C)로 조정한다.</w:t>
      </w:r>
    </w:p>
    <w:p>
      <w:pPr>
        <w:pStyle w:val="ListBullet"/>
        <w:spacing w:before="20" w:after="20"/>
        <w:ind w:left="283"/>
      </w:pPr>
      <w:r>
        <w:rPr>
          <w:rFonts w:eastAsia="맑은 고딕"/>
          <w:rFonts w:ascii="맑은 고딕" w:hAnsi="맑은 고딕"/>
          <w:b w:val="0"/>
          <w:i w:val="0"/>
          <w:sz w:val="21"/>
        </w:rPr>
        <w:t>0.02C 정전류로 차단 전압 2.5 V까지 방전한다.</w:t>
      </w:r>
    </w:p>
    <w:p>
      <w:pPr>
        <w:pStyle w:val="ListBullet"/>
        <w:spacing w:before="20" w:after="20"/>
        <w:ind w:left="283"/>
      </w:pPr>
      <w:r>
        <w:rPr>
          <w:rFonts w:eastAsia="맑은 고딕"/>
          <w:rFonts w:ascii="맑은 고딕" w:hAnsi="맑은 고딕"/>
          <w:b w:val="0"/>
          <w:i w:val="0"/>
          <w:sz w:val="21"/>
        </w:rPr>
        <w:t>3시간 휴지한다.</w:t>
      </w:r>
    </w:p>
    <w:p>
      <w:pPr>
        <w:pStyle w:val="ListBullet"/>
        <w:spacing w:before="20" w:after="20"/>
        <w:ind w:left="283"/>
      </w:pPr>
      <w:r>
        <w:rPr>
          <w:rFonts w:eastAsia="맑은 고딕"/>
          <w:rFonts w:ascii="맑은 고딕" w:hAnsi="맑은 고딕"/>
          <w:b w:val="0"/>
          <w:i w:val="0"/>
          <w:sz w:val="21"/>
        </w:rPr>
        <w:t>0.02C 정전류로 차단 전압 4.2 V까지 충전한다.</w:t>
      </w:r>
    </w:p>
    <w:p>
      <w:pPr>
        <w:spacing w:before="40" w:after="80" w:line="360" w:lineRule="exact"/>
      </w:pPr>
      <w:r>
        <w:rPr>
          <w:rFonts w:eastAsia="맑은 고딕"/>
          <w:rFonts w:ascii="맑은 고딕" w:hAnsi="맑은 고딕"/>
          <w:b w:val="0"/>
          <w:i w:val="0"/>
          <w:sz w:val="21"/>
        </w:rPr>
        <w:t>LC 시험은 OCV 곡선을 근사하는 것 외에도, 배터리의 최대 용량을 정밀하게 파악할 수 있습니다. 세 LIB의 세 가지 온도에서의 최대 용량 실험 결과를 표 1에 제시하였으며, SOH는 최대 충전 용량 대비 공칭 용량의 비율로 정의됩니다. 최대 용량을 기준으로 셀 용량을 수치적으로 20등분하면, 각 구간은 셀 용량의 5% SOC에 해당하는 용량이 됩니다.</w:t>
      </w:r>
    </w:p>
    <w:p>
      <w:pPr>
        <w:spacing w:before="160" w:after="60"/>
      </w:pPr>
      <w:r>
        <w:rPr>
          <w:rFonts w:eastAsia="맑은 고딕"/>
          <w:rFonts w:ascii="맑은 고딕" w:hAnsi="맑은 고딕"/>
          <w:b/>
          <w:i w:val="0"/>
          <w:sz w:val="20"/>
        </w:rPr>
        <w:t>표 1. 연구에 사용된 세 NMC LIB의 용량 및 SOH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셀 번호</w:t>
            </w:r>
          </w:p>
        </w:tc>
        <w:tc>
          <w:tcPr>
            <w:tcW w:type="dxa" w:w="1814"/>
          </w:tcPr>
          <w:p>
            <w:r>
              <w:rPr>
                <w:b/>
                <w:sz w:val="20"/>
              </w:rPr>
              <w:t>용량(mAh)</w:t>
              <w:br/>
              <w:t>45°C</w:t>
            </w:r>
          </w:p>
        </w:tc>
        <w:tc>
          <w:tcPr>
            <w:tcW w:type="dxa" w:w="1814"/>
          </w:tcPr>
          <w:p>
            <w:r>
              <w:rPr>
                <w:b/>
                <w:sz w:val="20"/>
              </w:rPr>
              <w:t>용량(mAh)</w:t>
              <w:br/>
              <w:t>25°C</w:t>
            </w:r>
          </w:p>
        </w:tc>
        <w:tc>
          <w:tcPr>
            <w:tcW w:type="dxa" w:w="1814"/>
          </w:tcPr>
          <w:p>
            <w:r>
              <w:rPr>
                <w:b/>
                <w:sz w:val="20"/>
              </w:rPr>
              <w:t>용량(mAh)</w:t>
              <w:br/>
              <w:t>5°C</w:t>
            </w:r>
          </w:p>
        </w:tc>
        <w:tc>
          <w:tcPr>
            <w:tcW w:type="dxa" w:w="1814"/>
          </w:tcPr>
          <w:p>
            <w:r>
              <w:rPr>
                <w:b/>
                <w:sz w:val="20"/>
              </w:rPr>
              <w:t>SOH (25°C)</w:t>
            </w:r>
          </w:p>
        </w:tc>
      </w:tr>
      <w:tr>
        <w:tc>
          <w:tcPr>
            <w:tcW w:type="dxa" w:w="1814"/>
          </w:tcPr>
          <w:p>
            <w:r>
              <w:rPr>
                <w:sz w:val="20"/>
              </w:rPr>
              <w:t>셀 #1</w:t>
            </w:r>
          </w:p>
        </w:tc>
        <w:tc>
          <w:tcPr>
            <w:tcW w:type="dxa" w:w="1814"/>
          </w:tcPr>
          <w:p>
            <w:r>
              <w:rPr>
                <w:sz w:val="20"/>
              </w:rPr>
              <w:t>3332.60</w:t>
            </w:r>
          </w:p>
        </w:tc>
        <w:tc>
          <w:tcPr>
            <w:tcW w:type="dxa" w:w="1814"/>
          </w:tcPr>
          <w:p>
            <w:r>
              <w:rPr>
                <w:sz w:val="20"/>
              </w:rPr>
              <w:t>3339.21</w:t>
            </w:r>
          </w:p>
        </w:tc>
        <w:tc>
          <w:tcPr>
            <w:tcW w:type="dxa" w:w="1814"/>
          </w:tcPr>
          <w:p>
            <w:r>
              <w:rPr>
                <w:sz w:val="20"/>
              </w:rPr>
              <w:t>3284.12</w:t>
            </w:r>
          </w:p>
        </w:tc>
        <w:tc>
          <w:tcPr>
            <w:tcW w:type="dxa" w:w="1814"/>
          </w:tcPr>
          <w:p>
            <w:r>
              <w:rPr>
                <w:sz w:val="20"/>
              </w:rPr>
              <w:t>99.6%</w:t>
            </w:r>
          </w:p>
        </w:tc>
      </w:tr>
      <w:tr>
        <w:tc>
          <w:tcPr>
            <w:tcW w:type="dxa" w:w="1814"/>
          </w:tcPr>
          <w:p>
            <w:r>
              <w:rPr>
                <w:sz w:val="20"/>
              </w:rPr>
              <w:t>셀 #2</w:t>
            </w:r>
          </w:p>
        </w:tc>
        <w:tc>
          <w:tcPr>
            <w:tcW w:type="dxa" w:w="1814"/>
          </w:tcPr>
          <w:p>
            <w:r>
              <w:rPr>
                <w:sz w:val="20"/>
              </w:rPr>
              <w:t>3111.25</w:t>
            </w:r>
          </w:p>
        </w:tc>
        <w:tc>
          <w:tcPr>
            <w:tcW w:type="dxa" w:w="1814"/>
          </w:tcPr>
          <w:p>
            <w:r>
              <w:rPr>
                <w:sz w:val="20"/>
              </w:rPr>
              <w:t>2998.85</w:t>
            </w:r>
          </w:p>
        </w:tc>
        <w:tc>
          <w:tcPr>
            <w:tcW w:type="dxa" w:w="1814"/>
          </w:tcPr>
          <w:p>
            <w:r>
              <w:rPr>
                <w:sz w:val="20"/>
              </w:rPr>
              <w:t>3094.34</w:t>
            </w:r>
          </w:p>
        </w:tc>
        <w:tc>
          <w:tcPr>
            <w:tcW w:type="dxa" w:w="1814"/>
          </w:tcPr>
          <w:p>
            <w:r>
              <w:rPr>
                <w:sz w:val="20"/>
              </w:rPr>
              <w:t>89.5%</w:t>
            </w:r>
          </w:p>
        </w:tc>
      </w:tr>
      <w:tr>
        <w:tc>
          <w:tcPr>
            <w:tcW w:type="dxa" w:w="1814"/>
          </w:tcPr>
          <w:p>
            <w:r>
              <w:rPr>
                <w:sz w:val="20"/>
              </w:rPr>
              <w:t>셀 #3</w:t>
            </w:r>
          </w:p>
        </w:tc>
        <w:tc>
          <w:tcPr>
            <w:tcW w:type="dxa" w:w="1814"/>
          </w:tcPr>
          <w:p>
            <w:r>
              <w:rPr>
                <w:sz w:val="20"/>
              </w:rPr>
              <w:t>2897.84</w:t>
            </w:r>
          </w:p>
        </w:tc>
        <w:tc>
          <w:tcPr>
            <w:tcW w:type="dxa" w:w="1814"/>
          </w:tcPr>
          <w:p>
            <w:r>
              <w:rPr>
                <w:sz w:val="20"/>
              </w:rPr>
              <w:t>2781.74</w:t>
            </w:r>
          </w:p>
        </w:tc>
        <w:tc>
          <w:tcPr>
            <w:tcW w:type="dxa" w:w="1814"/>
          </w:tcPr>
          <w:p>
            <w:r>
              <w:rPr>
                <w:sz w:val="20"/>
              </w:rPr>
              <w:t>2869.80</w:t>
            </w:r>
          </w:p>
        </w:tc>
        <w:tc>
          <w:tcPr>
            <w:tcW w:type="dxa" w:w="1814"/>
          </w:tcPr>
          <w:p>
            <w:r>
              <w:rPr>
                <w:sz w:val="20"/>
              </w:rPr>
              <w:t>83.0%</w:t>
            </w:r>
          </w:p>
        </w:tc>
      </w:tr>
    </w:tbl>
    <w:p/>
    <w:p>
      <w:pPr>
        <w:spacing w:before="160" w:after="120"/>
      </w:pPr>
      <w:r>
        <w:rPr>
          <w:rFonts w:eastAsia="맑은 고딕"/>
          <w:rFonts w:ascii="맑은 고딕" w:hAnsi="맑은 고딕"/>
          <w:b/>
          <w:i w:val="0"/>
          <w:color w:val="2F5496"/>
          <w:sz w:val="24"/>
        </w:rPr>
        <w:t>2.2. 증분 OCV 시험 (Incremental OCV Test)</w:t>
      </w:r>
    </w:p>
    <w:p>
      <w:pPr>
        <w:spacing w:before="40" w:after="80" w:line="360" w:lineRule="exact"/>
      </w:pPr>
      <w:r>
        <w:rPr>
          <w:rFonts w:eastAsia="맑은 고딕"/>
          <w:rFonts w:ascii="맑은 고딕" w:hAnsi="맑은 고딕"/>
          <w:b w:val="0"/>
          <w:i w:val="0"/>
          <w:sz w:val="21"/>
        </w:rPr>
        <w:t>이 시험은 배터리를 장시간 분리하여 평형 상태에 도달할 때까지 기다린 후 단자 전압을 측정합니다. 측정된 최종 전압은 OCV로 취급됩니다. 시험 전에 배터리를 SOC = 100%까지 충전하고 3시간 휴지합니다. 그 후 증분 OCV 시험을 시작하는데, 이 역시 서로 다른 SOH를 가진 세 배터리와 세 가지 온도에서 수행됩니다. 3시간 OCV는 더 긴 휴지(예: 24시간) 후의 OCV와 다르지만, 그 차이는 일반적으로 2 mV보다 작아 허용 범위 내에 있습니다 [32].</w:t>
      </w:r>
    </w:p>
    <w:p>
      <w:pPr>
        <w:spacing w:before="40" w:after="80" w:line="360" w:lineRule="exact"/>
      </w:pPr>
      <w:r>
        <w:rPr>
          <w:rFonts w:eastAsia="맑은 고딕"/>
          <w:rFonts w:ascii="맑은 고딕" w:hAnsi="맑은 고딕"/>
          <w:b/>
          <w:i w:val="0"/>
          <w:sz w:val="21"/>
        </w:rPr>
        <w:t>실험 절차는 다음과 같습니다:</w:t>
      </w:r>
    </w:p>
    <w:p>
      <w:pPr>
        <w:pStyle w:val="ListBullet"/>
        <w:spacing w:before="20" w:after="20"/>
        <w:ind w:left="283"/>
      </w:pPr>
      <w:r>
        <w:rPr>
          <w:rFonts w:eastAsia="맑은 고딕"/>
          <w:rFonts w:ascii="맑은 고딕" w:hAnsi="맑은 고딕"/>
          <w:b w:val="0"/>
          <w:i w:val="0"/>
          <w:sz w:val="21"/>
        </w:rPr>
        <w:t>항온 챔버를 목표 온도로 조정한다.</w:t>
      </w:r>
    </w:p>
    <w:p>
      <w:pPr>
        <w:pStyle w:val="ListBullet"/>
        <w:spacing w:before="20" w:after="20"/>
        <w:ind w:left="283"/>
      </w:pPr>
      <w:r>
        <w:rPr>
          <w:rFonts w:eastAsia="맑은 고딕"/>
          <w:rFonts w:ascii="맑은 고딕" w:hAnsi="맑은 고딕"/>
          <w:b w:val="0"/>
          <w:i w:val="0"/>
          <w:sz w:val="21"/>
        </w:rPr>
        <w:t>0.25C 정전류로 5% SOC에 해당하는 고정 용량만큼 방전한다.</w:t>
      </w:r>
    </w:p>
    <w:p>
      <w:pPr>
        <w:pStyle w:val="ListBullet"/>
        <w:spacing w:before="20" w:after="20"/>
        <w:ind w:left="283"/>
      </w:pPr>
      <w:r>
        <w:rPr>
          <w:rFonts w:eastAsia="맑은 고딕"/>
          <w:rFonts w:ascii="맑은 고딕" w:hAnsi="맑은 고딕"/>
          <w:b w:val="0"/>
          <w:i w:val="0"/>
          <w:sz w:val="21"/>
        </w:rPr>
        <w:t>배터리의 탈분극을 위해 3시간 휴지한다.</w:t>
      </w:r>
    </w:p>
    <w:p>
      <w:pPr>
        <w:pStyle w:val="ListBullet"/>
        <w:spacing w:before="20" w:after="20"/>
        <w:ind w:left="283"/>
      </w:pPr>
      <w:r>
        <w:rPr>
          <w:rFonts w:eastAsia="맑은 고딕"/>
          <w:rFonts w:ascii="맑은 고딕" w:hAnsi="맑은 고딕"/>
          <w:b w:val="0"/>
          <w:i w:val="0"/>
          <w:sz w:val="21"/>
        </w:rPr>
        <w:t>배터리가 SOC = 5%까지 방전될 때까지 단계 2–3을 반복한다.</w:t>
      </w:r>
    </w:p>
    <w:p>
      <w:pPr>
        <w:pStyle w:val="ListBullet"/>
        <w:spacing w:before="20" w:after="20"/>
        <w:ind w:left="283"/>
      </w:pPr>
      <w:r>
        <w:rPr>
          <w:rFonts w:eastAsia="맑은 고딕"/>
          <w:rFonts w:ascii="맑은 고딕" w:hAnsi="맑은 고딕"/>
          <w:b w:val="0"/>
          <w:i w:val="0"/>
          <w:sz w:val="21"/>
        </w:rPr>
        <w:t>0.25C 정전류로 5% SOC에 해당하는 충전 용량만큼 충전한다.</w:t>
      </w:r>
    </w:p>
    <w:p>
      <w:pPr>
        <w:pStyle w:val="ListBullet"/>
        <w:spacing w:before="20" w:after="20"/>
        <w:ind w:left="283"/>
      </w:pPr>
      <w:r>
        <w:rPr>
          <w:rFonts w:eastAsia="맑은 고딕"/>
          <w:rFonts w:ascii="맑은 고딕" w:hAnsi="맑은 고딕"/>
          <w:b w:val="0"/>
          <w:i w:val="0"/>
          <w:sz w:val="21"/>
        </w:rPr>
        <w:t>배터리의 탈분극을 위해 3시간 휴지한다.</w:t>
      </w:r>
    </w:p>
    <w:p>
      <w:pPr>
        <w:pStyle w:val="ListBullet"/>
        <w:spacing w:before="20" w:after="20"/>
        <w:ind w:left="283"/>
      </w:pPr>
      <w:r>
        <w:rPr>
          <w:rFonts w:eastAsia="맑은 고딕"/>
          <w:rFonts w:ascii="맑은 고딕" w:hAnsi="맑은 고딕"/>
          <w:b w:val="0"/>
          <w:i w:val="0"/>
          <w:sz w:val="21"/>
        </w:rPr>
        <w:t>배터리가 SOC = 95%까지 충전될 때까지 단계 5–6을 반복한다.</w:t>
      </w:r>
    </w:p>
    <w:p>
      <w:pPr>
        <w:spacing w:before="40" w:after="80" w:line="360" w:lineRule="exact"/>
      </w:pPr>
      <w:r>
        <w:rPr>
          <w:rFonts w:eastAsia="맑은 고딕"/>
          <w:rFonts w:ascii="맑은 고딕" w:hAnsi="맑은 고딕"/>
          <w:b w:val="0"/>
          <w:i w:val="0"/>
          <w:sz w:val="21"/>
        </w:rPr>
        <w:t>이하에서, 단계 2–3을 '방전 후 휴지(DTR, Discharge-to-Rest) 과정', 단계 5–6을 '충전 후 휴지(CTR, Charge-to-Rest) 과정'이라고 칭합니다.</w:t>
      </w:r>
    </w:p>
    <w:p>
      <w:pPr>
        <w:pBdr>
          <w:bottom w:val="single" w:sz="6" w:space="1" w:color="AAAAAA"/>
        </w:pBdr>
      </w:pPr>
    </w:p>
    <w:p>
      <w:pPr>
        <w:spacing w:before="280" w:after="120"/>
      </w:pPr>
      <w:r>
        <w:rPr>
          <w:rFonts w:eastAsia="맑은 고딕"/>
          <w:rFonts w:ascii="맑은 고딕" w:hAnsi="맑은 고딕"/>
          <w:b/>
          <w:i w:val="0"/>
          <w:color w:val="1F4E79"/>
          <w:sz w:val="28"/>
        </w:rPr>
        <w:t>3. 방법론 (Methodology)</w:t>
      </w:r>
    </w:p>
    <w:p>
      <w:pPr>
        <w:spacing w:before="40" w:after="80" w:line="360" w:lineRule="exact"/>
      </w:pPr>
      <w:r>
        <w:rPr>
          <w:rFonts w:eastAsia="맑은 고딕"/>
          <w:rFonts w:ascii="맑은 고딕" w:hAnsi="맑은 고딕"/>
          <w:b w:val="0"/>
          <w:i w:val="0"/>
          <w:sz w:val="21"/>
        </w:rPr>
        <w:t>기존 연구에서 특정 SOC에서의 OCV 값은 배터리가 휴지 상태에 들어간 후 이완 전압의 진화를 곡선 피팅하는 방식으로 수치적으로 예측되었습니다. 이 피팅 과정에는 복잡한 수학적 계산과 많은 미지 매개변수가 필요합니다. 그러나 최종 목표는 정확한 이완 과정이 아니라 OCV 값 그 자체임을 강조해야 합니다. 따라서 본 연구에서는 완전한 이완 과정의 곡선 피팅이 필요 없는 새로운 사고방식을 제안합니다. 제안된 방법은 이완 전압 곡선의 초기 부분만 필요로 하며, 이를 통해 1차 RC 모델에서 도출된 가상 곡선을 수학적으로 생성합니다. 이 가상 곡선은 실제 곡선과 다르더라도, 궁극적으로 LIB의 실제 OCV로 수렴하도록 설계됩니다.</w:t>
      </w:r>
    </w:p>
    <w:p>
      <w:pPr>
        <w:spacing w:before="160" w:after="120"/>
      </w:pPr>
      <w:r>
        <w:rPr>
          <w:rFonts w:eastAsia="맑은 고딕"/>
          <w:rFonts w:ascii="맑은 고딕" w:hAnsi="맑은 고딕"/>
          <w:b/>
          <w:i w:val="0"/>
          <w:color w:val="2F5496"/>
          <w:sz w:val="24"/>
        </w:rPr>
        <w:t>3.1. OCV 예측 (OCV Prediction)</w:t>
      </w:r>
    </w:p>
    <w:p>
      <w:pPr>
        <w:spacing w:before="40" w:after="80" w:line="360" w:lineRule="exact"/>
      </w:pPr>
      <w:r>
        <w:rPr>
          <w:rFonts w:eastAsia="맑은 고딕"/>
          <w:rFonts w:ascii="맑은 고딕" w:hAnsi="맑은 고딕"/>
          <w:b w:val="0"/>
          <w:i w:val="0"/>
          <w:sz w:val="21"/>
        </w:rPr>
        <w:t>본 연구에서는 낮은 계산 복잡도와 우수한 추정 정확도 및 안정성 [38]으로 인해 선택된 간단한 1차 등가 회로 모델을 통해 OCV 값을 계산합니다. 그림 1(a)에 나타낸 바와 같이, 배터리 모델은 일정 전압원(즉, OCV), 옴 임피던스 R₀, 저항 Rₚ와 커패시턴스 Cₚ로 구성된 RC 회로로 이루어져 있으며, 여기서 RC 회로는 LIB의 분극 특성을 모사합니다. 따라서 배터리가 작동 중일 때, 배터리 단자 전압 Vbat와 분극 전압 Vₚ는 다음과 같이 표현됩니다:</w:t>
      </w:r>
    </w:p>
    <w:p>
      <w:pPr>
        <w:spacing w:before="80" w:after="80"/>
        <w:ind w:left="1134"/>
      </w:pPr>
      <w:r>
        <w:rPr>
          <w:rFonts w:eastAsia="Cambria Math"/>
          <w:rFonts w:ascii="Cambria Math" w:hAnsi="Cambria Math"/>
          <w:b w:val="0"/>
          <w:i/>
          <w:sz w:val="21"/>
        </w:rPr>
        <w:t>Vbat(t) = OCV + I·R₀ + Vₚ(t)  … (1)</w:t>
      </w:r>
    </w:p>
    <w:p>
      <w:pPr>
        <w:spacing w:before="80" w:after="80"/>
        <w:ind w:left="1134"/>
      </w:pPr>
      <w:r>
        <w:rPr>
          <w:rFonts w:eastAsia="Cambria Math"/>
          <w:rFonts w:ascii="Cambria Math" w:hAnsi="Cambria Math"/>
          <w:b w:val="0"/>
          <w:i/>
          <w:sz w:val="21"/>
        </w:rPr>
        <w:t>dVₚ/dt = I/Cₚ − Vₚ/(Rₚ·Cₚ)  … (2)</w:t>
      </w:r>
    </w:p>
    <w:p>
      <w:pPr>
        <w:spacing w:before="40" w:after="80" w:line="360" w:lineRule="exact"/>
      </w:pPr>
      <w:r>
        <w:rPr>
          <w:rFonts w:eastAsia="맑은 고딕"/>
          <w:rFonts w:ascii="맑은 고딕" w:hAnsi="맑은 고딕"/>
          <w:b w:val="0"/>
          <w:i w:val="0"/>
          <w:sz w:val="21"/>
        </w:rPr>
        <w:t>여기서 I는 부하 전류(충전 시 양수, 방전 시 음수)입니다. 배터리 전류가 0일 때, 식 (2)의 분극 전압은 다음과 같이 됩니다:</w:t>
      </w:r>
    </w:p>
    <w:p>
      <w:pPr>
        <w:spacing w:before="80" w:after="80"/>
        <w:ind w:left="1134"/>
      </w:pPr>
      <w:r>
        <w:rPr>
          <w:rFonts w:eastAsia="Cambria Math"/>
          <w:rFonts w:ascii="Cambria Math" w:hAnsi="Cambria Math"/>
          <w:b w:val="0"/>
          <w:i/>
          <w:sz w:val="21"/>
        </w:rPr>
        <w:t>Vₚ(t) = Vₚ(0) · exp(−t/τ)  … (3)</w:t>
      </w:r>
    </w:p>
    <w:p>
      <w:pPr>
        <w:spacing w:before="40" w:after="80" w:line="360" w:lineRule="exact"/>
      </w:pPr>
      <w:r>
        <w:rPr>
          <w:rFonts w:eastAsia="맑은 고딕"/>
          <w:rFonts w:ascii="맑은 고딕" w:hAnsi="맑은 고딕"/>
          <w:b w:val="0"/>
          <w:i w:val="0"/>
          <w:sz w:val="21"/>
        </w:rPr>
        <w:t>여기서 시간 t는 LIB가 개방 회로 상태에 들어간 후 경과 시간, Vₚ(0)는 초기 분극 전압, τ = Rₚ·Cₚ는 RC 회로의 시간 상수를 나타냅니다. 식 (1)과 (3)을 고려하면 다음을 얻습니다:</w:t>
      </w:r>
    </w:p>
    <w:p>
      <w:pPr>
        <w:spacing w:before="80" w:after="80"/>
        <w:ind w:left="1134"/>
      </w:pPr>
      <w:r>
        <w:rPr>
          <w:rFonts w:eastAsia="Cambria Math"/>
          <w:rFonts w:ascii="Cambria Math" w:hAnsi="Cambria Math"/>
          <w:b w:val="0"/>
          <w:i/>
          <w:sz w:val="21"/>
        </w:rPr>
        <w:t>Vbat(t) − OCV = (Vbat(0) − OCV) · e^(−t/τ)  … (4)</w:t>
      </w:r>
    </w:p>
    <w:p>
      <w:pPr>
        <w:spacing w:before="40" w:after="80" w:line="360" w:lineRule="exact"/>
      </w:pPr>
      <w:r>
        <w:rPr>
          <w:rFonts w:eastAsia="맑은 고딕"/>
          <w:rFonts w:ascii="맑은 고딕" w:hAnsi="맑은 고딕"/>
          <w:b w:val="0"/>
          <w:i w:val="0"/>
          <w:sz w:val="21"/>
        </w:rPr>
        <w:t>여기서 Vbat(0)는 초기 배터리 단자 전압입니다. 간단한 조작을 통해 식 (4)를 다시 쓰면:</w:t>
      </w:r>
    </w:p>
    <w:p>
      <w:pPr>
        <w:spacing w:before="80" w:after="80"/>
        <w:ind w:left="1134"/>
      </w:pPr>
      <w:r>
        <w:rPr>
          <w:rFonts w:eastAsia="Cambria Math"/>
          <w:rFonts w:ascii="Cambria Math" w:hAnsi="Cambria Math"/>
          <w:b w:val="0"/>
          <w:i/>
          <w:sz w:val="21"/>
        </w:rPr>
        <w:t>ΔV₀(t) = Vbat(0) − Vbat(t) = (Vbat(0) − OCV) · (1 − e^(−t/τ))  … (5)</w:t>
      </w:r>
    </w:p>
    <w:p>
      <w:pPr>
        <w:spacing w:before="40" w:after="80" w:line="360" w:lineRule="exact"/>
      </w:pPr>
      <w:r>
        <w:rPr>
          <w:rFonts w:eastAsia="맑은 고딕"/>
          <w:rFonts w:ascii="맑은 고딕" w:hAnsi="맑은 고딕"/>
          <w:b w:val="0"/>
          <w:i w:val="0"/>
          <w:sz w:val="21"/>
        </w:rPr>
        <w:t>위의 분석은 1차 등가 회로 모델에 기반하며, 분극 전압의 시간 진화는 이상적으로 간단한 RC 회로로 특성화됩니다. 실제 상황에서 LIB에 인가된 전류를 중단하면, 단자 전압의 이완 과정은 식 (3)에서 설명된 전압 강하와 유사한 감쇠 특성을 나타냅니다. 따라서 본 연구에서는 모델 기반 식 (5)를 이용하여 실제 OCV 값을 추정할 수 있다고 가정합니다. (실제 이완 과정과 모델 이완 과정이 다르더라도 마찬가지입니다.) 이 가정 하에서, OCV는 식 (5)로부터 결정되며, 이 식은 이른바 '가상 전압 이완 곡선'을 나타냅니다. 식에서 단자 전압 Vbat(t)와 이완 시간 상수 τ는 실제 전압 이완의 측정으로부터 직접 얻을 수 있는 양으로 설계됩니다.</w:t>
      </w:r>
    </w:p>
    <w:p>
      <w:pPr>
        <w:spacing w:before="40" w:after="80" w:line="360" w:lineRule="exact"/>
      </w:pPr>
      <w:r>
        <w:rPr>
          <w:rFonts w:eastAsia="맑은 고딕"/>
          <w:rFonts w:ascii="맑은 고딕" w:hAnsi="맑은 고딕"/>
          <w:b w:val="0"/>
          <w:i w:val="0"/>
          <w:sz w:val="21"/>
        </w:rPr>
        <w:t>식 (5)를 자세히 살펴보면, (i) ΔV₀(t)와 Vbat(0)는 측정 가능한 양으로, ΔV₀(t)의 값은 특정 시점 t = tc의 선택, 즉 ΔV₀(tc)에 따라 달라지며, (ii) OCV 값이 결정해야 할 주요 대상이고, (iii) τ는 여전히 미지의 양입니다. 이제 남은 것은 tc와 τ를 어떻게 결정하느냐인데, 이는 OCV 값의 평가를 가능하게 하는 데 핵심적입니다. 이를 위해, RC 회로 모델을 참조하여 식 (2)를 시간에 대해 미분하면 τ 값은 다음과 같이 됩니다:</w:t>
      </w:r>
    </w:p>
    <w:p>
      <w:pPr>
        <w:spacing w:before="80" w:after="80"/>
        <w:ind w:left="1134"/>
      </w:pPr>
      <w:r>
        <w:rPr>
          <w:rFonts w:eastAsia="Cambria Math"/>
          <w:rFonts w:ascii="Cambria Math" w:hAnsi="Cambria Math"/>
          <w:b w:val="0"/>
          <w:i/>
          <w:sz w:val="21"/>
        </w:rPr>
        <w:t>τ = −(dVbat/dt) / (d²Vbat/dt²) |_{t=tc}  … (6)</w:t>
      </w:r>
    </w:p>
    <w:p>
      <w:pPr>
        <w:spacing w:before="40" w:after="80" w:line="360" w:lineRule="exact"/>
      </w:pPr>
      <w:r>
        <w:rPr>
          <w:rFonts w:eastAsia="맑은 고딕"/>
          <w:rFonts w:ascii="맑은 고딕" w:hAnsi="맑은 고딕"/>
          <w:b w:val="0"/>
          <w:i w:val="0"/>
          <w:sz w:val="21"/>
        </w:rPr>
        <w:t>두 번째 등식은 식 (1)로부터 도출됩니다. dVbat/dt와 d²Vbat/dt²가 모두 측정 가능하므로, (dVₚ/dt)/(d²Vₚ/dt²)는 (dVbat/dt)/(d²Vbat/dt²)로 대체됩니다. 또한 dVbat/dt와 d²Vbat/dt²의 값은 실제 전압 이완 곡선 Vbat(t)에서 동일한 시점 t = tc에서 계산됩니다. 따라서 이 모델은 크게 단순화됩니다. 위의 분석으로부터, tc가 지정되면 곧바로 τ 값을 계산할 수 있음을 알 수 있습니다.</w:t>
      </w:r>
    </w:p>
    <w:p>
      <w:pPr>
        <w:spacing w:before="40" w:after="80" w:line="360" w:lineRule="exact"/>
      </w:pPr>
      <w:r>
        <w:rPr>
          <w:rFonts w:eastAsia="맑은 고딕"/>
          <w:rFonts w:ascii="맑은 고딕" w:hAnsi="맑은 고딕"/>
          <w:b w:val="0"/>
          <w:i w:val="0"/>
          <w:sz w:val="21"/>
        </w:rPr>
        <w:t>Vbat(t)는 실험 장치가 매 초마다 기록한 전압 데이터입니다. 즉, ...Vbat(t−1), Vbat(t), Vbat(t+1)... 의 계열이 기록됩니다. 이산적 특성으로 인해, dVbat/dt와 d²Vbat/dt²는 다음 두 가지 절차로 계산됩니다. 먼저, tc를 중심점으로 설정하고 각각 n초 앞뒤의 전압 데이터를 가져옵니다. 다음으로, 최소 제곱법을 이용하여 이 전압 데이터 포인트들에 1차 및 2차 선형 피팅을 수행하여 (dVbat/dt)tc와 (d²Vbat/dt²)tc를 구합니다. n 값으로는 OCV 예측 오차를 더 작게 하는 것으로 확인된 n = 90초를 선택합니다.</w:t>
      </w:r>
    </w:p>
    <w:p>
      <w:pPr>
        <w:spacing w:before="160" w:after="120"/>
      </w:pPr>
      <w:r>
        <w:rPr>
          <w:rFonts w:eastAsia="맑은 고딕"/>
          <w:rFonts w:ascii="맑은 고딕" w:hAnsi="맑은 고딕"/>
          <w:b/>
          <w:i w:val="0"/>
          <w:color w:val="2F5496"/>
          <w:sz w:val="24"/>
        </w:rPr>
        <w:t>3.2. 임계 시점 tc 결정 기준 (Criterion of Determining the Critical Time Instant tc)</w:t>
      </w:r>
    </w:p>
    <w:p>
      <w:pPr>
        <w:spacing w:before="40" w:after="80" w:line="360" w:lineRule="exact"/>
      </w:pPr>
      <w:r>
        <w:rPr>
          <w:rFonts w:eastAsia="맑은 고딕"/>
          <w:rFonts w:ascii="맑은 고딕" w:hAnsi="맑은 고딕"/>
          <w:b w:val="0"/>
          <w:i w:val="0"/>
          <w:sz w:val="21"/>
        </w:rPr>
        <w:t>임계 시점 tc는 두 가지 시간 미분과 시간 상수 τ를 결정할 수 있는 시점을 나타낼 뿐만 아니라, 가상 전압 이완 곡선과 OCV 값을 얻는 데 필요한 최단 시점을 의미합니다. 즉, 긴 이완 기간 대신, 특정 SOC에서 OCV 값을 생성하기 위해 단지 (tc + 90)초만이 필요합니다.</w:t>
      </w:r>
    </w:p>
    <w:p>
      <w:pPr>
        <w:spacing w:before="40" w:after="80" w:line="360" w:lineRule="exact"/>
      </w:pPr>
      <w:r>
        <w:rPr>
          <w:rFonts w:eastAsia="맑은 고딕"/>
          <w:rFonts w:ascii="맑은 고딕" w:hAnsi="맑은 고딕"/>
          <w:b w:val="0"/>
          <w:i w:val="0"/>
          <w:sz w:val="21"/>
        </w:rPr>
        <w:t>tc를 결정하는 기준을 설정하기 전에, 식 (5)로부터 얻은 모델(가상) 전압 이완 곡선과 실험(실제) 곡선에 대해 더 자세히 살펴봅니다. 그림 1(b)의 파란색 곡선은 SOC = 85%로 충전된 LIB의 전류를 차단한 후 25°C 실험에서 단자 전압의 변화를 나타냅니다. 식 (4)의 모델 곡선은 그림 1(b)에서 빨간색 곡선으로 표시됩니다. 이 빨간색 곡선은 다음 단계를 통해 생성됩니다: (i) 파란색 곡선이 변화함에 따라 임의의 점 tc를 선택하고, (ii) ΔV₀ = Vbat(0) − Vbat(tc) 값을 계산하며, (iii) 식 (6)에서 τ 값을 계산하고, (iv) 식 (5)로부터 빨간색 곡선을 구성합니다. 그림 1(b)는 두 곡선이 시간 0과 시간 tc에서 교차하는 두 교점이 있음을 나타냅니다. 빨간색 곡선은 결국 모델 OCV 값으로 수렴하며, 이 값이 실제 OCV 값에 근사할 것으로 예상됩니다.</w:t>
      </w:r>
    </w:p>
    <w:p>
      <w:pPr>
        <w:spacing w:before="40" w:after="80" w:line="360" w:lineRule="exact"/>
      </w:pPr>
      <w:r>
        <w:rPr>
          <w:rFonts w:eastAsia="맑은 고딕"/>
          <w:rFonts w:ascii="맑은 고딕" w:hAnsi="맑은 고딕"/>
          <w:b w:val="0"/>
          <w:i w:val="0"/>
          <w:sz w:val="21"/>
        </w:rPr>
        <w:t>tc 선택이 추정 오차(예측 OCV와 측정 OCV의 차이)를 결정하므로, 오차가 낮은 영역 내의 점을 선택합니다. 실험 관찰에 따르면 tc = 100초부터 오차가 감소하기 시작하고, 270~410초 범위에서 예측 OCV와 측정 OCV 사이에 우수한 일치를 보입니다 (그림 1(c)). 또한 그림 1(c)에는 상하 경계가 ±2.5 mV로 설정된 저오차 영역 R이 있으며, 이는 예측 OCV가 실제 OCV에 매우 가까울 수 있는 가장 바람직한 범위입니다. 그림 1(d)에서는 τ 값이 일정하지 않고 선택된 시점 tc에 따라 달라짐을 알 수 있습니다. 그럼에도 불구하고, 더 낮은 tc 값을 선택하면 더 짧은 시간에 OCV를 얻을 수 있습니다.</w:t>
      </w:r>
    </w:p>
    <w:p>
      <w:pPr>
        <w:spacing w:before="40" w:after="80" w:line="360" w:lineRule="exact"/>
      </w:pPr>
      <w:r>
        <w:rPr>
          <w:rFonts w:eastAsia="맑은 고딕"/>
          <w:rFonts w:ascii="맑은 고딕" w:hAnsi="맑은 고딕"/>
          <w:b w:val="0"/>
          <w:i w:val="0"/>
          <w:sz w:val="21"/>
        </w:rPr>
        <w:t>OCV 절대 추정 오차를 2.5 mV 미만으로 유지하면서 적절한 tc 값을 결정하는 전략은 다음과 같습니다. 먼저, 초당 전압 변화량 ΔV(= V(t+1) − V(t))를 계산합니다. ΔV는 기기의 측정 노이즈의 영향을 받을 수 있으므로, 과거 60초 동안의 ΔV의 절대 평균값, 즉 |avg.ΔV|를 판단 기준으로 채택합니다. 다음으로, 시점 기록의 기준으로 C1, C2, C3의 세 가지 조건을 사용합니다. 각각 |avg.ΔV| &lt; 0.05 mV, |avg.ΔV| &lt; 0.04 mV, |avg.ΔV| &lt; 0.03 mV입니다. V(t)가 감소함에 따라 C1, C2, C3가 충족되는 순간에 시점이 기록되며, 각각 ▴, ◆, ● 기호로 표시됩니다. 그림 1(c)에 나타낸 SOC = 85% 경우에서, 세 기준에 해당하는 세 시점 tc는 각각 205초, 234초, 284초입니다. C3는 절대 OCV 오차를 영역 R 내, 거의 0에 가깝게 만들어 적절한 기준이 될 수 있음을 알 수 있습니다.</w:t>
      </w:r>
    </w:p>
    <w:p>
      <w:pPr>
        <w:spacing w:before="40" w:after="80" w:line="360" w:lineRule="exact"/>
      </w:pPr>
      <w:r>
        <w:rPr>
          <w:rFonts w:eastAsia="맑은 고딕"/>
          <w:rFonts w:ascii="맑은 고딕" w:hAnsi="맑은 고딕"/>
          <w:b w:val="0"/>
          <w:i w:val="0"/>
          <w:sz w:val="21"/>
        </w:rPr>
        <w:t>비교를 위해 더 엄격한 기준인 |avg.ΔV| &lt; 0.02 mV, C4도 도입하며, C4가 발생하는 순간은 ★ 기호로 표시됩니다.</w:t>
      </w:r>
    </w:p>
    <w:p>
      <w:pPr>
        <w:spacing w:before="40" w:after="80" w:line="360" w:lineRule="exact"/>
      </w:pPr>
      <w:r>
        <w:rPr>
          <w:rFonts w:eastAsia="맑은 고딕"/>
          <w:rFonts w:ascii="맑은 고딕" w:hAnsi="맑은 고딕"/>
          <w:b w:val="0"/>
          <w:i w:val="0"/>
          <w:sz w:val="21"/>
        </w:rPr>
        <w:t>C3를 채택하는 것이 서로 다른 SOC에서 이 기준에 해당하는 임계 시점이 영역 R 내에 충분히 들어오는지 확인하기 위해, 셀 #1의 다양한 SOC를 시험합니다. 그림 2에서 DTR 및 CTR 과정 모두에서 C3(●)와 C4(★)가 작은 오차를 만들어 낼 수 있음을 확인합니다. 그러나 C3는 OCV 평가를 완료하는 데 더 짧은 시간이 필요합니다. 위의 시험 결과를 바탕으로, 이후 분석에서는 C3를 기준으로 선택합니다. 또한 그림 2에서 C3가 120~290초 사이에 발생하며, 평균은 210초임을 알 수 있습니다. 이는 (dVbat/dt)tc와 (d²Vbat/dt²)tc 계산을 위한 90초를 고려하면, OCV 예측이 약 6분 내에 완료될 수 있음을 의미합니다.</w:t>
      </w:r>
    </w:p>
    <w:p>
      <w:pPr>
        <w:spacing w:before="40" w:after="80" w:line="360" w:lineRule="exact"/>
      </w:pPr>
      <w:r>
        <w:rPr>
          <w:rFonts w:eastAsia="맑은 고딕"/>
          <w:rFonts w:ascii="맑은 고딕" w:hAnsi="맑은 고딕"/>
          <w:b w:val="0"/>
          <w:i w:val="0"/>
          <w:sz w:val="21"/>
        </w:rPr>
        <w:t>그림 3은 위 절차를 요약한 순서도입니다. 데이터 기록의 첫 번째 부분에서는 LIB가 개방 회로 상태에 들어갈 때 단자 전압의 변화를 측정하고, 초당 전압 변화량 ΔV를 계산합니다. 두 번째 부분은 계산 방법을 다룹니다. 기준 C3이 충족되면 특정 시점 tc를 식별하고, 이 시점에서 식 (6)을 통해 실험 이완 곡선 위의 시간 상수 τ를 계산합니다. 이후 식 (5)를 통해 OCV를 얻습니다.</w:t>
      </w:r>
    </w:p>
    <w:p>
      <w:pPr>
        <w:pBdr>
          <w:bottom w:val="single" w:sz="6" w:space="1" w:color="AAAAAA"/>
        </w:pBdr>
      </w:pPr>
    </w:p>
    <w:p>
      <w:pPr>
        <w:spacing w:before="280" w:after="120"/>
      </w:pPr>
      <w:r>
        <w:rPr>
          <w:rFonts w:eastAsia="맑은 고딕"/>
          <w:rFonts w:ascii="맑은 고딕" w:hAnsi="맑은 고딕"/>
          <w:b/>
          <w:i w:val="0"/>
          <w:color w:val="1F4E79"/>
          <w:sz w:val="28"/>
        </w:rPr>
        <w:t>4. 결과 및 논의 (Results and Discussion)</w:t>
      </w:r>
    </w:p>
    <w:p>
      <w:pPr>
        <w:spacing w:before="40" w:after="80" w:line="360" w:lineRule="exact"/>
      </w:pPr>
      <w:r>
        <w:rPr>
          <w:rFonts w:eastAsia="맑은 고딕"/>
          <w:rFonts w:ascii="맑은 고딕" w:hAnsi="맑은 고딕"/>
          <w:b w:val="0"/>
          <w:i w:val="0"/>
          <w:sz w:val="21"/>
        </w:rPr>
        <w:t>앞서의 논의에서 OCV를 빠르고 편리하게 예측하는 방법을 제안했습니다. 여기서는 다양한 배터리 상태(SOC 및 SOH)와 주변 온도에서 이 방법의 정확도와 일반성을 면밀하게 논의합니다.</w:t>
      </w:r>
    </w:p>
    <w:p>
      <w:pPr>
        <w:spacing w:before="160" w:after="120"/>
      </w:pPr>
      <w:r>
        <w:rPr>
          <w:rFonts w:eastAsia="맑은 고딕"/>
          <w:rFonts w:ascii="맑은 고딕" w:hAnsi="맑은 고딕"/>
          <w:b/>
          <w:i w:val="0"/>
          <w:color w:val="2F5496"/>
          <w:sz w:val="24"/>
        </w:rPr>
        <w:t>4.1. 검증 및 수정 (Verification and Modification)</w:t>
      </w:r>
    </w:p>
    <w:p>
      <w:pPr>
        <w:spacing w:before="40" w:after="80" w:line="360" w:lineRule="exact"/>
      </w:pPr>
      <w:r>
        <w:rPr>
          <w:rFonts w:eastAsia="맑은 고딕"/>
          <w:rFonts w:ascii="맑은 고딕" w:hAnsi="맑은 고딕"/>
          <w:b w:val="0"/>
          <w:i w:val="0"/>
          <w:sz w:val="21"/>
        </w:rPr>
        <w:t>제안된 방법의 정확도를 평가하기 위해, 먼저 셀 #1의 전체 SOC 범위를 CTR 과정을 통해 시험하고 모델 OCV를 추정합니다. 세 가지 주변 온도에서 다양한 SOC에 대한 추정 OCV와 실험 OCV의 편차는 그림 4(a)에 나타나 있습니다. 보이는 바와 같이, 45°C에서의 성능이 다른 두 온도보다 우수합니다. 한편, 5°C 저온에서 SOC = 50% 및 55%, 25°C에서 SOC = 55%에서 큰 오차가 관찰됩니다. SOC = 50%~70% 범위에서의 이 큰 오차는 이 범위에서 배터리의 직류(DC) 임피던스 변화와 연관될 수 있습니다. 이하에서 이러한 편차의 가능한 원인을 검토하고, 더 엄격한 조건으로 수정합니다.</w:t>
      </w:r>
    </w:p>
    <w:p>
      <w:pPr>
        <w:spacing w:before="40" w:after="80" w:line="360" w:lineRule="exact"/>
      </w:pPr>
      <w:r>
        <w:rPr>
          <w:rFonts w:eastAsia="맑은 고딕"/>
          <w:rFonts w:ascii="맑은 고딕" w:hAnsi="맑은 고딕"/>
          <w:b w:val="0"/>
          <w:i w:val="0"/>
          <w:sz w:val="21"/>
        </w:rPr>
        <w:t>C1, C2, C3가 각각 충족되기 시작하는 시점을 t1, t2, t3라 하겠습니다. ta = t1 − t2, tb = t2 − t3를 정의하면, 두 값 모두 이완 과정에서 실험적으로 측정할 수 있습니다. 그림 4(b)와 4(c)는 (i) ta와 tb가 SOC에 따라 변하며, (ii) 5°C와 25°C의 경우 SOC가 약 50% 부근에서 ta와 tb가 높은 절대 값을 나타냄을 보여줍니다. 이 높은 값들은 그림 4(a)에서 큰 오차가 발생하는 SOC 위치와 거의 일치합니다. 이제 이상적인 RC 회로 모델을 통해 위 경향을 설명하고자 합니다.</w:t>
      </w:r>
    </w:p>
    <w:p>
      <w:pPr>
        <w:spacing w:before="40" w:after="80" w:line="360" w:lineRule="exact"/>
      </w:pPr>
      <w:r>
        <w:rPr>
          <w:rFonts w:eastAsia="맑은 고딕"/>
          <w:rFonts w:ascii="맑은 고딕" w:hAnsi="맑은 고딕"/>
          <w:b w:val="0"/>
          <w:i w:val="0"/>
          <w:sz w:val="21"/>
        </w:rPr>
        <w:t>식 (4)로부터 다음을 도출할 수 있습니다:</w:t>
      </w:r>
    </w:p>
    <w:p>
      <w:pPr>
        <w:spacing w:before="80" w:after="80"/>
        <w:ind w:left="1134"/>
      </w:pPr>
      <w:r>
        <w:rPr>
          <w:rFonts w:eastAsia="Cambria Math"/>
          <w:rFonts w:ascii="Cambria Math" w:hAnsi="Cambria Math"/>
          <w:b w:val="0"/>
          <w:i/>
          <w:sz w:val="21"/>
        </w:rPr>
        <w:t>ln[(Vbat(tj) − OCV) / (Vbat(ti) − OCV)] = (ti − tj)/τ  … (7)  (i, j = 1, 2, 3)</w:t>
      </w:r>
    </w:p>
    <w:p>
      <w:pPr>
        <w:spacing w:before="40" w:after="80" w:line="360" w:lineRule="exact"/>
      </w:pPr>
      <w:r>
        <w:rPr>
          <w:rFonts w:eastAsia="맑은 고딕"/>
          <w:rFonts w:ascii="맑은 고딕" w:hAnsi="맑은 고딕"/>
          <w:b w:val="0"/>
          <w:i w:val="0"/>
          <w:sz w:val="21"/>
        </w:rPr>
        <w:t>식 (7)을 이용하여 ta와 tb를 무차원 매개변수 k로 통합합니다:</w:t>
      </w:r>
    </w:p>
    <w:p>
      <w:pPr>
        <w:spacing w:before="80" w:after="80"/>
        <w:ind w:left="1134"/>
      </w:pPr>
      <w:r>
        <w:rPr>
          <w:rFonts w:eastAsia="Cambria Math"/>
          <w:rFonts w:ascii="Cambria Math" w:hAnsi="Cambria Math"/>
          <w:b w:val="0"/>
          <w:i/>
          <w:sz w:val="21"/>
        </w:rPr>
        <w:t>k = tb/ta = (t2−t3)/(t1−t2) = ln[(Vbat(t3)−OCV)/(Vbat(t2)−OCV)] / ln[(Vbat(t2)−OCV)/(Vbat(t1)−OCV)]  … (8)</w:t>
      </w:r>
    </w:p>
    <w:p>
      <w:pPr>
        <w:spacing w:before="40" w:after="80" w:line="360" w:lineRule="exact"/>
      </w:pPr>
      <w:r>
        <w:rPr>
          <w:rFonts w:eastAsia="맑은 고딕"/>
          <w:rFonts w:ascii="맑은 고딕" w:hAnsi="맑은 고딕"/>
          <w:b w:val="0"/>
          <w:i w:val="0"/>
          <w:sz w:val="21"/>
        </w:rPr>
        <w:t>RC 회로 모델에 연관된 k 값은 세 기준 C1, C2, C3를 가상 전압 이완 곡선(그림 1(b)의 빨간색 곡선)에 적용하여 t1, t2, t3의 모델 값을 구함으로써 얻습니다. 그림 4(d)~4(f)는 모델과 실험에서 얻은 k 값을 나타내는데, 모델 k 값은 거의 일정하게 약 1.3에 수렴합니다. 그러나 실험 k는 대체로 조금 더 높은 값을 나타내며, 특히 그림 4(a)에서 큰 오차가 발생한 SOC 포인트들에서 두드러집니다. 25°C를 예로 들면(그림 4(e)), SOC = 55%에서 실험 k 값이 2.47로 모델 값 1.3에서 크게 벗어납니다. 이 온도에서 이 SOC에서의 높은 예측 오차(−8.966 mV)는 그림 4(a)에도 나타납니다. 이는 k 값이 OCV 예측 오차와 강하게 상관됨을 강력히 시사합니다. k의 중요성은 OCV 예측에서의 장기 실험 관찰을 통해 발견된 것입니다.</w:t>
      </w:r>
    </w:p>
    <w:p>
      <w:pPr>
        <w:spacing w:before="40" w:after="80" w:line="360" w:lineRule="exact"/>
      </w:pPr>
      <w:r>
        <w:rPr>
          <w:rFonts w:eastAsia="맑은 고딕"/>
          <w:rFonts w:ascii="맑은 고딕" w:hAnsi="맑은 고딕"/>
          <w:b w:val="0"/>
          <w:i w:val="0"/>
          <w:sz w:val="21"/>
        </w:rPr>
        <w:t>이 상관관계는 k 값이 이론적으로 이완 과정의 전압 감쇠 특성을 나타내기 때문에 설명될 수 있습니다. 감쇠 과정이 RC 회로 모델로 이상적으로 특성화된다면 k ≈ 1.3에 가까워집니다. 측정된 이완 전압의 감쇠 과정이 k &gt; 2로 이상적인 RC 회로가 기술하는 과정에서 크게 벗어나면, 이를 '이상(비정상) 경우'로 취급합니다.</w:t>
      </w:r>
    </w:p>
    <w:p>
      <w:pPr>
        <w:spacing w:before="40" w:after="80" w:line="360" w:lineRule="exact"/>
      </w:pPr>
      <w:r>
        <w:rPr>
          <w:rFonts w:eastAsia="맑은 고딕"/>
          <w:rFonts w:ascii="맑은 고딕" w:hAnsi="맑은 고딕"/>
          <w:b w:val="0"/>
          <w:i w:val="0"/>
          <w:sz w:val="21"/>
        </w:rPr>
        <w:t>k &gt; 2일 때 추정 오차를 줄이기 위해, 추가 기준이 필요한지 C3를 재검토합니다. 그림 5에서 높은 OCV 추정 오차를 보이는 두 경우—(i) 셀 #1, 25°C, SOC = 55% 및 (ii) 셀 #1, 5°C, SOC = 50%—를 검토합니다. 두 경우 모두 k &gt; 2이지만, 육안으로는 전압 곡선에서 명확한 이상 신호가 보이지 않습니다. 그러나 그림 5(b)와 (e)에 나타낸 추정 OCV 오차는 소오차 영역(±2.5 mV)의 경계를 벗어납니다. 정확도를 높이기 위해, 대표 기호 ■를 사용하는 새로운 기준 C5 (|avg.ΔV| &lt; 0.025 mV)를 추가로 도입합니다. 더 긴 측정 시간이 소요되는 C4 또는 C5 기준을 사용하면 C3 기준보다 더 나은 예측 정확도를 얻을 수 있습니다. 더욱이 C5는 C4보다 우수한데, C5는 더 작은 오차를 낼 뿐만 아니라 더 짧은 측정 시간을 갖기 때문입니다. 그림 5(c)와 (f)는 두 경우에서 다섯 기준에 대한 임계 시점 tc와 이에 해당하는 시간 상수 τ를 함께 보여줍니다.</w:t>
      </w:r>
    </w:p>
    <w:p>
      <w:pPr>
        <w:spacing w:before="40" w:after="80" w:line="360" w:lineRule="exact"/>
      </w:pPr>
      <w:r>
        <w:rPr>
          <w:rFonts w:eastAsia="맑은 고딕"/>
          <w:rFonts w:ascii="맑은 고딕" w:hAnsi="맑은 고딕"/>
          <w:b w:val="0"/>
          <w:i w:val="0"/>
          <w:sz w:val="21"/>
        </w:rPr>
        <w:t>본 절에서 기준 C3은 몇 가지 이상 경우(k &gt; 2)를 제외한 모든 경우에서 OCV를 올바르게 예측하는 데 충분함을 보였습니다. 이러한 이상 경우에는 명확한 오차를 수정하기 위해 추가 기준이 필요합니다. 따라서 다음과 같은 수정이 수행됩니다: (i) C3가 달성될 때까지 배터리를 휴지시킨다; (ii) ta와 tb를 계산하여 k 값을 구한다; (iii) k 값이 모델 값(k ≈ 1.3)에서 크게 벗어나는지 판단한다; (iv) k &gt; 2이면 기준 C3를 C5로 교체한다; (v) C5가 충족될 때까지 기다린다.</w:t>
      </w:r>
    </w:p>
    <w:p>
      <w:pPr>
        <w:spacing w:before="160" w:after="120"/>
      </w:pPr>
      <w:r>
        <w:rPr>
          <w:rFonts w:eastAsia="맑은 고딕"/>
          <w:rFonts w:ascii="맑은 고딕" w:hAnsi="맑은 고딕"/>
          <w:b/>
          <w:i w:val="0"/>
          <w:color w:val="2F5496"/>
          <w:sz w:val="24"/>
        </w:rPr>
        <w:t>4.2. 다양한 조건에서의 OCV 예측 (OCV Prediction under Various Conditions)</w:t>
      </w:r>
    </w:p>
    <w:p>
      <w:pPr>
        <w:spacing w:before="40" w:after="80" w:line="360" w:lineRule="exact"/>
      </w:pPr>
      <w:r>
        <w:rPr>
          <w:rFonts w:eastAsia="맑은 고딕"/>
          <w:rFonts w:ascii="맑은 고딕" w:hAnsi="맑은 고딕"/>
          <w:b w:val="0"/>
          <w:i w:val="0"/>
          <w:sz w:val="21"/>
        </w:rPr>
        <w:t>특정 SOC에서의 이완 전압은 고유한 감쇠 경향을 나타내며, OCV도 SOC에 따라 달라집니다. 제안된 방법(4.1절에서 논의한 이상값 처리를 위한 수정 포함)의 정확성과 신속성을 검증하기 위해, 세 LIB(셀 #1, #2, #3)의 이완 전압을 DTR 및 CTR 과정을 통해 세 가지 주변 온도(45°C, 25°C, 5°C)와 다양한 SOC(10%~90%, 5% 간격)에서 측정합니다.</w:t>
      </w:r>
    </w:p>
    <w:p>
      <w:pPr>
        <w:spacing w:before="40" w:after="80" w:line="360" w:lineRule="exact"/>
      </w:pPr>
      <w:r>
        <w:rPr>
          <w:rFonts w:eastAsia="맑은 고딕"/>
          <w:rFonts w:ascii="맑은 고딕" w:hAnsi="맑은 고딕"/>
          <w:b w:val="0"/>
          <w:i w:val="0"/>
          <w:sz w:val="21"/>
        </w:rPr>
        <w:t>예측 결과는 그림 6에 나타나 있습니다. 제안된 방법으로 계산된 OCV는 ◇, △, ○ 기호로 표시됩니다. 빨간색, 녹색, 파란색 실선은 각각 셀 #1, #2, #3의 LC 방법으로 측정된 전압을 나타냅니다. 그림의 각 막대(빨간색: 셀 #1, 녹색: #2, 파란색: #3)는 제안 방법으로 얻은 OCV와 각 SOC에서 3시간 휴지한 증분 방법으로 얻은 OCV의 절대 차이인 오차를 나타냅니다. 관찰 결과: (i) 전반적으로 각 SOC에서의 OCV는 배터리가 노화됨에 따라 약간 상승하는데, 이는 이전 연구와 일치하는 결과입니다 [39]; (ii) 대부분의 경우 OCV 예측이 우수한 정확도(오차 &lt; 3 mV)를 보이며; (iii) 큰 오차(&gt;10 mV)는 특히 저온(5°C)에서 일부 SOC 위치에서만 발생합니다.</w:t>
      </w:r>
    </w:p>
    <w:p>
      <w:pPr>
        <w:spacing w:before="40" w:after="80" w:line="360" w:lineRule="exact"/>
      </w:pPr>
      <w:r>
        <w:rPr>
          <w:rFonts w:eastAsia="맑은 고딕"/>
          <w:rFonts w:ascii="맑은 고딕" w:hAnsi="맑은 고딕"/>
          <w:b w:val="0"/>
          <w:i w:val="0"/>
          <w:sz w:val="21"/>
        </w:rPr>
        <w:t>이제 모델링 방법과 증분 방법의 전반적인 차이를 개괄하기 위해, 전체 SOC 샘플에 걸쳐 예측 OCV의 평균 절대 오차(MAE)를 계산합니다. 표 2는 모든 연구 시나리오에 대한 이러한 오차를 나열합니다. 비교적 낮은 온도(5°C)가 예측 정확도에 큰 영향을 미치는 것을 확인할 수 있습니다. 예를 들어, SOH가 99.6%에서 83.0%로 감소한 노화 배터리에서 CTR 경우의 5°C에서의 MAE는 2.448 mV에서 5.243 mV로 증가합니다. 그러나 다른 온도(실온 25°C 및 고온 45°C)에서의 예측 결과는 배터리 노화에 따라 크게 변하지 않습니다. 따라서 제안된 방법은 실온 및 고온에서 충분한 추정 정확도를 가지며, 배터리 노화에 따라 정확도가 크게 변하지 않음이 확인됩니다. 그럼에도 불구하고, 저온(5°C)은 LIB 내 확산 과정을 늦추어 전압 이완에 큰 영향을 미칩니다. 이 상황에서는 예측에서 큰 오차가 발생할 확률이 높아질 수 있습니다.</w:t>
      </w:r>
    </w:p>
    <w:p>
      <w:pPr>
        <w:spacing w:before="160" w:after="60"/>
      </w:pPr>
      <w:r>
        <w:rPr>
          <w:rFonts w:eastAsia="맑은 고딕"/>
          <w:rFonts w:ascii="맑은 고딕" w:hAnsi="맑은 고딕"/>
          <w:b/>
          <w:i w:val="0"/>
          <w:sz w:val="20"/>
        </w:rPr>
        <w:t>표 2. 다양한 주변 온도에서 세 배터리에 대한 OCV 예측의 MAE (단위: mV)</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20"/>
              </w:rPr>
              <w:t>조건</w:t>
            </w:r>
          </w:p>
        </w:tc>
        <w:tc>
          <w:tcPr>
            <w:tcW w:type="dxa" w:w="2268"/>
          </w:tcPr>
          <w:p>
            <w:r>
              <w:rPr>
                <w:b/>
                <w:sz w:val="20"/>
              </w:rPr>
              <w:t>셀 #1</w:t>
            </w:r>
          </w:p>
        </w:tc>
        <w:tc>
          <w:tcPr>
            <w:tcW w:type="dxa" w:w="2268"/>
          </w:tcPr>
          <w:p>
            <w:r>
              <w:rPr>
                <w:b/>
                <w:sz w:val="20"/>
              </w:rPr>
              <w:t>셀 #2</w:t>
            </w:r>
          </w:p>
        </w:tc>
        <w:tc>
          <w:tcPr>
            <w:tcW w:type="dxa" w:w="2268"/>
          </w:tcPr>
          <w:p>
            <w:r>
              <w:rPr>
                <w:b/>
                <w:sz w:val="20"/>
              </w:rPr>
              <w:t>셀 #3</w:t>
            </w:r>
          </w:p>
        </w:tc>
      </w:tr>
      <w:tr>
        <w:tc>
          <w:tcPr>
            <w:tcW w:type="dxa" w:w="2268"/>
          </w:tcPr>
          <w:p>
            <w:r>
              <w:rPr>
                <w:sz w:val="20"/>
              </w:rPr>
              <w:t>MAE (CTR &amp; 45°C) (mV)</w:t>
            </w:r>
          </w:p>
        </w:tc>
        <w:tc>
          <w:tcPr>
            <w:tcW w:type="dxa" w:w="2268"/>
          </w:tcPr>
          <w:p>
            <w:r>
              <w:rPr>
                <w:sz w:val="20"/>
              </w:rPr>
              <w:t>2.182</w:t>
            </w:r>
          </w:p>
        </w:tc>
        <w:tc>
          <w:tcPr>
            <w:tcW w:type="dxa" w:w="2268"/>
          </w:tcPr>
          <w:p>
            <w:r>
              <w:rPr>
                <w:sz w:val="20"/>
              </w:rPr>
              <w:t>2.640</w:t>
            </w:r>
          </w:p>
        </w:tc>
        <w:tc>
          <w:tcPr>
            <w:tcW w:type="dxa" w:w="2268"/>
          </w:tcPr>
          <w:p>
            <w:r>
              <w:rPr>
                <w:sz w:val="20"/>
              </w:rPr>
              <w:t>2.765</w:t>
            </w:r>
          </w:p>
        </w:tc>
      </w:tr>
      <w:tr>
        <w:tc>
          <w:tcPr>
            <w:tcW w:type="dxa" w:w="2268"/>
          </w:tcPr>
          <w:p>
            <w:r>
              <w:rPr>
                <w:sz w:val="20"/>
              </w:rPr>
              <w:t>MAE (DTR &amp; 45°C) (mV)</w:t>
            </w:r>
          </w:p>
        </w:tc>
        <w:tc>
          <w:tcPr>
            <w:tcW w:type="dxa" w:w="2268"/>
          </w:tcPr>
          <w:p>
            <w:r>
              <w:rPr>
                <w:sz w:val="20"/>
              </w:rPr>
              <w:t>2.564</w:t>
            </w:r>
          </w:p>
        </w:tc>
        <w:tc>
          <w:tcPr>
            <w:tcW w:type="dxa" w:w="2268"/>
          </w:tcPr>
          <w:p>
            <w:r>
              <w:rPr>
                <w:sz w:val="20"/>
              </w:rPr>
              <w:t>2.414</w:t>
            </w:r>
          </w:p>
        </w:tc>
        <w:tc>
          <w:tcPr>
            <w:tcW w:type="dxa" w:w="2268"/>
          </w:tcPr>
          <w:p>
            <w:r>
              <w:rPr>
                <w:sz w:val="20"/>
              </w:rPr>
              <w:t>2.582</w:t>
            </w:r>
          </w:p>
        </w:tc>
      </w:tr>
      <w:tr>
        <w:tc>
          <w:tcPr>
            <w:tcW w:type="dxa" w:w="2268"/>
          </w:tcPr>
          <w:p>
            <w:r>
              <w:rPr>
                <w:sz w:val="20"/>
              </w:rPr>
              <w:t>MAE (CTR &amp; 25°C) (mV)</w:t>
            </w:r>
          </w:p>
        </w:tc>
        <w:tc>
          <w:tcPr>
            <w:tcW w:type="dxa" w:w="2268"/>
          </w:tcPr>
          <w:p>
            <w:r>
              <w:rPr>
                <w:sz w:val="20"/>
              </w:rPr>
              <w:t>2.076</w:t>
            </w:r>
          </w:p>
        </w:tc>
        <w:tc>
          <w:tcPr>
            <w:tcW w:type="dxa" w:w="2268"/>
          </w:tcPr>
          <w:p>
            <w:r>
              <w:rPr>
                <w:sz w:val="20"/>
              </w:rPr>
              <w:t>2.181</w:t>
            </w:r>
          </w:p>
        </w:tc>
        <w:tc>
          <w:tcPr>
            <w:tcW w:type="dxa" w:w="2268"/>
          </w:tcPr>
          <w:p>
            <w:r>
              <w:rPr>
                <w:sz w:val="20"/>
              </w:rPr>
              <w:t>2.710</w:t>
            </w:r>
          </w:p>
        </w:tc>
      </w:tr>
      <w:tr>
        <w:tc>
          <w:tcPr>
            <w:tcW w:type="dxa" w:w="2268"/>
          </w:tcPr>
          <w:p>
            <w:r>
              <w:rPr>
                <w:sz w:val="20"/>
              </w:rPr>
              <w:t>MAE (DTR &amp; 25°C) (mV)</w:t>
            </w:r>
          </w:p>
        </w:tc>
        <w:tc>
          <w:tcPr>
            <w:tcW w:type="dxa" w:w="2268"/>
          </w:tcPr>
          <w:p>
            <w:r>
              <w:rPr>
                <w:sz w:val="20"/>
              </w:rPr>
              <w:t>3.390</w:t>
            </w:r>
          </w:p>
        </w:tc>
        <w:tc>
          <w:tcPr>
            <w:tcW w:type="dxa" w:w="2268"/>
          </w:tcPr>
          <w:p>
            <w:r>
              <w:rPr>
                <w:sz w:val="20"/>
              </w:rPr>
              <w:t>4.075</w:t>
            </w:r>
          </w:p>
        </w:tc>
        <w:tc>
          <w:tcPr>
            <w:tcW w:type="dxa" w:w="2268"/>
          </w:tcPr>
          <w:p>
            <w:r>
              <w:rPr>
                <w:sz w:val="20"/>
              </w:rPr>
              <w:t>3.786</w:t>
            </w:r>
          </w:p>
        </w:tc>
      </w:tr>
      <w:tr>
        <w:tc>
          <w:tcPr>
            <w:tcW w:type="dxa" w:w="2268"/>
          </w:tcPr>
          <w:p>
            <w:r>
              <w:rPr>
                <w:sz w:val="20"/>
              </w:rPr>
              <w:t>MAE (CTR &amp; 5°C)  (mV)</w:t>
            </w:r>
          </w:p>
        </w:tc>
        <w:tc>
          <w:tcPr>
            <w:tcW w:type="dxa" w:w="2268"/>
          </w:tcPr>
          <w:p>
            <w:r>
              <w:rPr>
                <w:sz w:val="20"/>
              </w:rPr>
              <w:t>2.448</w:t>
            </w:r>
          </w:p>
        </w:tc>
        <w:tc>
          <w:tcPr>
            <w:tcW w:type="dxa" w:w="2268"/>
          </w:tcPr>
          <w:p>
            <w:r>
              <w:rPr>
                <w:sz w:val="20"/>
              </w:rPr>
              <w:t>5.333</w:t>
            </w:r>
          </w:p>
        </w:tc>
        <w:tc>
          <w:tcPr>
            <w:tcW w:type="dxa" w:w="2268"/>
          </w:tcPr>
          <w:p>
            <w:r>
              <w:rPr>
                <w:sz w:val="20"/>
              </w:rPr>
              <w:t>5.243</w:t>
            </w:r>
          </w:p>
        </w:tc>
      </w:tr>
      <w:tr>
        <w:tc>
          <w:tcPr>
            <w:tcW w:type="dxa" w:w="2268"/>
          </w:tcPr>
          <w:p>
            <w:r>
              <w:rPr>
                <w:sz w:val="20"/>
              </w:rPr>
              <w:t>MAE (DTR &amp; 5°C)  (mV)</w:t>
            </w:r>
          </w:p>
        </w:tc>
        <w:tc>
          <w:tcPr>
            <w:tcW w:type="dxa" w:w="2268"/>
          </w:tcPr>
          <w:p>
            <w:r>
              <w:rPr>
                <w:sz w:val="20"/>
              </w:rPr>
              <w:t>6.183</w:t>
            </w:r>
          </w:p>
        </w:tc>
        <w:tc>
          <w:tcPr>
            <w:tcW w:type="dxa" w:w="2268"/>
          </w:tcPr>
          <w:p>
            <w:r>
              <w:rPr>
                <w:sz w:val="20"/>
              </w:rPr>
              <w:t>5.829</w:t>
            </w:r>
          </w:p>
        </w:tc>
        <w:tc>
          <w:tcPr>
            <w:tcW w:type="dxa" w:w="2268"/>
          </w:tcPr>
          <w:p>
            <w:r>
              <w:rPr>
                <w:sz w:val="20"/>
              </w:rPr>
              <w:t>6.582</w:t>
            </w:r>
          </w:p>
        </w:tc>
      </w:tr>
    </w:tbl>
    <w:p/>
    <w:p>
      <w:pPr>
        <w:spacing w:before="40" w:after="80" w:line="360" w:lineRule="exact"/>
      </w:pPr>
      <w:r>
        <w:rPr>
          <w:rFonts w:eastAsia="맑은 고딕"/>
          <w:rFonts w:ascii="맑은 고딕" w:hAnsi="맑은 고딕"/>
          <w:b w:val="0"/>
          <w:i w:val="0"/>
          <w:sz w:val="21"/>
        </w:rPr>
        <w:t>그림 6에서, CTR 과정을 통해 얻은 OCV(OCVc)와 DTR 과정을 통해 얻은 OCV(OCVd)가 약간 다름을 알 수 있습니다. 문헌 [40]을 따라 이 두 OCV의 차이, 즉 OCVc − OCVd를 '히스테리시스 전압'이라고 부릅니다. 그림 7은 서로 다른 온도에서 세 셀의 히스테리시스 전압을 나타냅니다. 그림 7(a)(c)(e)에서 세 셀의 히스테리시스 전압은 SOC = 0.35~0.9에서보다 SOC = 0.1~0.3에서 더 높은 값을 나타내며, 후자는 거의 일정하게 유지됩니다. 배터리 노화 효과와 관련하여, 가장 노화된 셀 #3의 SOC = 0.1~0.3 범위에서의 히스테리시스 전압은 셀 #1보다 낮지만, SOC = 0.35~0.9 범위에서는 셀 #3의 히스테리시스 전압이 세 셀 중 가장 큽니다. 그림 7(d)(e)(f)는 동일한 배터리에 대해 온도가 다를 때의 히스테리시스 전압 변화를 보여줍니다. 기본적으로 온도는 각 SOC에서의 히스테리시스 전압에 거의 영향을 미치지 않는 것으로 나타납니다.</w:t>
      </w:r>
    </w:p>
    <w:p>
      <w:pPr>
        <w:spacing w:before="160" w:after="120"/>
      </w:pPr>
      <w:r>
        <w:rPr>
          <w:rFonts w:eastAsia="맑은 고딕"/>
          <w:rFonts w:ascii="맑은 고딕" w:hAnsi="맑은 고딕"/>
          <w:b/>
          <w:i w:val="0"/>
          <w:color w:val="2F5496"/>
          <w:sz w:val="24"/>
        </w:rPr>
        <w:t>4.3. OCV 예측에 필요한 시간 (Time Required to Predict the OCV)</w:t>
      </w:r>
    </w:p>
    <w:p>
      <w:pPr>
        <w:spacing w:before="40" w:after="80" w:line="360" w:lineRule="exact"/>
      </w:pPr>
      <w:r>
        <w:rPr>
          <w:rFonts w:eastAsia="맑은 고딕"/>
          <w:rFonts w:ascii="맑은 고딕" w:hAnsi="맑은 고딕"/>
          <w:b w:val="0"/>
          <w:i w:val="0"/>
          <w:sz w:val="21"/>
        </w:rPr>
        <w:t>짧은 시간 소요는 제안된 방법이 주창하는 주요 장점입니다. 그림 8은 서로 다른 상태의 세 LIB에 대한 OCV 예측에 필요한 시간을 나타냅니다. 각 데이터 포인트가 나타내는 총 시간은 (tc + 90)초입니다. 즉, (i) 기준 C3(및/또는 C5)가 달성되는 시간과 (ii) 두 미분 (dVbat/dt)tc와 (d²Vbat/dt²)tc를 계산하기 위한 추가 90초의 합입니다.</w:t>
      </w:r>
    </w:p>
    <w:p>
      <w:pPr>
        <w:spacing w:before="40" w:after="80" w:line="360" w:lineRule="exact"/>
      </w:pPr>
      <w:r>
        <w:rPr>
          <w:rFonts w:eastAsia="맑은 고딕"/>
          <w:rFonts w:ascii="맑은 고딕" w:hAnsi="맑은 고딕"/>
          <w:b w:val="0"/>
          <w:i w:val="0"/>
          <w:sz w:val="21"/>
        </w:rPr>
        <w:t>표 3은 다양한 조건에서 각 SOC에 대한 OCV 예측에 소요된 평균 시간을 요약합니다. OCV 예측에 필요한 시간이 주변 온도가 낮아질수록 증가함을 알 수 있습니다. 그림 8에서, 각 SOC에서의 필요 시간도 배터리 SOH의 영향을 받으며, 이는 저온(5°C)에서 가장 두드러집니다. 이 현상의 원인은 배터리 노화에 따른 확산 계수의 감소 [27]로, 배터리가 C3 기준(|avg.ΔV| &lt; 0.03 mV)에 도달하기 위해 더 긴 휴지 시간이 필요합니다. DTR 과정을 예로 들면(표 3 참조), 셀 #1(SOH = 99.6%)의 평균 소요 시간이 45°C에서 254.0초, 5°C에서 426.0초로 172.0초 증가합니다. 그러나 25°C에서는 셀 #1의 330.1초에서 셀 #3(SOH = 83.0%)의 392.9초로 62.8초 증가에 그칩니다. 또한 표 3은 모든 온도 및 모든 셀에서 DTR 과정의 OCV 예측에 필요한 평균 시간이 항상 CTR 과정보다 길다는 것을 보여줍니다. 이는 다음과 같이 설명될 수 있습니다: 그림 7에서 나타난 바와 같이 히스테리시스 전압이 항상 음이 아니므로, 낮은 OCVd가 전기화학 시스템이 평형 상태에 도달하는 구동력을 약하게 만들어 OCV 예측에 더 긴 시간이 걸릴 수 있습니다.</w:t>
      </w:r>
    </w:p>
    <w:p>
      <w:pPr>
        <w:spacing w:before="160" w:after="60"/>
      </w:pPr>
      <w:r>
        <w:rPr>
          <w:rFonts w:eastAsia="맑은 고딕"/>
          <w:rFonts w:ascii="맑은 고딕" w:hAnsi="맑은 고딕"/>
          <w:b/>
          <w:i w:val="0"/>
          <w:sz w:val="20"/>
        </w:rPr>
        <w:t>표 3. 세 배터리에 대해 세 가지 주변 온도에서 단일 SOC의 OCV 예측에 필요한 평균 시간 (단위: 초)</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20"/>
              </w:rPr>
              <w:t>조건</w:t>
            </w:r>
          </w:p>
        </w:tc>
        <w:tc>
          <w:tcPr>
            <w:tcW w:type="dxa" w:w="2268"/>
          </w:tcPr>
          <w:p>
            <w:r>
              <w:rPr>
                <w:b/>
                <w:sz w:val="20"/>
              </w:rPr>
              <w:t>셀 #1</w:t>
            </w:r>
          </w:p>
        </w:tc>
        <w:tc>
          <w:tcPr>
            <w:tcW w:type="dxa" w:w="2268"/>
          </w:tcPr>
          <w:p>
            <w:r>
              <w:rPr>
                <w:b/>
                <w:sz w:val="20"/>
              </w:rPr>
              <w:t>셀 #2</w:t>
            </w:r>
          </w:p>
        </w:tc>
        <w:tc>
          <w:tcPr>
            <w:tcW w:type="dxa" w:w="2268"/>
          </w:tcPr>
          <w:p>
            <w:r>
              <w:rPr>
                <w:b/>
                <w:sz w:val="20"/>
              </w:rPr>
              <w:t>셀 #3</w:t>
            </w:r>
          </w:p>
        </w:tc>
      </w:tr>
      <w:tr>
        <w:tc>
          <w:tcPr>
            <w:tcW w:type="dxa" w:w="2268"/>
          </w:tcPr>
          <w:p>
            <w:r>
              <w:rPr>
                <w:sz w:val="20"/>
              </w:rPr>
              <w:t>시간 (CTR &amp; 45°C) (s)</w:t>
            </w:r>
          </w:p>
        </w:tc>
        <w:tc>
          <w:tcPr>
            <w:tcW w:type="dxa" w:w="2268"/>
          </w:tcPr>
          <w:p>
            <w:r>
              <w:rPr>
                <w:sz w:val="20"/>
              </w:rPr>
              <w:t>240.3</w:t>
            </w:r>
          </w:p>
        </w:tc>
        <w:tc>
          <w:tcPr>
            <w:tcW w:type="dxa" w:w="2268"/>
          </w:tcPr>
          <w:p>
            <w:r>
              <w:rPr>
                <w:sz w:val="20"/>
              </w:rPr>
              <w:t>266.4</w:t>
            </w:r>
          </w:p>
        </w:tc>
        <w:tc>
          <w:tcPr>
            <w:tcW w:type="dxa" w:w="2268"/>
          </w:tcPr>
          <w:p>
            <w:r>
              <w:rPr>
                <w:sz w:val="20"/>
              </w:rPr>
              <w:t>279.6</w:t>
            </w:r>
          </w:p>
        </w:tc>
      </w:tr>
      <w:tr>
        <w:tc>
          <w:tcPr>
            <w:tcW w:type="dxa" w:w="2268"/>
          </w:tcPr>
          <w:p>
            <w:r>
              <w:rPr>
                <w:sz w:val="20"/>
              </w:rPr>
              <w:t>시간 (DTR &amp; 45°C) (s)</w:t>
            </w:r>
          </w:p>
        </w:tc>
        <w:tc>
          <w:tcPr>
            <w:tcW w:type="dxa" w:w="2268"/>
          </w:tcPr>
          <w:p>
            <w:r>
              <w:rPr>
                <w:sz w:val="20"/>
              </w:rPr>
              <w:t>254.0</w:t>
            </w:r>
          </w:p>
        </w:tc>
        <w:tc>
          <w:tcPr>
            <w:tcW w:type="dxa" w:w="2268"/>
          </w:tcPr>
          <w:p>
            <w:r>
              <w:rPr>
                <w:sz w:val="20"/>
              </w:rPr>
              <w:t>276.4</w:t>
            </w:r>
          </w:p>
        </w:tc>
        <w:tc>
          <w:tcPr>
            <w:tcW w:type="dxa" w:w="2268"/>
          </w:tcPr>
          <w:p>
            <w:r>
              <w:rPr>
                <w:sz w:val="20"/>
              </w:rPr>
              <w:t>290.6</w:t>
            </w:r>
          </w:p>
        </w:tc>
      </w:tr>
      <w:tr>
        <w:tc>
          <w:tcPr>
            <w:tcW w:type="dxa" w:w="2268"/>
          </w:tcPr>
          <w:p>
            <w:r>
              <w:rPr>
                <w:sz w:val="20"/>
              </w:rPr>
              <w:t>시간 (CTR &amp; 25°C) (s)</w:t>
            </w:r>
          </w:p>
        </w:tc>
        <w:tc>
          <w:tcPr>
            <w:tcW w:type="dxa" w:w="2268"/>
          </w:tcPr>
          <w:p>
            <w:r>
              <w:rPr>
                <w:sz w:val="20"/>
              </w:rPr>
              <w:t>311.2</w:t>
            </w:r>
          </w:p>
        </w:tc>
        <w:tc>
          <w:tcPr>
            <w:tcW w:type="dxa" w:w="2268"/>
          </w:tcPr>
          <w:p>
            <w:r>
              <w:rPr>
                <w:sz w:val="20"/>
              </w:rPr>
              <w:t>324.1</w:t>
            </w:r>
          </w:p>
        </w:tc>
        <w:tc>
          <w:tcPr>
            <w:tcW w:type="dxa" w:w="2268"/>
          </w:tcPr>
          <w:p>
            <w:r>
              <w:rPr>
                <w:sz w:val="20"/>
              </w:rPr>
              <w:t>354.4</w:t>
            </w:r>
          </w:p>
        </w:tc>
      </w:tr>
      <w:tr>
        <w:tc>
          <w:tcPr>
            <w:tcW w:type="dxa" w:w="2268"/>
          </w:tcPr>
          <w:p>
            <w:r>
              <w:rPr>
                <w:sz w:val="20"/>
              </w:rPr>
              <w:t>시간 (DTR &amp; 25°C) (s)</w:t>
            </w:r>
          </w:p>
        </w:tc>
        <w:tc>
          <w:tcPr>
            <w:tcW w:type="dxa" w:w="2268"/>
          </w:tcPr>
          <w:p>
            <w:r>
              <w:rPr>
                <w:sz w:val="20"/>
              </w:rPr>
              <w:t>330.1</w:t>
            </w:r>
          </w:p>
        </w:tc>
        <w:tc>
          <w:tcPr>
            <w:tcW w:type="dxa" w:w="2268"/>
          </w:tcPr>
          <w:p>
            <w:r>
              <w:rPr>
                <w:sz w:val="20"/>
              </w:rPr>
              <w:t>349.4</w:t>
            </w:r>
          </w:p>
        </w:tc>
        <w:tc>
          <w:tcPr>
            <w:tcW w:type="dxa" w:w="2268"/>
          </w:tcPr>
          <w:p>
            <w:r>
              <w:rPr>
                <w:sz w:val="20"/>
              </w:rPr>
              <w:t>392.9</w:t>
            </w:r>
          </w:p>
        </w:tc>
      </w:tr>
      <w:tr>
        <w:tc>
          <w:tcPr>
            <w:tcW w:type="dxa" w:w="2268"/>
          </w:tcPr>
          <w:p>
            <w:r>
              <w:rPr>
                <w:sz w:val="20"/>
              </w:rPr>
              <w:t>시간 (CTR &amp; 5°C)  (s)</w:t>
            </w:r>
          </w:p>
        </w:tc>
        <w:tc>
          <w:tcPr>
            <w:tcW w:type="dxa" w:w="2268"/>
          </w:tcPr>
          <w:p>
            <w:r>
              <w:rPr>
                <w:sz w:val="20"/>
              </w:rPr>
              <w:t>393.2</w:t>
            </w:r>
          </w:p>
        </w:tc>
        <w:tc>
          <w:tcPr>
            <w:tcW w:type="dxa" w:w="2268"/>
          </w:tcPr>
          <w:p>
            <w:r>
              <w:rPr>
                <w:sz w:val="20"/>
              </w:rPr>
              <w:t>447.7</w:t>
            </w:r>
          </w:p>
        </w:tc>
        <w:tc>
          <w:tcPr>
            <w:tcW w:type="dxa" w:w="2268"/>
          </w:tcPr>
          <w:p>
            <w:r>
              <w:rPr>
                <w:sz w:val="20"/>
              </w:rPr>
              <w:t>472.9</w:t>
            </w:r>
          </w:p>
        </w:tc>
      </w:tr>
      <w:tr>
        <w:tc>
          <w:tcPr>
            <w:tcW w:type="dxa" w:w="2268"/>
          </w:tcPr>
          <w:p>
            <w:r>
              <w:rPr>
                <w:sz w:val="20"/>
              </w:rPr>
              <w:t>시간 (DTR &amp; 5°C)  (s)</w:t>
            </w:r>
          </w:p>
        </w:tc>
        <w:tc>
          <w:tcPr>
            <w:tcW w:type="dxa" w:w="2268"/>
          </w:tcPr>
          <w:p>
            <w:r>
              <w:rPr>
                <w:sz w:val="20"/>
              </w:rPr>
              <w:t>426.0</w:t>
            </w:r>
          </w:p>
        </w:tc>
        <w:tc>
          <w:tcPr>
            <w:tcW w:type="dxa" w:w="2268"/>
          </w:tcPr>
          <w:p>
            <w:r>
              <w:rPr>
                <w:sz w:val="20"/>
              </w:rPr>
              <w:t>492.2</w:t>
            </w:r>
          </w:p>
        </w:tc>
        <w:tc>
          <w:tcPr>
            <w:tcW w:type="dxa" w:w="2268"/>
          </w:tcPr>
          <w:p>
            <w:r>
              <w:rPr>
                <w:sz w:val="20"/>
              </w:rPr>
              <w:t>543.9</w:t>
            </w:r>
          </w:p>
        </w:tc>
      </w:tr>
    </w:tbl>
    <w:p/>
    <w:p>
      <w:pPr>
        <w:spacing w:before="40" w:after="80" w:line="360" w:lineRule="exact"/>
      </w:pPr>
      <w:r>
        <w:rPr>
          <w:rFonts w:eastAsia="맑은 고딕"/>
          <w:rFonts w:ascii="맑은 고딕" w:hAnsi="맑은 고딕"/>
          <w:b w:val="0"/>
          <w:i w:val="0"/>
          <w:sz w:val="21"/>
        </w:rPr>
        <w:t>위의 분석을 통해, 제안된 방법이 25°C~45°C의 주변 온도 범위에서 우수한 안정성과 정확도를 가짐을 확인합니다. 셀 #1의 경우 25°C에서 OCV 예측을 완료하는 데 평균 약 6분이 소요되며, 노화된 배터리(셀 #3)도 45°C에서는 평균 5분 이내에 완료할 수 있습니다. 대부분의 경우 OCV 예측에 6~7분만이 소요됩니다. 실온 및 고온 경우와 비교할 때, 저온(5°C)에서의 예측은 더 긴 시간이 필요하고 정확도도 떨어집니다. 더 큰 오차의 원인은 저온에서의 이완 과정에서 배터리 전압의 비선형적 변화 때문일 수 있습니다 [31]. 마지막으로, 본 연구의 적용 가능성에 대한 중요한 참고 사항이 있습니다. 데이터 기록 시간을 1초에서 10초 또는 30초로 변경할 경우(실제 공학 응용에서의 시나리오), 기준 C3을 이에 대응하는 |avg.ΔV| &lt; 0.3 mV 또는 |avg.ΔV| &lt; 0.9 mV로 조정하면 OCV 예측 결과와 오차 범위가 유사하게 나타납니다. 이 시험은 본 방법이 전기자동차 및 기기의 BMS에 직접 적용될 수 있음을 보여줍니다.</w:t>
      </w:r>
    </w:p>
    <w:p>
      <w:pPr>
        <w:pBdr>
          <w:bottom w:val="single" w:sz="6" w:space="1" w:color="AAAAAA"/>
        </w:pBdr>
      </w:pPr>
    </w:p>
    <w:p>
      <w:pPr>
        <w:spacing w:before="280" w:after="120"/>
      </w:pPr>
      <w:r>
        <w:rPr>
          <w:rFonts w:eastAsia="맑은 고딕"/>
          <w:rFonts w:ascii="맑은 고딕" w:hAnsi="맑은 고딕"/>
          <w:b/>
          <w:i w:val="0"/>
          <w:color w:val="1F4E79"/>
          <w:sz w:val="28"/>
        </w:rPr>
        <w:t>5. 결론 (Conclusion)</w:t>
      </w:r>
    </w:p>
    <w:p>
      <w:pPr>
        <w:spacing w:before="40" w:after="80" w:line="360" w:lineRule="exact"/>
      </w:pPr>
      <w:r>
        <w:rPr>
          <w:rFonts w:eastAsia="맑은 고딕"/>
          <w:rFonts w:ascii="맑은 고딕" w:hAnsi="맑은 고딕"/>
          <w:b w:val="0"/>
          <w:i w:val="0"/>
          <w:sz w:val="21"/>
        </w:rPr>
        <w:t>LIB의 OCV를 얻는 데 필요한 시간을 줄이기 위해, 본 논문에서는 새로운 방법을 제안합니다. 이 방법의 특징은 이완 과정 중 전압 진화의 완전한 곡선 피팅 대신, 간단한 RC 회로 모델을 통해 초기 이완 전압 데이터로부터 OCV 값을 빠르게 계산한다는 것입니다. 이 회로 모델에서 시간 상수 τ의 실시간 의존성으로 인해, 지정된 전압 기준이 충족되는 시점까지 이완 전압을 추적하여 기다립니다. 그 시점에서 계산된 시간 상수를 이용하여 OCV를 계산할 수 있습니다. 이를 통해 예측된 OCV가 각 SOC에서 실험값과 근사함을 검증할 수 있으며, 25°C 및 45°C에서 MAE가 4.1 mV 미만, 저온(5°C)에서 6.6 mV 미만입니다.</w:t>
      </w:r>
    </w:p>
    <w:p>
      <w:pPr>
        <w:spacing w:before="40" w:after="80" w:line="360" w:lineRule="exact"/>
      </w:pPr>
      <w:r>
        <w:rPr>
          <w:rFonts w:eastAsia="맑은 고딕"/>
          <w:rFonts w:ascii="맑은 고딕" w:hAnsi="맑은 고딕"/>
          <w:b w:val="0"/>
          <w:i w:val="0"/>
          <w:sz w:val="21"/>
        </w:rPr>
        <w:t>제안된 방법의 실험 검증 후, OCV 예측에 필요한 시간이 서로 다른 배터리 상태에 따라 영향을 받더라도 각 SOC에서의 예측 시간이 일반적으로 약 6분 이내에 들어옴을 확인합니다. 이는 본 방법이 OCV 측정의 효율을 크게 향상시킬 수 있음을 증명합니다. OCV 예측이 주변 온도 및 SOH의 영향을 받지만, 대부분의 예측 결과는 실온 및 고온에서 3 mV 미만의 오차를 나타냅니다. 따라서 이 방법은 적절한 시험 환경에서 OCV 예측을 위한 충분한 안정성을 제공합니다.</w:t>
      </w:r>
    </w:p>
    <w:p>
      <w:pPr>
        <w:pBdr>
          <w:bottom w:val="single" w:sz="6" w:space="1" w:color="AAAAAA"/>
        </w:pBdr>
      </w:pPr>
    </w:p>
    <w:p>
      <w:pPr>
        <w:spacing w:before="160" w:after="120"/>
      </w:pPr>
      <w:r>
        <w:rPr>
          <w:rFonts w:eastAsia="맑은 고딕"/>
          <w:rFonts w:ascii="맑은 고딕" w:hAnsi="맑은 고딕"/>
          <w:b/>
          <w:i w:val="0"/>
          <w:color w:val="2F5496"/>
          <w:sz w:val="24"/>
        </w:rPr>
        <w:t>저자 기여 선언 (CRediT Authorship Contribution Statement)</w:t>
      </w:r>
    </w:p>
    <w:p>
      <w:pPr>
        <w:spacing w:before="40" w:after="80" w:line="360" w:lineRule="exact"/>
      </w:pPr>
      <w:r>
        <w:rPr>
          <w:rFonts w:eastAsia="맑은 고딕"/>
          <w:rFonts w:ascii="맑은 고딕" w:hAnsi="맑은 고딕"/>
          <w:b w:val="0"/>
          <w:i w:val="0"/>
          <w:sz w:val="21"/>
        </w:rPr>
        <w:t>Ming-Ying Zhou: 원고 작성, 개념 정립, 방법론, 소프트웨어, 검증. Jian-Bang Zhang: 개념 정립, 방법론. Chi-Jyun Ko: 개념 정립, 방법론, 소프트웨어, 검증. Kuo-Ching Chen: 원고 작성, 개념 정립, 방법론, 프로젝트 관리, 연구비 획득.</w:t>
      </w:r>
    </w:p>
    <w:p>
      <w:pPr>
        <w:spacing w:before="160" w:after="120"/>
      </w:pPr>
      <w:r>
        <w:rPr>
          <w:rFonts w:eastAsia="맑은 고딕"/>
          <w:rFonts w:ascii="맑은 고딕" w:hAnsi="맑은 고딕"/>
          <w:b/>
          <w:i w:val="0"/>
          <w:color w:val="2F5496"/>
          <w:sz w:val="24"/>
        </w:rPr>
        <w:t>경쟁 이해 관계 선언 (Declaration of Competing Interest)</w:t>
      </w:r>
    </w:p>
    <w:p>
      <w:pPr>
        <w:spacing w:before="40" w:after="80" w:line="360" w:lineRule="exact"/>
      </w:pPr>
      <w:r>
        <w:rPr>
          <w:rFonts w:eastAsia="맑은 고딕"/>
          <w:rFonts w:ascii="맑은 고딕" w:hAnsi="맑은 고딕"/>
          <w:b w:val="0"/>
          <w:i w:val="0"/>
          <w:sz w:val="21"/>
        </w:rPr>
        <w:t>저자들은 본 논문에 보고된 연구에 영향을 미칠 수 있는 알려진 경쟁적 재정적 이해관계나 개인적 관계가 없음을 선언합니다.</w:t>
      </w:r>
    </w:p>
    <w:p>
      <w:pPr>
        <w:spacing w:before="160" w:after="120"/>
      </w:pPr>
      <w:r>
        <w:rPr>
          <w:rFonts w:eastAsia="맑은 고딕"/>
          <w:rFonts w:ascii="맑은 고딕" w:hAnsi="맑은 고딕"/>
          <w:b/>
          <w:i w:val="0"/>
          <w:color w:val="2F5496"/>
          <w:sz w:val="24"/>
        </w:rPr>
        <w:t>데이터 가용성 (Data Availability)</w:t>
      </w:r>
    </w:p>
    <w:p>
      <w:pPr>
        <w:spacing w:before="40" w:after="80" w:line="360" w:lineRule="exact"/>
      </w:pPr>
      <w:r>
        <w:rPr>
          <w:rFonts w:eastAsia="맑은 고딕"/>
          <w:rFonts w:ascii="맑은 고딕" w:hAnsi="맑은 고딕"/>
          <w:b w:val="0"/>
          <w:i w:val="0"/>
          <w:sz w:val="21"/>
        </w:rPr>
        <w:t>데이터는 요청 시 제공될 것입니다.</w:t>
      </w:r>
    </w:p>
    <w:p>
      <w:pPr>
        <w:spacing w:before="160" w:after="120"/>
      </w:pPr>
      <w:r>
        <w:rPr>
          <w:rFonts w:eastAsia="맑은 고딕"/>
          <w:rFonts w:ascii="맑은 고딕" w:hAnsi="맑은 고딕"/>
          <w:b/>
          <w:i w:val="0"/>
          <w:color w:val="2F5496"/>
          <w:sz w:val="24"/>
        </w:rPr>
        <w:t>감사의 말 (Acknowledgment)</w:t>
      </w:r>
    </w:p>
    <w:p>
      <w:pPr>
        <w:spacing w:before="40" w:after="80" w:line="360" w:lineRule="exact"/>
      </w:pPr>
      <w:r>
        <w:rPr>
          <w:rFonts w:eastAsia="맑은 고딕"/>
          <w:rFonts w:ascii="맑은 고딕" w:hAnsi="맑은 고딕"/>
          <w:b w:val="0"/>
          <w:i w:val="0"/>
          <w:sz w:val="21"/>
        </w:rPr>
        <w:t>본 연구는 중화민국 과학기술부(Ministry of Science and Technology R.O.C.)의 과제번호 109-2221-E-002-009의 지원을 받았습니다.</w:t>
      </w:r>
    </w:p>
    <w:p>
      <w:pPr>
        <w:pBdr>
          <w:bottom w:val="single" w:sz="6" w:space="1" w:color="AAAAAA"/>
        </w:pBdr>
      </w:pPr>
    </w:p>
    <w:p>
      <w:pPr>
        <w:spacing w:before="280" w:after="120"/>
      </w:pPr>
      <w:r>
        <w:rPr>
          <w:rFonts w:eastAsia="맑은 고딕"/>
          <w:rFonts w:ascii="맑은 고딕" w:hAnsi="맑은 고딕"/>
          <w:b/>
          <w:i w:val="0"/>
          <w:color w:val="1F4E79"/>
          <w:sz w:val="28"/>
        </w:rPr>
        <w:t>참고문헌 (References)</w:t>
      </w:r>
    </w:p>
    <w:p>
      <w:pPr>
        <w:spacing w:before="20" w:after="20"/>
        <w:ind w:left="454" w:hanging="454"/>
      </w:pPr>
      <w:r>
        <w:rPr>
          <w:rFonts w:eastAsia="맑은 고딕"/>
          <w:rFonts w:ascii="맑은 고딕" w:hAnsi="맑은 고딕"/>
          <w:b w:val="0"/>
          <w:i w:val="0"/>
          <w:sz w:val="19"/>
        </w:rPr>
        <w:t>[1] B. Diouf, R. Pode, 재생에너지에서 리튬이온 배터리의 잠재력, Renew. Energy 76 (2015) 375–380.</w:t>
      </w:r>
    </w:p>
    <w:p>
      <w:pPr>
        <w:spacing w:before="20" w:after="20"/>
        <w:ind w:left="454" w:hanging="454"/>
      </w:pPr>
      <w:r>
        <w:rPr>
          <w:rFonts w:eastAsia="맑은 고딕"/>
          <w:rFonts w:ascii="맑은 고딕" w:hAnsi="맑은 고딕"/>
          <w:b w:val="0"/>
          <w:i w:val="0"/>
          <w:sz w:val="19"/>
        </w:rPr>
        <w:t>[2] F. Zheng et al., 서로 다른 개방 회로 전압 시험이 리튬이온 배터리의 온라인 SOC 추정에 미치는 영향, Appl. Energy 183 (2016) 513–525.</w:t>
      </w:r>
    </w:p>
    <w:p>
      <w:pPr>
        <w:spacing w:before="20" w:after="20"/>
        <w:ind w:left="454" w:hanging="454"/>
      </w:pPr>
      <w:r>
        <w:rPr>
          <w:rFonts w:eastAsia="맑은 고딕"/>
          <w:rFonts w:ascii="맑은 고딕" w:hAnsi="맑은 고딕"/>
          <w:b w:val="0"/>
          <w:i w:val="0"/>
          <w:sz w:val="19"/>
        </w:rPr>
        <w:t>[3] X. Hu, S. Li, H. Peng, Li-이온 배터리를 위한 등가 회로 모델 비교 연구, J. Power Sources 198 (2012) 359–367.</w:t>
      </w:r>
    </w:p>
    <w:p>
      <w:pPr>
        <w:spacing w:before="20" w:after="20"/>
        <w:ind w:left="454" w:hanging="454"/>
      </w:pPr>
      <w:r>
        <w:rPr>
          <w:rFonts w:eastAsia="맑은 고딕"/>
          <w:rFonts w:ascii="맑은 고딕" w:hAnsi="맑은 고딕"/>
          <w:b w:val="0"/>
          <w:i w:val="0"/>
          <w:sz w:val="19"/>
        </w:rPr>
        <w:t>[4] H. He et al., 전기자동차에서 LiFePO₄ 배터리의 모델 매개변수 및 SOC 온라인 추정, Appl. Energy 89 (2012) 413–420.</w:t>
      </w:r>
    </w:p>
    <w:p>
      <w:pPr>
        <w:spacing w:before="20" w:after="20"/>
        <w:ind w:left="454" w:hanging="454"/>
      </w:pPr>
      <w:r>
        <w:rPr>
          <w:rFonts w:eastAsia="맑은 고딕"/>
          <w:rFonts w:ascii="맑은 고딕" w:hAnsi="맑은 고딕"/>
          <w:b w:val="0"/>
          <w:i w:val="0"/>
          <w:sz w:val="19"/>
        </w:rPr>
        <w:t>[5] J. Xu et al., 비례-적분 옵저버 기반 리튬이온 배터리 SOC 추정, IEEE Trans. Veh. Technol. 63 (2013) 1614–1621.</w:t>
      </w:r>
    </w:p>
    <w:p>
      <w:pPr>
        <w:spacing w:before="20" w:after="20"/>
        <w:ind w:left="454" w:hanging="454"/>
      </w:pPr>
      <w:r>
        <w:rPr>
          <w:rFonts w:eastAsia="맑은 고딕"/>
          <w:rFonts w:ascii="맑은 고딕" w:hAnsi="맑은 고딕"/>
          <w:b w:val="0"/>
          <w:i w:val="0"/>
          <w:sz w:val="19"/>
        </w:rPr>
        <w:t>[6] C. Lin et al., 개방 회로 전압 시험이 리튬이온 배터리 SOC 추정에 미치는 영향 연구, Appl. Energy 205 (2017) 892–902.</w:t>
      </w:r>
    </w:p>
    <w:p>
      <w:pPr>
        <w:spacing w:before="20" w:after="20"/>
        <w:ind w:left="454" w:hanging="454"/>
      </w:pPr>
      <w:r>
        <w:rPr>
          <w:rFonts w:eastAsia="맑은 고딕"/>
          <w:rFonts w:ascii="맑은 고딕" w:hAnsi="맑은 고딕"/>
          <w:b w:val="0"/>
          <w:i w:val="0"/>
          <w:sz w:val="19"/>
        </w:rPr>
        <w:t>[7] X. Chen et al., 전기자동차 리튬이온 배터리의 SOC 추정을 위한 개방 회로 전압 재구성 새 접근법, Appl. Energy 255 (2019) 113758.</w:t>
      </w:r>
    </w:p>
    <w:p>
      <w:pPr>
        <w:spacing w:before="20" w:after="20"/>
        <w:ind w:left="454" w:hanging="454"/>
      </w:pPr>
      <w:r>
        <w:rPr>
          <w:rFonts w:eastAsia="맑은 고딕"/>
          <w:rFonts w:ascii="맑은 고딕" w:hAnsi="맑은 고딕"/>
          <w:b w:val="0"/>
          <w:i w:val="0"/>
          <w:sz w:val="19"/>
        </w:rPr>
        <w:t>[8] T. Ouyang et al., 실시간 최적 망각 인자를 이용한 리튬이온 배터리 매개변수 식별 및 SOC 추정 개선, Electrochim. Acta 353 (2020) 136576.</w:t>
      </w:r>
    </w:p>
    <w:p>
      <w:pPr>
        <w:spacing w:before="20" w:after="20"/>
        <w:ind w:left="454" w:hanging="454"/>
      </w:pPr>
      <w:r>
        <w:rPr>
          <w:rFonts w:eastAsia="맑은 고딕"/>
          <w:rFonts w:ascii="맑은 고딕" w:hAnsi="맑은 고딕"/>
          <w:b w:val="0"/>
          <w:i w:val="0"/>
          <w:sz w:val="19"/>
        </w:rPr>
        <w:t>[9] D. Di Domenico et al., 전기화학 모델 기반 확장 칼만 필터를 이용한 Li-이온 배터리 SOC 및 임계 표면 전하 추정, J. Dyn. Syst. Meas. Control 132 (2010).</w:t>
      </w:r>
    </w:p>
    <w:p>
      <w:pPr>
        <w:spacing w:before="20" w:after="20"/>
        <w:ind w:left="454" w:hanging="454"/>
      </w:pPr>
      <w:r>
        <w:rPr>
          <w:rFonts w:eastAsia="맑은 고딕"/>
          <w:rFonts w:ascii="맑은 고딕" w:hAnsi="맑은 고딕"/>
          <w:b w:val="0"/>
          <w:i w:val="0"/>
          <w:sz w:val="19"/>
        </w:rPr>
        <w:t>[10] M. Corno et al., Li-이온 셀 SOC 추정을 위한 전기화학 모델 기반 접근, IEEE Trans. Control Syst. Technol. 23 (2014) 117–127.</w:t>
      </w:r>
    </w:p>
    <w:p>
      <w:pPr>
        <w:spacing w:before="20" w:after="20"/>
        <w:ind w:left="454" w:hanging="454"/>
      </w:pPr>
      <w:r>
        <w:rPr>
          <w:rFonts w:eastAsia="맑은 고딕"/>
          <w:rFonts w:ascii="맑은 고딕" w:hAnsi="맑은 고딕"/>
          <w:b w:val="0"/>
          <w:i w:val="0"/>
          <w:sz w:val="19"/>
        </w:rPr>
        <w:t>[11] M.A. Roscher et al., 배터리 시스템에서 사용 가능한 용량 열화 검출, IEEE Trans. Veh. Technol. 60 (2010) 98–103.</w:t>
      </w:r>
    </w:p>
    <w:p>
      <w:pPr>
        <w:spacing w:before="20" w:after="20"/>
        <w:ind w:left="454" w:hanging="454"/>
      </w:pPr>
      <w:r>
        <w:rPr>
          <w:rFonts w:eastAsia="맑은 고딕"/>
          <w:rFonts w:ascii="맑은 고딕" w:hAnsi="맑은 고딕"/>
          <w:b w:val="0"/>
          <w:i w:val="0"/>
          <w:sz w:val="19"/>
        </w:rPr>
        <w:t>[12] X. Bian et al., 리튬이온 배터리 SOH 추정을 위한 개방 회로 전압 기반 모델, J. Power Sources 448 (2020) 227401.</w:t>
      </w:r>
    </w:p>
    <w:p>
      <w:pPr>
        <w:spacing w:before="20" w:after="20"/>
        <w:ind w:left="454" w:hanging="454"/>
      </w:pPr>
      <w:r>
        <w:rPr>
          <w:rFonts w:eastAsia="맑은 고딕"/>
          <w:rFonts w:ascii="맑은 고딕" w:hAnsi="맑은 고딕"/>
          <w:b w:val="0"/>
          <w:i w:val="0"/>
          <w:sz w:val="19"/>
        </w:rPr>
        <w:t>[13] M. Dubarry et al., 상용 충전식 리튬 배터리의 용량 감소 정량화를 위한 증분 용량 분석 및 OCV 측정, Electrochem. Solid State Lett. 9 (2006) A454.</w:t>
      </w:r>
    </w:p>
    <w:p>
      <w:pPr>
        <w:spacing w:before="20" w:after="20"/>
        <w:ind w:left="454" w:hanging="454"/>
      </w:pPr>
      <w:r>
        <w:rPr>
          <w:rFonts w:eastAsia="맑은 고딕"/>
          <w:rFonts w:ascii="맑은 고딕" w:hAnsi="맑은 고딕"/>
          <w:b w:val="0"/>
          <w:i w:val="0"/>
          <w:sz w:val="19"/>
        </w:rPr>
        <w:t>[14] M. Dubarry, B.Y. Liaw, 상용 LiFePO₄ 셀의 용량 감소 메커니즘 규명, J. Power Sources 194 (2009) 541–549.</w:t>
      </w:r>
    </w:p>
    <w:p>
      <w:pPr>
        <w:spacing w:before="20" w:after="20"/>
        <w:ind w:left="454" w:hanging="454"/>
      </w:pPr>
      <w:r>
        <w:rPr>
          <w:rFonts w:eastAsia="맑은 고딕"/>
          <w:rFonts w:ascii="맑은 고딕" w:hAnsi="맑은 고딕"/>
          <w:b w:val="0"/>
          <w:i w:val="0"/>
          <w:sz w:val="19"/>
        </w:rPr>
        <w:t>[15] M. Dubarry et al., 진단 및 예측 모델을 통한 배터리 열화 모드 합성, J. Power Sources 219 (2012) 204–216.</w:t>
      </w:r>
    </w:p>
    <w:p>
      <w:pPr>
        <w:spacing w:before="20" w:after="20"/>
        <w:ind w:left="454" w:hanging="454"/>
      </w:pPr>
      <w:r>
        <w:rPr>
          <w:rFonts w:eastAsia="맑은 고딕"/>
          <w:rFonts w:ascii="맑은 고딕" w:hAnsi="맑은 고딕"/>
          <w:b w:val="0"/>
          <w:i w:val="0"/>
          <w:sz w:val="19"/>
        </w:rPr>
        <w:t>[16] C. Weng et al., 지지 벡터 회귀를 이용한 증분 용량 분석에 의한 리튬이온 배터리 온보드 SOH 모니터링, J. Power Sources 235 (2013) 36–44.</w:t>
      </w:r>
    </w:p>
    <w:p>
      <w:pPr>
        <w:spacing w:before="20" w:after="20"/>
        <w:ind w:left="454" w:hanging="454"/>
      </w:pPr>
      <w:r>
        <w:rPr>
          <w:rFonts w:eastAsia="맑은 고딕"/>
          <w:rFonts w:ascii="맑은 고딕" w:hAnsi="맑은 고딕"/>
          <w:b w:val="0"/>
          <w:i w:val="0"/>
          <w:sz w:val="19"/>
        </w:rPr>
        <w:t>[17] C. Weng et al., SOC 추정 및 SOH 모니터링을 위한 리튬이온 배터리의 통합 OCV 모델, J. Power Sources 258 (2014) 228–237.</w:t>
      </w:r>
    </w:p>
    <w:p>
      <w:pPr>
        <w:spacing w:before="20" w:after="20"/>
        <w:ind w:left="454" w:hanging="454"/>
      </w:pPr>
      <w:r>
        <w:rPr>
          <w:rFonts w:eastAsia="맑은 고딕"/>
          <w:rFonts w:ascii="맑은 고딕" w:hAnsi="맑은 고딕"/>
          <w:b w:val="0"/>
          <w:i w:val="0"/>
          <w:sz w:val="19"/>
        </w:rPr>
        <w:t>[18] C. Birkl et al., 리튬이온 배터리를 위한 파라메트릭 개방 회로 전압 모델, J. Electrochem. Soc. 162 (2015) A2271–A2280.</w:t>
      </w:r>
    </w:p>
    <w:p>
      <w:pPr>
        <w:spacing w:before="20" w:after="20"/>
        <w:ind w:left="454" w:hanging="454"/>
      </w:pPr>
      <w:r>
        <w:rPr>
          <w:rFonts w:eastAsia="맑은 고딕"/>
          <w:rFonts w:ascii="맑은 고딕" w:hAnsi="맑은 고딕"/>
          <w:b w:val="0"/>
          <w:i w:val="0"/>
          <w:sz w:val="19"/>
        </w:rPr>
        <w:t>[19] X. Han et al., 전기자동차에서의 상용 리튬이온 배터리 사이클 수명 비교 연구: 노화 메커니즘 규명, J. Power Sources 251 (2014) 38–54.</w:t>
      </w:r>
    </w:p>
    <w:p>
      <w:pPr>
        <w:spacing w:before="20" w:after="20"/>
        <w:ind w:left="454" w:hanging="454"/>
      </w:pPr>
      <w:r>
        <w:rPr>
          <w:rFonts w:eastAsia="맑은 고딕"/>
          <w:rFonts w:ascii="맑은 고딕" w:hAnsi="맑은 고딕"/>
          <w:b w:val="0"/>
          <w:i w:val="0"/>
          <w:sz w:val="19"/>
        </w:rPr>
        <w:t>[20] M. Berecibar et al., 예측 분석에 기반한 NMC 셀의 온라인 SOH 추정, J. Power Sources 320 (2016) 239–250.</w:t>
      </w:r>
    </w:p>
    <w:p>
      <w:pPr>
        <w:spacing w:before="20" w:after="20"/>
        <w:ind w:left="454" w:hanging="454"/>
      </w:pPr>
      <w:r>
        <w:rPr>
          <w:rFonts w:eastAsia="맑은 고딕"/>
          <w:rFonts w:ascii="맑은 고딕" w:hAnsi="맑은 고딕"/>
          <w:b w:val="0"/>
          <w:i w:val="0"/>
          <w:sz w:val="19"/>
        </w:rPr>
        <w:t>[21] X. Bian et al., OCV 모델과 증분 용량 분석 융합에 의한 리튬이온 배터리 SOH 추정, IEEE Trans. Power Electron. 37 (2021) 2226–2236.</w:t>
      </w:r>
    </w:p>
    <w:p>
      <w:pPr>
        <w:spacing w:before="20" w:after="20"/>
        <w:ind w:left="454" w:hanging="454"/>
      </w:pPr>
      <w:r>
        <w:rPr>
          <w:rFonts w:eastAsia="맑은 고딕"/>
          <w:rFonts w:ascii="맑은 고딕" w:hAnsi="맑은 고딕"/>
          <w:b w:val="0"/>
          <w:i w:val="0"/>
          <w:sz w:val="19"/>
        </w:rPr>
        <w:t>[22] H. Dai et al., EV 응용을 위한 이중 시간 스케일 칼만 필터링을 이용한 Li-이온 배터리 팩의 온라인 셀 SOC 추정, Appl. Energy 95 (2012) 227–237.</w:t>
      </w:r>
    </w:p>
    <w:p>
      <w:pPr>
        <w:spacing w:before="20" w:after="20"/>
        <w:ind w:left="454" w:hanging="454"/>
      </w:pPr>
      <w:r>
        <w:rPr>
          <w:rFonts w:eastAsia="맑은 고딕"/>
          <w:rFonts w:ascii="맑은 고딕" w:hAnsi="맑은 고딕"/>
          <w:b w:val="0"/>
          <w:i w:val="0"/>
          <w:sz w:val="19"/>
        </w:rPr>
        <w:t>[23] M. Petzl, M.A. Danzer, 리튬이온 배터리를 위한 OCV 측정 및 분석의 발전, IEEE Trans. Energy Convers. 28 (2013) 675–681.</w:t>
      </w:r>
    </w:p>
    <w:p>
      <w:pPr>
        <w:spacing w:before="20" w:after="20"/>
        <w:ind w:left="454" w:hanging="454"/>
      </w:pPr>
      <w:r>
        <w:rPr>
          <w:rFonts w:eastAsia="맑은 고딕"/>
          <w:rFonts w:ascii="맑은 고딕" w:hAnsi="맑은 고딕"/>
          <w:b w:val="0"/>
          <w:i w:val="0"/>
          <w:sz w:val="19"/>
        </w:rPr>
        <w:t>[24] Y. Xing et al., 다양한 주변 온도에서 개방 회로 전압을 이용한 리튬이온 배터리 SOC 추정, Appl. Energy 113 (2014) 106–115.</w:t>
      </w:r>
    </w:p>
    <w:p>
      <w:pPr>
        <w:spacing w:before="20" w:after="20"/>
        <w:ind w:left="454" w:hanging="454"/>
      </w:pPr>
      <w:r>
        <w:rPr>
          <w:rFonts w:eastAsia="맑은 고딕"/>
          <w:rFonts w:ascii="맑은 고딕" w:hAnsi="맑은 고딕"/>
          <w:b w:val="0"/>
          <w:i w:val="0"/>
          <w:sz w:val="19"/>
        </w:rPr>
        <w:t>[25] M.A. Roscher, D.U. Sauer, LiFePO₄ 기반 리튬이온 이차전지의 동적 전기적 거동과 OCV 모델링, J. Power Sources 196 (2011) 331–336.</w:t>
      </w:r>
    </w:p>
    <w:p>
      <w:pPr>
        <w:spacing w:before="20" w:after="20"/>
        <w:ind w:left="454" w:hanging="454"/>
      </w:pPr>
      <w:r>
        <w:rPr>
          <w:rFonts w:eastAsia="맑은 고딕"/>
          <w:rFonts w:ascii="맑은 고딕" w:hAnsi="맑은 고딕"/>
          <w:b w:val="0"/>
          <w:i w:val="0"/>
          <w:sz w:val="19"/>
        </w:rPr>
        <w:t>[26] S. Arora et al., Li-이온 파우치 셀의 비가역 열에 대한 OCV 및 그 영향의 비판적 분석, J. Power Sources 350 (2017) 117–126.</w:t>
      </w:r>
    </w:p>
    <w:p>
      <w:pPr>
        <w:spacing w:before="20" w:after="20"/>
        <w:ind w:left="454" w:hanging="454"/>
      </w:pPr>
      <w:r>
        <w:rPr>
          <w:rFonts w:eastAsia="맑은 고딕"/>
          <w:rFonts w:ascii="맑은 고딕" w:hAnsi="맑은 고딕"/>
          <w:b w:val="0"/>
          <w:i w:val="0"/>
          <w:sz w:val="19"/>
        </w:rPr>
        <w:t>[27] A. Farmann, D.U. Sauer, 온도 및 실제 노화 상태에 따른 리튬이온 배터리 개방 회로 전압의 의존성 연구, J. Power Sources 347 (2017) 1–13.</w:t>
      </w:r>
    </w:p>
    <w:p>
      <w:pPr>
        <w:spacing w:before="20" w:after="20"/>
        <w:ind w:left="454" w:hanging="454"/>
      </w:pPr>
      <w:r>
        <w:rPr>
          <w:rFonts w:eastAsia="맑은 고딕"/>
          <w:rFonts w:ascii="맑은 고딕" w:hAnsi="맑은 고딕"/>
          <w:b w:val="0"/>
          <w:i w:val="0"/>
          <w:sz w:val="19"/>
        </w:rPr>
        <w:t>[28] L. Pei et al., 리튬이온 배터리의 SOC 추정을 위한 개방 회로 전압 이완 모델, Electr. Syst. Transp. IET 3 (2013) 112–117.</w:t>
      </w:r>
    </w:p>
    <w:p>
      <w:pPr>
        <w:spacing w:before="20" w:after="20"/>
        <w:ind w:left="454" w:hanging="454"/>
      </w:pPr>
      <w:r>
        <w:rPr>
          <w:rFonts w:eastAsia="맑은 고딕"/>
          <w:rFonts w:ascii="맑은 고딕" w:hAnsi="맑은 고딕"/>
          <w:b w:val="0"/>
          <w:i w:val="0"/>
          <w:sz w:val="19"/>
        </w:rPr>
        <w:t>[29] J. Meng et al., 리튬이온 배터리의 빠른 OCV 예측을 위한 새로운 다중 보정 접근법, IEEE Trans. Energy Convers. 34 (2018) 1115–1123.</w:t>
      </w:r>
    </w:p>
    <w:p>
      <w:pPr>
        <w:spacing w:before="20" w:after="20"/>
        <w:ind w:left="454" w:hanging="454"/>
      </w:pPr>
      <w:r>
        <w:rPr>
          <w:rFonts w:eastAsia="맑은 고딕"/>
          <w:rFonts w:ascii="맑은 고딕" w:hAnsi="맑은 고딕"/>
          <w:b w:val="0"/>
          <w:i w:val="0"/>
          <w:sz w:val="19"/>
        </w:rPr>
        <w:t>[30] W. Waag, D.U. Sauer, 정확한 SOC 및 용량 결정을 위한 전류 차단 후 리튬이온 배터리의 기전력 적응 추정, Appl. Energy 111 (2013) 416–427.</w:t>
      </w:r>
    </w:p>
    <w:p>
      <w:pPr>
        <w:spacing w:before="20" w:after="20"/>
        <w:ind w:left="454" w:hanging="454"/>
      </w:pPr>
      <w:r>
        <w:rPr>
          <w:rFonts w:eastAsia="맑은 고딕"/>
          <w:rFonts w:ascii="맑은 고딕" w:hAnsi="맑은 고딕"/>
          <w:b w:val="0"/>
          <w:i w:val="0"/>
          <w:sz w:val="19"/>
        </w:rPr>
        <w:t>[31] L. Pei et al., 리튬이온 배터리의 빠른 개방 회로 전압 예측을 위한 전압 이완 모델 개발, J. Power Sources 253 (2014) 412–418.</w:t>
      </w:r>
    </w:p>
    <w:p>
      <w:pPr>
        <w:spacing w:before="20" w:after="20"/>
        <w:ind w:left="454" w:hanging="454"/>
      </w:pPr>
      <w:r>
        <w:rPr>
          <w:rFonts w:eastAsia="맑은 고딕"/>
          <w:rFonts w:ascii="맑은 고딕" w:hAnsi="맑은 고딕"/>
          <w:b w:val="0"/>
          <w:i w:val="0"/>
          <w:sz w:val="19"/>
        </w:rPr>
        <w:t>[32] A. Li et al., 배터리 이완 전압 모델링을 위한 빠른 특성화 방법, Batteries 2 (2016) 7.</w:t>
      </w:r>
    </w:p>
    <w:p>
      <w:pPr>
        <w:spacing w:before="20" w:after="20"/>
        <w:ind w:left="454" w:hanging="454"/>
      </w:pPr>
      <w:r>
        <w:rPr>
          <w:rFonts w:eastAsia="맑은 고딕"/>
          <w:rFonts w:ascii="맑은 고딕" w:hAnsi="맑은 고딕"/>
          <w:b w:val="0"/>
          <w:i w:val="0"/>
          <w:sz w:val="19"/>
        </w:rPr>
        <w:t>[33] Z. Zhou et al., 전기자동차 LiNixCoyMn1-x-y 배터리 평가를 위한 개방 회로 전압 추정 기반 빠른 용량 추정 방법, J. Energy Storage 32 (2020) 101830.</w:t>
      </w:r>
    </w:p>
    <w:p>
      <w:pPr>
        <w:spacing w:before="20" w:after="20"/>
        <w:ind w:left="454" w:hanging="454"/>
      </w:pPr>
      <w:r>
        <w:rPr>
          <w:rFonts w:eastAsia="맑은 고딕"/>
          <w:rFonts w:ascii="맑은 고딕" w:hAnsi="맑은 고딕"/>
          <w:b w:val="0"/>
          <w:i w:val="0"/>
          <w:sz w:val="19"/>
        </w:rPr>
        <w:t>[34] J. Yang et al., 능동 분극 전압 감소 방법을 이용한 개선된 OCV 특성화 시험, Appl. Energy 237 (2019) 682–694.</w:t>
      </w:r>
    </w:p>
    <w:p>
      <w:pPr>
        <w:spacing w:before="20" w:after="20"/>
        <w:ind w:left="454" w:hanging="454"/>
      </w:pPr>
      <w:r>
        <w:rPr>
          <w:rFonts w:eastAsia="맑은 고딕"/>
          <w:rFonts w:ascii="맑은 고딕" w:hAnsi="맑은 고딕"/>
          <w:b w:val="0"/>
          <w:i w:val="0"/>
          <w:sz w:val="19"/>
        </w:rPr>
        <w:t>[35] Q. Yao et al., 일사이클 양극성 전류 펄스를 이용한 리튬이온 배터리의 빠른 개방 회로 전압 측정 방법, IEEE J. Emerg. Sel. Top. Ind. Electron. 2 (2020) 132–141.</w:t>
      </w:r>
    </w:p>
    <w:p>
      <w:pPr>
        <w:spacing w:before="20" w:after="20"/>
        <w:ind w:left="454" w:hanging="454"/>
      </w:pPr>
      <w:r>
        <w:rPr>
          <w:rFonts w:eastAsia="맑은 고딕"/>
          <w:rFonts w:ascii="맑은 고딕" w:hAnsi="맑은 고딕"/>
          <w:b w:val="0"/>
          <w:i w:val="0"/>
          <w:sz w:val="19"/>
        </w:rPr>
        <w:t>[36] J. Tian et al., 리튬이온 배터리의 전극 노화 추정 및 개방 회로 전압 재구성, Energy Storage Mater. 37 (2021) 283–295.</w:t>
      </w:r>
    </w:p>
    <w:p>
      <w:pPr>
        <w:spacing w:before="20" w:after="20"/>
        <w:ind w:left="454" w:hanging="454"/>
      </w:pPr>
      <w:r>
        <w:rPr>
          <w:rFonts w:eastAsia="맑은 고딕"/>
          <w:rFonts w:ascii="맑은 고딕" w:hAnsi="맑은 고딕"/>
          <w:b w:val="0"/>
          <w:i w:val="0"/>
          <w:sz w:val="19"/>
        </w:rPr>
        <w:t>[37] R. Xiong et al., H 무한 필터를 이용한 전기자동차 리튬이온 배터리 SOC를 위한 개방 회로 전압 획득 새 방법, Appl. Energy 207 (2017) 346–353.</w:t>
      </w:r>
    </w:p>
    <w:p>
      <w:pPr>
        <w:spacing w:before="20" w:after="20"/>
        <w:ind w:left="454" w:hanging="454"/>
      </w:pPr>
      <w:r>
        <w:rPr>
          <w:rFonts w:eastAsia="맑은 고딕"/>
          <w:rFonts w:ascii="맑은 고딕" w:hAnsi="맑은 고딕"/>
          <w:b w:val="0"/>
          <w:i w:val="0"/>
          <w:sz w:val="19"/>
        </w:rPr>
        <w:t>[38] X. Lai et al., 리튬이온 배터리 SOC 추정을 위한 다양한 등가 회로 모델 비교 연구, Electrochim. Acta 259 (2018) 566–577.</w:t>
      </w:r>
    </w:p>
    <w:p>
      <w:pPr>
        <w:spacing w:before="20" w:after="20"/>
        <w:ind w:left="454" w:hanging="454"/>
      </w:pPr>
      <w:r>
        <w:rPr>
          <w:rFonts w:eastAsia="맑은 고딕"/>
          <w:rFonts w:ascii="맑은 고딕" w:hAnsi="맑은 고딕"/>
          <w:b w:val="0"/>
          <w:i w:val="0"/>
          <w:sz w:val="19"/>
        </w:rPr>
        <w:t>[39] Z. Ma et al., 리튬이온 배터리를 위한 새로운 데이터-모델 융합 SOH 추정 접근법, Appl. Energy 237 (2019) 836–847.</w:t>
      </w:r>
    </w:p>
    <w:p>
      <w:pPr>
        <w:spacing w:before="20" w:after="20"/>
        <w:ind w:left="454" w:hanging="454"/>
      </w:pPr>
      <w:r>
        <w:rPr>
          <w:rFonts w:eastAsia="맑은 고딕"/>
          <w:rFonts w:ascii="맑은 고딕" w:hAnsi="맑은 고딕"/>
          <w:b w:val="0"/>
          <w:i w:val="0"/>
          <w:sz w:val="19"/>
        </w:rPr>
        <w:t>[40] P. Yu et al., 리튬이온 배터리의 히스테리시스 전압 의존성 연구 및 새로운 비대칭 히스테리시스 모델링, J. Energy Storage 51 (2022) 104492.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