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13F" w:rsidRPr="000D6A72" w:rsidRDefault="006D7C04" w:rsidP="000D6A72">
      <w:pPr>
        <w:pStyle w:val="Titel"/>
      </w:pPr>
      <w:r w:rsidRPr="000D6A72">
        <w:t>Intergroup Bias</w:t>
      </w:r>
      <w:r w:rsidRPr="000D6A72">
        <w:br/>
      </w:r>
      <w:r w:rsidRPr="000D6A72">
        <w:t>in Parliamentary Rule Enforcement</w:t>
      </w:r>
    </w:p>
    <w:p w:rsidR="000D6A72" w:rsidRPr="000D6A72" w:rsidRDefault="006D7C04" w:rsidP="000D6A72">
      <w:pPr>
        <w:pStyle w:val="Author"/>
        <w:rPr>
          <w:rFonts w:ascii="Times New Roman" w:hAnsi="Times New Roman" w:cs="Times New Roman"/>
        </w:rPr>
      </w:pPr>
      <w:r w:rsidRPr="000D6A72">
        <w:rPr>
          <w:rFonts w:ascii="Times New Roman" w:hAnsi="Times New Roman" w:cs="Times New Roman"/>
        </w:rPr>
        <w:t>Frederik Hjorth</w:t>
      </w:r>
      <w:r w:rsidR="000D6A72" w:rsidRPr="000D6A72">
        <w:rPr>
          <w:rStyle w:val="FootnoteRef"/>
          <w:rFonts w:ascii="Times New Roman" w:hAnsi="Times New Roman" w:cs="Times New Roman"/>
        </w:rPr>
        <w:endnoteReference w:id="1"/>
      </w:r>
    </w:p>
    <w:p w:rsidR="00BD4534" w:rsidRDefault="00BD4534">
      <w:pPr>
        <w:spacing w:before="0" w:after="200" w:line="240" w:lineRule="auto"/>
        <w:jc w:val="left"/>
      </w:pPr>
      <w:r>
        <w:br w:type="page"/>
      </w:r>
    </w:p>
    <w:p w:rsidR="00BD4534" w:rsidRDefault="00BD4534" w:rsidP="00BD4534">
      <w:pPr>
        <w:pStyle w:val="Overskrift1"/>
      </w:pPr>
      <w:r>
        <w:lastRenderedPageBreak/>
        <w:t>Abstract</w:t>
      </w:r>
    </w:p>
    <w:p w:rsidR="000D6A72" w:rsidRPr="000D6A72" w:rsidRDefault="000D6A72" w:rsidP="000D6A72">
      <w:r w:rsidRPr="000D6A72">
        <w:t>Political actors are often required them to enforce rules without giving in-groups special treatment. But are such institutional roles likely to be successful? Here, we exploit a special case of exogenously assigned intergroup relations: debates in the Danish parliament, in which parliament chairmen drawn from parliamentary parties enforce speaking time. Analyzing 5,756 speeches scraped from online transcripts, we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 ‘least likely’ context of clear rules, complete observability, and a tradition of parliamentary cooperation.</w:t>
      </w:r>
    </w:p>
    <w:p w:rsidR="00BD4534" w:rsidRDefault="00BD4534">
      <w:pPr>
        <w:spacing w:before="0" w:after="200" w:line="240" w:lineRule="auto"/>
        <w:jc w:val="left"/>
        <w:rPr>
          <w:rFonts w:eastAsiaTheme="majorEastAsia" w:cstheme="majorBidi"/>
          <w:b/>
          <w:bCs/>
          <w:sz w:val="32"/>
          <w:szCs w:val="32"/>
        </w:rPr>
      </w:pPr>
      <w:bookmarkStart w:id="0" w:name="introduction"/>
      <w:bookmarkEnd w:id="0"/>
      <w:r>
        <w:br w:type="page"/>
      </w:r>
    </w:p>
    <w:p w:rsidR="000D6A72" w:rsidRPr="000D6A72" w:rsidRDefault="000D6A72" w:rsidP="000D6A72">
      <w:pPr>
        <w:pStyle w:val="Overskrift1"/>
      </w:pPr>
      <w:r w:rsidRPr="000D6A72">
        <w:lastRenderedPageBreak/>
        <w:t>Introduction</w:t>
      </w:r>
    </w:p>
    <w:p w:rsidR="000D6A72" w:rsidRPr="000D6A72" w:rsidRDefault="000D6A72" w:rsidP="000D6A72">
      <w:r w:rsidRPr="000D6A72">
        <w:t>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sidR="000D6A72" w:rsidRPr="000D6A72" w:rsidRDefault="000D6A72" w:rsidP="000D6A72">
      <w:r w:rsidRPr="000D6A72">
        <w:t>But are such institutional roles and norms likely to be successful? In this study, we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sidRPr="000D6A72">
        <w:rPr>
          <w:rStyle w:val="FootnoteRef"/>
        </w:rPr>
        <w:endnoteReference w:id="2"/>
      </w:r>
      <w:r w:rsidRPr="000D6A72">
        <w:t xml:space="preserve"> Since combinations of speakers and chairmen are effectively random, the setting allows for identifying whether chairmen disregard partisan loyalties in enforcing speaking time rules.</w:t>
      </w:r>
    </w:p>
    <w:p w:rsidR="000D6A72" w:rsidRPr="000D6A72" w:rsidRDefault="000D6A72" w:rsidP="000D6A72">
      <w:r w:rsidRPr="000D6A72">
        <w:t>The evidence suggests they do not. Across a variety of specifications, chairpersons accord significantly more speaking time to speakers of their own party (</w:t>
      </w:r>
      <w:r w:rsidRPr="000D6A72">
        <w:rPr>
          <w:i/>
        </w:rPr>
        <w:t>copartisans</w:t>
      </w:r>
      <w:r w:rsidRPr="000D6A72">
        <w:t>) than speakers from other parties (</w:t>
      </w:r>
      <w:r w:rsidRPr="000D6A72">
        <w:rPr>
          <w:i/>
        </w:rPr>
        <w:t>non-copartisans</w:t>
      </w:r>
      <w:r w:rsidRPr="000D6A72">
        <w:t>). On average, copartisans are accorded around 3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demonstrate that partisanship can subtly bias the enforcement of rules, even in a political environment characterized by clear rules of universality, complete observability, low societal-level corruption, and a strong tradition of parliamentary cooperation.</w:t>
      </w:r>
    </w:p>
    <w:p w:rsidR="000D6A72" w:rsidRPr="000D6A72" w:rsidRDefault="000D6A72" w:rsidP="000D6A72">
      <w:r w:rsidRPr="000D6A72">
        <w:lastRenderedPageBreak/>
        <w:t>The study adds to a broader social science literature on the influence of group identities on social and political behavior. In particular, we provide rare evidence of elected officials exhibiting intergroup bias in a highly controlled, natural setting. We argue that the political context makes for an empirical setting in many ways ‘least likely’ with respect to the observed results. We discuss the question of the operative psychological mechanism towards the end of the paper. First, we describe the main strands of scholarship with which we engage.</w:t>
      </w:r>
    </w:p>
    <w:p w:rsidR="000D6A72" w:rsidRPr="000D6A72" w:rsidRDefault="000D6A72" w:rsidP="000D6A72">
      <w:pPr>
        <w:pStyle w:val="Overskrift1"/>
      </w:pPr>
      <w:bookmarkStart w:id="1" w:name="existing-literature"/>
      <w:bookmarkEnd w:id="1"/>
      <w:r w:rsidRPr="000D6A72">
        <w:t>Existing literature</w:t>
      </w:r>
    </w:p>
    <w:p w:rsidR="000D6A72" w:rsidRPr="000D6A72" w:rsidRDefault="000D6A72" w:rsidP="000D6A72">
      <w:r w:rsidRPr="000D6A72">
        <w:t xml:space="preserve">Substantively, the study ties into two analytically distinct strands of research. First of all, research from what one might call the </w:t>
      </w:r>
      <w:r w:rsidRPr="000D6A72">
        <w:rPr>
          <w:i/>
        </w:rPr>
        <w:t>social identity</w:t>
      </w:r>
      <w:r w:rsidRPr="000D6A72">
        <w:t xml:space="preserve"> perspective promotes the idea that, when perceiving the world in terms of ingroups and outgroups, humans are prone to discriminating against outgroup members and treating ingroup members favorably (Hewstone, Rubin, and Willis 2002). In lab experiments conducted under the “minimal group paradigm”, Henri Tajfel and Turner (1979; H. Tajfel and Turner 1986) 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 (Brewer 1979; Abrams and Hogg 1990; Brown 2000; Chen and Li 2009). Within the social identity perspective, a rich literature closely related to this study looks at racial bias in rule enforcement. Some studies utilize data on referee judgments in sports. For example, Price and Wolfers (2010) show that NBA referees award more fouls against opposite-race players. Other studies provide evidence of racial bias in policing (Donohue and Levitt 2001; Antonovics and Knight 2009), jury sentencing (Anwar, Bayer, and </w:t>
      </w:r>
      <w:r w:rsidRPr="000D6A72">
        <w:lastRenderedPageBreak/>
        <w:t>Hjalmarsson 2012), or political constituency service (Butler and Broockman 2011). Though much more empirically oriented than the social psychological literature described above, the racial bias literature is conceptually within the social identity perspective insofar as it tends to assume that the racial bias operates implicitly.</w:t>
      </w:r>
    </w:p>
    <w:p w:rsidR="000D6A72" w:rsidRPr="000D6A72" w:rsidRDefault="000D6A72" w:rsidP="000D6A72">
      <w:r w:rsidRPr="000D6A72">
        <w:t xml:space="preserve">Second of all, the study ties into a strand of research one might call </w:t>
      </w:r>
      <w:r w:rsidRPr="000D6A72">
        <w:rPr>
          <w:i/>
        </w:rPr>
        <w:t>partisan governance</w:t>
      </w:r>
      <w:r w:rsidRPr="000D6A72">
        <w:t>.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 (Dahlberg and Johansson 2002; Stratmann and Baur 2002; Larcinese, Rizzo, and Testa 2008), a phenomenon colloquially known as ‘pork-barrel politics’. Similarly, in systems with politically appointed law enforcement, some studies suggest that prosecution patterns reflect partisan concerns (Gordon 2009).</w:t>
      </w:r>
    </w:p>
    <w:p w:rsidR="000D6A72" w:rsidRPr="000D6A72" w:rsidRDefault="000D6A72" w:rsidP="000D6A72">
      <w:r w:rsidRPr="000D6A72">
        <w:t>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sidR="000D6A72" w:rsidRPr="000D6A72" w:rsidRDefault="000D6A72" w:rsidP="000D6A72">
      <w:r w:rsidRPr="000D6A72">
        <w:t xml:space="preserve">As suggested, the empirical setting of this study does not allow us to conclusively distinguish between these two accounts, though we dig into the question towards the end of the paper. However, in other respects, we provide novel evidence. Most importantly, the discretionary enforcement of speaking time rules during debates in the Danish parliament provides us with a setting structurally similar to the original experiments of the minimal group paradigm, only with elected officials acting in a natural </w:t>
      </w:r>
      <w:r w:rsidRPr="000D6A72">
        <w:lastRenderedPageBreak/>
        <w:t>setting. By using unobtrusively obtained data, we eschew concerns about experimenter effects or lack of external validity.</w:t>
      </w:r>
    </w:p>
    <w:p w:rsidR="000D6A72" w:rsidRPr="000D6A72" w:rsidRDefault="000D6A72" w:rsidP="000D6A72">
      <w:r w:rsidRPr="000D6A72">
        <w:t>Furthermore, by identifying partisan intergroup bias in a context of little ideological or affective polarization, we strengthen the case that neither are necessary conditions for rule enforcement to be subject to intergroup bias. As we will argue, these contextual features all work against an expectation of intergroup bias, making the setting a case for ‘least likely’ case inference (Levy 2008): if intergroup bias is detectable here, it is likely to be present in most other similar settings.</w:t>
      </w:r>
    </w:p>
    <w:p w:rsidR="000D6A72" w:rsidRPr="000D6A72" w:rsidRDefault="000D6A72" w:rsidP="000D6A72">
      <w:r w:rsidRPr="000D6A72">
        <w:t>We also make two methodological contributions. First of all, we add to a small, but growing literature utilizing automatically recorded data to study social processes (King 2011). Specifically, we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sidR="000D6A72" w:rsidRPr="000D6A72" w:rsidRDefault="000D6A72" w:rsidP="000D6A72">
      <w:r w:rsidRPr="000D6A72">
        <w:t xml:space="preserve">Second of all, we add to a relatively sparse research literature using floor debates to study political behavior. The consensual view in the comparative politics literature is that floor debates in and of themselves serve no purpose of interest (Gallagher, Mair, and Laver 2005). Challenging this consensus, Martin and Vanberg (2008) 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w:t>
      </w:r>
      <w:r w:rsidRPr="000D6A72">
        <w:lastRenderedPageBreak/>
        <w:t>setting for studying social behavior under institutional constraint. The paper is structured as follows. In section [emp], we present the empirical setting. Section [data] presents the data obtained, and the statistical model we use to identify intergroup bias. Section [res] presents the results of the analysis. Finally, section [conc] draws up the main conclusion and discusses perspectives for future research. In this last section we also discuss two important questions this study is not able to settle: the issue of intentionality and the role of self-censorship.</w:t>
      </w:r>
    </w:p>
    <w:p w:rsidR="000D6A72" w:rsidRPr="000D6A72" w:rsidRDefault="000D6A72" w:rsidP="000D6A72">
      <w:pPr>
        <w:pStyle w:val="Overskrift1"/>
      </w:pPr>
      <w:bookmarkStart w:id="2" w:name="emp"/>
      <w:bookmarkEnd w:id="2"/>
      <w:r w:rsidRPr="000D6A72">
        <w:t>Empirical setting</w:t>
      </w:r>
    </w:p>
    <w:p w:rsidR="000D6A72" w:rsidRPr="000D6A72" w:rsidRDefault="000D6A72" w:rsidP="000D6A72">
      <w:pPr>
        <w:pStyle w:val="Overskrift2"/>
      </w:pPr>
      <w:bookmarkStart w:id="3" w:name="parliamentary-debates-in-the-folketing"/>
      <w:bookmarkEnd w:id="3"/>
      <w:r w:rsidRPr="000D6A72">
        <w:t xml:space="preserve">Parliamentary debates in the </w:t>
      </w:r>
      <w:r w:rsidRPr="000D6A72">
        <w:rPr>
          <w:i/>
        </w:rPr>
        <w:t>Folketing</w:t>
      </w:r>
    </w:p>
    <w:p w:rsidR="000D6A72" w:rsidRPr="000D6A72" w:rsidRDefault="000D6A72" w:rsidP="000D6A72">
      <w:r w:rsidRPr="000D6A72">
        <w:t xml:space="preserve">The empirical setting of this study is the Danish parliament, the </w:t>
      </w:r>
      <w:r w:rsidRPr="000D6A72">
        <w:rPr>
          <w:i/>
        </w:rPr>
        <w:t>Folketing</w:t>
      </w:r>
      <w:r w:rsidRPr="000D6A72">
        <w:t xml:space="preserve">. The Folketing’s legislative calendar is bracketed by two major debates: the </w:t>
      </w:r>
      <w:r w:rsidRPr="000D6A72">
        <w:rPr>
          <w:i/>
        </w:rPr>
        <w:t>opening debate</w:t>
      </w:r>
      <w:r w:rsidRPr="000D6A72">
        <w:t xml:space="preserve">, which takes place each year in early October, and the </w:t>
      </w:r>
      <w:r w:rsidRPr="000D6A72">
        <w:rPr>
          <w:i/>
        </w:rPr>
        <w:t>closing debate</w:t>
      </w:r>
      <w:r w:rsidRPr="000D6A72">
        <w:t>,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sidR="000D6A72" w:rsidRPr="000D6A72" w:rsidRDefault="000D6A72" w:rsidP="000D6A72">
      <w:r w:rsidRPr="000D6A72">
        <w:t>Debates are governed by restrictive rules about speech time. The rules are as follows: each party spokesperson is allowed a speech up to 10 minutes long. After each speech, MP’s make a number of so-called ‘brief remarks’ (</w:t>
      </w:r>
      <w:r w:rsidRPr="000D6A72">
        <w:rPr>
          <w:i/>
        </w:rPr>
        <w:t>korte bemærkninger</w:t>
      </w:r>
      <w:r w:rsidRPr="000D6A72">
        <w:t xml:space="preserve">) of up to 60 seconds, to which the spokesperson who gave the speech typically responds with his or her own brief remark. Debate continues around half an </w:t>
      </w:r>
      <w:r w:rsidRPr="000D6A72">
        <w:lastRenderedPageBreak/>
        <w:t>hour, after which the next party spokesperson gives his or her speech. Debates typically feature 600-800 brief remarks.</w:t>
      </w:r>
    </w:p>
    <w:p w:rsidR="000D6A72" w:rsidRPr="000D6A72" w:rsidRDefault="000D6A72" w:rsidP="000D6A72">
      <w:r w:rsidRPr="000D6A72">
        <w:t>Because of the constant alternation of the right to speak, MP’s do not schedule brief remarks in advance, but sign up to give remarks ‘on the fly’ using an electronic queue system.</w:t>
      </w:r>
      <w:r w:rsidRPr="000D6A72">
        <w:rPr>
          <w:rStyle w:val="FootnoteRef"/>
        </w:rPr>
        <w:endnoteReference w:id="3"/>
      </w:r>
      <w:r w:rsidRPr="000D6A72">
        <w:t xml:space="preserve"> Furthermore, the content of the debate at any given time is not known in advance, but is largely dictated by the content of the spokespersons’ speeches. The opportunity for an individual MP to strategically select when to give remarks based on either chairman partisanship or debate content is thus minimal.</w:t>
      </w:r>
    </w:p>
    <w:p w:rsidR="000D6A72" w:rsidRPr="000D6A72" w:rsidRDefault="000D6A72" w:rsidP="000D6A72">
      <w:r w:rsidRPr="000D6A72">
        <w:t xml:space="preserve">The identification strategy of this study rests on the fact that debate rules are enforced in as-if-random order by ‘chairs’, i.e. members of the Folketing presidency, which consists of senior members from each of the five biggest parties. During a debate, each chairman oversees a considerable amount of debate involving MP’s from his or her own party (in the following called </w:t>
      </w:r>
      <w:r w:rsidRPr="000D6A72">
        <w:rPr>
          <w:i/>
        </w:rPr>
        <w:t>copartisans</w:t>
      </w:r>
      <w:r w:rsidRPr="000D6A72">
        <w:t>) as well as MP’s from other parties (</w:t>
      </w:r>
      <w:r w:rsidRPr="000D6A72">
        <w:rPr>
          <w:i/>
        </w:rPr>
        <w:t>non-copartisans</w:t>
      </w:r>
      <w:r w:rsidRPr="000D6A72">
        <w:t>).</w:t>
      </w:r>
      <w:r w:rsidRPr="000D6A72">
        <w:rPr>
          <w:rStyle w:val="FootnoteRef"/>
        </w:rPr>
        <w:endnoteReference w:id="4"/>
      </w:r>
    </w:p>
    <w:p w:rsidR="000D6A72" w:rsidRPr="000D6A72" w:rsidRDefault="000D6A72" w:rsidP="000D6A72">
      <w:r w:rsidRPr="000D6A72">
        <w:t>The ‘head chairman’, i.e. the head of Parliament, starts out overseeing each debate, but the order of chairmen is otherwise arbitrary, determined based on scheduling convenience. The number of remarks overseen by each chairman is thus not a function of his or her party’s size in parliament, but only on membership of the presidency and availability on the day of the debate. The specific schedule of presiding chairmen is set in advance of each debate, meaning that chairmen cannot self-select into shifts based on events during the debate.</w:t>
      </w:r>
    </w:p>
    <w:p w:rsidR="000D6A72" w:rsidRPr="000D6A72" w:rsidRDefault="000D6A72" w:rsidP="000D6A72">
      <w:pPr>
        <w:pStyle w:val="Overskrift2"/>
      </w:pPr>
      <w:bookmarkStart w:id="4" w:name="denmark-as-least-likely-setting"/>
      <w:bookmarkEnd w:id="4"/>
      <w:r w:rsidRPr="000D6A72">
        <w:t>Denmark as ‘least likely’ setting</w:t>
      </w:r>
    </w:p>
    <w:p w:rsidR="000D6A72" w:rsidRPr="000D6A72" w:rsidRDefault="000D6A72" w:rsidP="000D6A72">
      <w:r w:rsidRPr="000D6A72">
        <w:t xml:space="preserve">A number of characteristics of opening and closing debates in the Folketing make them a plausibly ‘least likely’ setting for intergroup bias in speaking time rule enforcement. Some of these </w:t>
      </w:r>
      <w:r w:rsidRPr="000D6A72">
        <w:lastRenderedPageBreak/>
        <w:t>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sidR="000D6A72" w:rsidRPr="000D6A72" w:rsidRDefault="000D6A72" w:rsidP="000D6A72">
      <w:r w:rsidRPr="000D6A72">
        <w:t>Other characteristics relate to the broader political context. By most measures, Denmark ranks among the world’s least corrupt countries, with a public sector characterized by Weberian norms of impartial governance (Treisman 2000). These legal-rational norms should work against chairmen letting partisan affiliation influence rule enforcement. Lastly, due to its cooperative parliamentary tradition, Denmark is typically classified as a ‘consensus’ type democracy in Lijphart’s classic typology (Lijphart 1999; Esaiasson and Heidar 2000). Though it lacks the oversized governing coalitions common in ideal typical consensus democracies, parliamentary politics in Denmark has a strong tradition of cross-party cooperation Green-Pedersen and Thomsen (2005). This consensual tradition similarly works against an expectation of partisan bias.</w:t>
      </w:r>
    </w:p>
    <w:p w:rsidR="000D6A72" w:rsidRPr="000D6A72" w:rsidRDefault="000D6A72" w:rsidP="000D6A72">
      <w:r w:rsidRPr="000D6A72">
        <w:t>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 ‘least likely’ setting in terms of the magnitude of biased parliamentary rule enforcement. The inferential implication is that evidence of intergroup bias found here is informative of the presence of intergroup bias in other contexts (Levy 2008). Our estimates thus provide a plausible lower bound on what is likely to be obtained elsewhere.</w:t>
      </w:r>
    </w:p>
    <w:p w:rsidR="000D6A72" w:rsidRPr="000D6A72" w:rsidRDefault="000D6A72" w:rsidP="000D6A72">
      <w:pPr>
        <w:pStyle w:val="Overskrift2"/>
      </w:pPr>
      <w:bookmarkStart w:id="5" w:name="hypothesis"/>
      <w:bookmarkEnd w:id="5"/>
      <w:r w:rsidRPr="000D6A72">
        <w:lastRenderedPageBreak/>
        <w:t>Hypothesis</w:t>
      </w:r>
    </w:p>
    <w:p w:rsidR="000D6A72" w:rsidRPr="000D6A72" w:rsidRDefault="000D6A72" w:rsidP="000D6A72">
      <w:r w:rsidRPr="000D6A72">
        <w:t>The hypothesis tested here is whether chairpersons, enforcing common rules about speech time, bias their enforcement to the benefit of copartisans. Specifically, the hypothesis tested is as follows:</w:t>
      </w:r>
    </w:p>
    <w:p w:rsidR="000D6A72" w:rsidRPr="000D6A72" w:rsidRDefault="000D6A72" w:rsidP="000D6A72">
      <w:pPr>
        <w:pStyle w:val="BlockQuote"/>
      </w:pPr>
      <w:r w:rsidRPr="000D6A72">
        <w:t>Hypothesis: Members’ speeches under copartisan chairmanship are on average longer than members’ speeches under non-copartisan chairmanship.</w:t>
      </w:r>
    </w:p>
    <w:p w:rsidR="000D6A72" w:rsidRPr="000D6A72" w:rsidRDefault="000D6A72" w:rsidP="000D6A72">
      <w:r w:rsidRPr="000D6A72">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 </w:t>
      </w:r>
      <w:r w:rsidRPr="000D6A72">
        <w:rPr>
          <w:i/>
        </w:rPr>
        <w:t>as-if randomly</w:t>
      </w:r>
      <w:r w:rsidRPr="000D6A72">
        <w:t xml:space="preserve"> assigned to individual speakers (Dunning 2007). As mentioned, the order of the chairmens’ shifts is itself allocated as a matter of convenience in terms of chairmens’ other private and professional obligations. The order of chairmens’ shifts is thus in itself plausibly random with respect to the debate schedule. This assumption is supported by the seemingly haphazard order of shifts observable in the data. By focusing on the lengths of speeches given by copartisan and non-copartisan members, we bracket the issue of whether chairmen exert bias by calling on copartisan members more. Though chairmen are allowed to change the order of speakers defined by the electronic queue system, they formally do so only to give preference to spokespersons, who typically dominate debates. More importantly, even chairmen do use this discretionary power to call on copartisans more often, it will not confound the bias estimate in this study, since we estimate bias in speaking time conditional on being called upon to speak.</w:t>
      </w:r>
    </w:p>
    <w:p w:rsidR="000D6A72" w:rsidRPr="000D6A72" w:rsidRDefault="000D6A72" w:rsidP="000D6A72">
      <w:r w:rsidRPr="000D6A72">
        <w:t xml:space="preserve">An important challenge to identification remains, namely the possibility that speakers self-censor. Since speakers know the partisan affiliation of the chair, it is possible that they deliberately shorten </w:t>
      </w:r>
      <w:r w:rsidRPr="000D6A72">
        <w:lastRenderedPageBreak/>
        <w:t>their speeches under non-copartisan enforcement, anticipating that the non-copartisan chairman is biased against them.</w:t>
      </w:r>
    </w:p>
    <w:p w:rsidR="000D6A72" w:rsidRPr="000D6A72" w:rsidRDefault="000D6A72" w:rsidP="000D6A72">
      <w:r w:rsidRPr="000D6A72">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signal invisible in televised recordings. Neither are actual speech lengths conclusive. Though speech lengths shorter than 60 seconds would seem to suggest that speakers self-censor, chairpersons are allowed to interrupt speakers before their time is up in the interest of allowing for more remarks. Hence, though each of these factors suggest at least some self-censorship, its precise extent is difficult to assess from the data at hand. </w:t>
      </w:r>
      <w:r w:rsidR="00035579">
        <w:t>The concluding section</w:t>
      </w:r>
      <w:r w:rsidRPr="000D6A72">
        <w:t xml:space="preserve"> discusses the implications of this for whether the observed pattern can be characterized as intergroup bias.</w:t>
      </w:r>
    </w:p>
    <w:p w:rsidR="000D6A72" w:rsidRPr="000D6A72" w:rsidRDefault="000D6A72" w:rsidP="000D6A72">
      <w:pPr>
        <w:pStyle w:val="Overskrift1"/>
      </w:pPr>
      <w:bookmarkStart w:id="6" w:name="data"/>
      <w:bookmarkEnd w:id="6"/>
      <w:r w:rsidRPr="000D6A72">
        <w:t>Data and measurement</w:t>
      </w:r>
    </w:p>
    <w:p w:rsidR="000D6A72" w:rsidRPr="000D6A72" w:rsidRDefault="000D6A72" w:rsidP="000D6A72">
      <w:pPr>
        <w:pStyle w:val="Overskrift2"/>
      </w:pPr>
      <w:bookmarkStart w:id="7" w:name="obtaining-speech-data"/>
      <w:bookmarkEnd w:id="7"/>
      <w:r w:rsidRPr="000D6A72">
        <w:t>Obtaining speech data</w:t>
      </w:r>
    </w:p>
    <w:p w:rsidR="000D6A72" w:rsidRPr="000D6A72" w:rsidRDefault="000D6A72" w:rsidP="000D6A72">
      <w:r w:rsidRPr="000D6A72">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are recorded in time stamps down to the number of seconds, yielding highly precise measures of how much speaking time each debate participant is given. Though invisible in the rendered transcripts, the time stamps are available as meta tags embedded in the underlying html code. We accessed transcripts at the </w:t>
      </w:r>
      <w:r w:rsidRPr="000D6A72">
        <w:lastRenderedPageBreak/>
        <w:t>parliament’s official website (</w:t>
      </w:r>
      <w:hyperlink r:id="rId9">
        <w:r w:rsidRPr="000D6A72">
          <w:rPr>
            <w:rStyle w:val="Link"/>
            <w:color w:val="auto"/>
          </w:rPr>
          <w:t>http://www.ft.dk</w:t>
        </w:r>
      </w:hyperlink>
      <w:r w:rsidRPr="000D6A72">
        <w:t xml:space="preserve">) and scraped the html code for time stamps and other information using the package </w:t>
      </w:r>
      <w:r w:rsidRPr="000D6A72">
        <w:rPr>
          <w:rStyle w:val="VerbatimChar"/>
          <w:rFonts w:ascii="Times New Roman" w:hAnsi="Times New Roman"/>
        </w:rPr>
        <w:t>rvest</w:t>
      </w:r>
      <w:r w:rsidRPr="000D6A72">
        <w:t xml:space="preserve"> for the statistical software </w:t>
      </w:r>
      <w:r w:rsidRPr="000D6A72">
        <w:rPr>
          <w:rStyle w:val="VerbatimChar"/>
          <w:rFonts w:ascii="Times New Roman" w:hAnsi="Times New Roman"/>
        </w:rPr>
        <w:t>R</w:t>
      </w:r>
      <w:r w:rsidRPr="000D6A72">
        <w:t xml:space="preserve"> (R Core Team 2013). The code for scraping out time stamps is provided in the replication materials.</w:t>
      </w:r>
      <w:r w:rsidRPr="000D6A72">
        <w:rPr>
          <w:rStyle w:val="FootnoteRef"/>
        </w:rPr>
        <w:endnoteReference w:id="5"/>
      </w:r>
    </w:p>
    <w:p w:rsidR="000D6A72" w:rsidRPr="000D6A72" w:rsidRDefault="000D6A72" w:rsidP="000D6A72">
      <w:pPr>
        <w:pStyle w:val="Overskrift2"/>
      </w:pPr>
      <w:bookmarkStart w:id="8" w:name="summary-statistics"/>
      <w:bookmarkEnd w:id="8"/>
      <w:r w:rsidRPr="000D6A72">
        <w:t>Summary statistics</w:t>
      </w:r>
    </w:p>
    <w:p w:rsidR="000D6A72" w:rsidRPr="009C0C7F" w:rsidRDefault="000D6A72" w:rsidP="000D6A72">
      <w:pPr>
        <w:rPr>
          <w:highlight w:val="yellow"/>
        </w:rPr>
      </w:pPr>
      <w:r w:rsidRPr="009C0C7F">
        <w:rPr>
          <w:highlight w:val="yellow"/>
        </w:rPr>
        <w:t xml:space="preserve">The full data set contains information about speaker and length for 12,048 speeches. Around half of these are merely transciptions of chairpersons calling the next speaker in line, yielding 6,012 actual speeches by members of parliament. 14 of these are official speeches by the PM, and 144 are official speeches by party spokespersons. Brief remarks, the focus of this paper, constitute the remaining 5,756 speeches equivalent to around 96 percent of all speeches in the data. Table </w:t>
      </w:r>
      <w:r w:rsidR="00B86D15" w:rsidRPr="009C0C7F">
        <w:rPr>
          <w:highlight w:val="yellow"/>
        </w:rPr>
        <w:t>1</w:t>
      </w:r>
      <w:r w:rsidRPr="009C0C7F">
        <w:rPr>
          <w:highlight w:val="yellow"/>
        </w:rPr>
        <w:t xml:space="preserve"> summarizes the available data.</w:t>
      </w:r>
    </w:p>
    <w:p w:rsidR="00B86D15" w:rsidRPr="000D6A72" w:rsidRDefault="00B86D15" w:rsidP="00B86D15">
      <w:pPr>
        <w:jc w:val="center"/>
      </w:pPr>
      <w:r w:rsidRPr="009C0C7F">
        <w:rPr>
          <w:highlight w:val="yellow"/>
        </w:rPr>
        <w:t xml:space="preserve">[Table </w:t>
      </w:r>
      <w:r w:rsidRPr="009C0C7F">
        <w:rPr>
          <w:highlight w:val="yellow"/>
        </w:rPr>
        <w:t>1</w:t>
      </w:r>
      <w:r w:rsidRPr="009C0C7F">
        <w:rPr>
          <w:highlight w:val="yellow"/>
        </w:rPr>
        <w:t xml:space="preserve"> around here]</w:t>
      </w:r>
    </w:p>
    <w:p w:rsidR="000D6A72" w:rsidRPr="000D6A72" w:rsidRDefault="000D6A72" w:rsidP="000D6A72">
      <w:pPr>
        <w:pStyle w:val="Overskrift2"/>
      </w:pPr>
      <w:bookmarkStart w:id="9" w:name="modeling-strategy"/>
      <w:bookmarkEnd w:id="9"/>
      <w:r w:rsidRPr="000D6A72">
        <w:t>Modeling strategy</w:t>
      </w:r>
    </w:p>
    <w:p w:rsidR="000D6A72" w:rsidRPr="000D6A72" w:rsidRDefault="000D6A72" w:rsidP="000D6A72">
      <w:r w:rsidRPr="000D6A72">
        <w:t>The key variables in the data are a measure of the length of each of the 5,756 speeches in seconds and a dummy indicator of whether the member delivering the speech is a copartisan of the presiding chairman. Hence, the hypothesis presented above can be stated in its simplest regression model form as follows:</w:t>
      </w:r>
    </w:p>
    <w:p w:rsidR="000D6A72" w:rsidRPr="000D6A72" w:rsidRDefault="000D6A72" w:rsidP="00C92268">
      <w:pPr>
        <w:ind w:left="1440" w:firstLine="720"/>
      </w:pP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=f(α+β×Copartisa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×γ</m:t>
        </m:r>
        <m:r>
          <m:rPr>
            <m:sty m:val="p"/>
          </m:rPr>
          <w:rPr>
            <w:rFonts w:ascii="Cambria Math" w:hAnsi="Cambria Math"/>
          </w:rPr>
          <m:t>)</m:t>
        </m:r>
      </m:oMath>
      <w:r w:rsidR="00C92268">
        <w:rPr>
          <w:rFonts w:eastAsiaTheme="minorEastAsia"/>
        </w:rPr>
        <w:tab/>
      </w:r>
      <w:r w:rsidR="00C92268">
        <w:rPr>
          <w:rFonts w:eastAsiaTheme="minorEastAsia"/>
        </w:rPr>
        <w:tab/>
      </w:r>
      <w:r w:rsidR="00C92268">
        <w:rPr>
          <w:rFonts w:eastAsiaTheme="minorEastAsia"/>
        </w:rPr>
        <w:tab/>
      </w:r>
      <w:r w:rsidR="00C92268">
        <w:rPr>
          <w:rFonts w:eastAsiaTheme="minorEastAsia"/>
        </w:rPr>
        <w:tab/>
        <w:t>(1)</w:t>
      </w:r>
    </w:p>
    <w:p w:rsidR="000D6A72" w:rsidRPr="000D6A72" w:rsidRDefault="000D6A72" w:rsidP="000D6A72">
      <w:r w:rsidRPr="000D6A72">
        <w:t xml:space="preserve">Where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is an either continuous or dichotomous measure of the length of speech </w:t>
      </w:r>
      <w:r w:rsidRPr="000D6A72">
        <w:rPr>
          <w:i/>
        </w:rPr>
        <w:t>i</w:t>
      </w:r>
      <w:r w:rsidRPr="000D6A72">
        <w:t xml:space="preserve">,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is a dummy indicator of whether the member delivering speech </w:t>
      </w:r>
      <w:r w:rsidRPr="000D6A72">
        <w:rPr>
          <w:i/>
        </w:rPr>
        <w:t>i</w:t>
      </w:r>
      <w:r w:rsidRPr="000D6A72">
        <w:t xml:space="preserve"> is a copartisan of the presiding chairperson,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rsidRPr="000D6A72">
        <w:t xml:space="preserve"> is a vector of additional control variables including various fixed effects </w:t>
      </w:r>
      <w:r w:rsidRPr="000D6A72">
        <w:lastRenderedPageBreak/>
        <w:t xml:space="preserve">terms with coefficients </w:t>
      </w:r>
      <m:oMath>
        <m:r>
          <m:rPr>
            <m:sty m:val="p"/>
          </m:rPr>
          <w:rPr>
            <w:rFonts w:ascii="Cambria Math" w:hAnsi="Cambria Math"/>
          </w:rPr>
          <m:t>γ</m:t>
        </m:r>
      </m:oMath>
      <w:r w:rsidRPr="000D6A72">
        <w:t xml:space="preserve">. Depending on the measurement of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w:t>
      </w:r>
      <m:oMath>
        <m:r>
          <m:rPr>
            <m:sty m:val="p"/>
          </m:rPr>
          <w:rPr>
            <w:rFonts w:ascii="Cambria Math" w:hAnsi="Cambria Math"/>
          </w:rPr>
          <m:t>f(⋅)</m:t>
        </m:r>
      </m:oMath>
      <w:r w:rsidRPr="000D6A72">
        <w:t xml:space="preserve"> is either linear or an inverse logit. The hypothesis tested is whether the coefficient for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i.e. </w:t>
      </w:r>
      <m:oMath>
        <m:r>
          <m:rPr>
            <m:sty m:val="p"/>
          </m:rPr>
          <w:rPr>
            <w:rFonts w:ascii="Cambria Math" w:hAnsi="Cambria Math"/>
          </w:rPr>
          <m:t>β</m:t>
        </m:r>
      </m:oMath>
      <w:r w:rsidRPr="000D6A72">
        <w:t>, is positive.</w:t>
      </w:r>
    </w:p>
    <w:p w:rsidR="000D6A72" w:rsidRPr="000D6A72" w:rsidRDefault="000D6A72" w:rsidP="000D6A72">
      <w:pPr>
        <w:pStyle w:val="Overskrift1"/>
      </w:pPr>
      <w:bookmarkStart w:id="10" w:name="res"/>
      <w:bookmarkEnd w:id="10"/>
      <w:r w:rsidRPr="000D6A72">
        <w:t>Results</w:t>
      </w:r>
    </w:p>
    <w:p w:rsidR="000D6A72" w:rsidRPr="000D6A72" w:rsidRDefault="000D6A72" w:rsidP="000D6A72">
      <w:r w:rsidRPr="000D6A72">
        <w:t xml:space="preserve">We estimate equation 1 with both linear regression for the continuous speech length measure and logistic regression for the dichotomous measure. Before proceeding to the regression results, Figure </w:t>
      </w:r>
      <w:r w:rsidR="00C37C13">
        <w:t>1</w:t>
      </w:r>
      <w:r w:rsidRPr="000D6A72">
        <w:t xml:space="preserve"> plots the raw distribution of speech lenghts for copartisans and non-copartisans. For non-copartisans, distributions are presented separately based on bloc affiliation relative to the chairman. We revisit the role of bloc affiliation in </w:t>
      </w:r>
      <w:r w:rsidR="00C37C13">
        <w:t xml:space="preserve">the </w:t>
      </w:r>
      <w:r w:rsidRPr="000D6A72">
        <w:t xml:space="preserve">section </w:t>
      </w:r>
      <w:r w:rsidR="00C37C13">
        <w:t>on political moderators</w:t>
      </w:r>
      <w:r w:rsidRPr="000D6A72">
        <w:t xml:space="preserve"> below.</w:t>
      </w:r>
    </w:p>
    <w:p w:rsidR="000D6A72" w:rsidRPr="000D6A72" w:rsidRDefault="00C37C13" w:rsidP="00C92268">
      <w:pPr>
        <w:jc w:val="center"/>
      </w:pPr>
      <w:r w:rsidRPr="000D6A72">
        <w:t>[</w:t>
      </w:r>
      <w:r>
        <w:t xml:space="preserve">Figure 1 </w:t>
      </w:r>
      <w:r w:rsidR="007A529E">
        <w:t xml:space="preserve">around </w:t>
      </w:r>
      <w:r>
        <w:t>here</w:t>
      </w:r>
      <w:r w:rsidRPr="000D6A72">
        <w:t>]</w:t>
      </w:r>
    </w:p>
    <w:p w:rsidR="000D6A72" w:rsidRPr="000D6A72" w:rsidRDefault="00C92268" w:rsidP="000D6A72">
      <w:r>
        <w:t>As seen in Figure 1</w:t>
      </w:r>
      <w:r w:rsidR="000D6A72" w:rsidRPr="000D6A72">
        <w:t xml:space="preserve">, the frequency of non-copartisan speeches drops markedly as speech lengths approach the 60-second limit. By contrast, copartisan speeches are almost perfectly symmetrically distributed around the limit. The figure lends </w:t>
      </w:r>
      <w:r w:rsidR="000D6A72" w:rsidRPr="000D6A72">
        <w:rPr>
          <w:i/>
        </w:rPr>
        <w:t>prima facie</w:t>
      </w:r>
      <w:r w:rsidR="000D6A72" w:rsidRPr="000D6A72">
        <w:t xml:space="preserve"> support to the notion that speech lengths depend on the partisan relation between chair and speaker.</w:t>
      </w:r>
    </w:p>
    <w:p w:rsidR="000D6A72" w:rsidRPr="000D6A72" w:rsidRDefault="00C92268" w:rsidP="000D6A72">
      <w:r>
        <w:t>A noticeable detail in Figure 1</w:t>
      </w:r>
      <w:r w:rsidR="000D6A72" w:rsidRPr="000D6A72">
        <w:t xml:space="preserve"> is that for non-copartisans not in the chairman’s political bloc (i.e., left panel), the distribution of speaking times is slightly bimodal. The reason for this slight bimodality is not clear. It is indicative of some heterogeneity in the observed effect, such that the remarks of some non-copartisans are censored to well below the cutoff, whereas others are unaffected. We do not delve further into what underpins this heterogeneity in this paper.</w:t>
      </w:r>
    </w:p>
    <w:p w:rsidR="000D6A72" w:rsidRDefault="00C92268" w:rsidP="000D6A72">
      <w:r>
        <w:t xml:space="preserve">Table </w:t>
      </w:r>
      <w:r w:rsidR="00B86D15">
        <w:t>2</w:t>
      </w:r>
      <w:r w:rsidR="000D6A72" w:rsidRPr="000D6A72">
        <w:t xml:space="preserve"> presents estimations of vari</w:t>
      </w:r>
      <w:r>
        <w:t>ous specifications of equation 1</w:t>
      </w:r>
      <w:r w:rsidR="000D6A72" w:rsidRPr="000D6A72">
        <w:t xml:space="preserve">. Model 1 presents a bivariate regression of speech length on copartisanship; models 2-5 add various controls. Across all model </w:t>
      </w:r>
      <w:r w:rsidR="000D6A72" w:rsidRPr="000D6A72">
        <w:lastRenderedPageBreak/>
        <w:t>specifications, the estimated effect of copartisanship is robustly significant and in the predicted direction.</w:t>
      </w:r>
    </w:p>
    <w:p w:rsidR="007A529E" w:rsidRPr="000D6A72" w:rsidRDefault="007A529E" w:rsidP="007A529E">
      <w:pPr>
        <w:jc w:val="center"/>
      </w:pPr>
      <w:r w:rsidRPr="000D6A72">
        <w:t>[</w:t>
      </w:r>
      <w:r>
        <w:t xml:space="preserve">Table </w:t>
      </w:r>
      <w:r w:rsidR="00B86D15">
        <w:t>2</w:t>
      </w:r>
      <w:r>
        <w:t xml:space="preserve"> around here</w:t>
      </w:r>
      <w:r w:rsidRPr="000D6A72">
        <w:t>]</w:t>
      </w:r>
    </w:p>
    <w:p w:rsidR="000D6A72" w:rsidRPr="000D6A72" w:rsidRDefault="000D6A72" w:rsidP="000D6A72">
      <w:r w:rsidRPr="000D6A72">
        <w:t>The results thus support the hypothesis that copartisanship is associated with longer speeches. The estimated effect of copartisanship ranges from 3.3 additional seconds (without any controls) to 2 seconds (with speaker party fixed effects), with a median of 3.1 seconds. In absolute terms, the estimated effects thus seem fairly small, but the effect is equivalent to an appreciable ‘copartisanship premium’ of around 5 percent of the expected speech length.</w:t>
      </w:r>
    </w:p>
    <w:p w:rsidR="000D6A72" w:rsidRPr="000D6A72" w:rsidRDefault="007A529E" w:rsidP="000D6A72">
      <w:r>
        <w:t>The models presented in T</w:t>
      </w:r>
      <w:r w:rsidR="000D6A72" w:rsidRPr="000D6A72">
        <w:t xml:space="preserve">able </w:t>
      </w:r>
      <w:r>
        <w:t>1</w:t>
      </w:r>
      <w:r w:rsidR="000D6A72" w:rsidRPr="000D6A72">
        <w:t xml:space="preserve">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 ‘fatigue effect’: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sidR="000D6A72" w:rsidRPr="000D6A72" w:rsidRDefault="000D6A72" w:rsidP="000D6A72">
      <w:r w:rsidRPr="000D6A72">
        <w:t>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rsidR="000D6A72" w:rsidRPr="000D6A72" w:rsidRDefault="000D6A72" w:rsidP="000D6A72">
      <w:pPr>
        <w:pStyle w:val="Overskrift2"/>
      </w:pPr>
      <w:bookmarkStart w:id="11" w:name="robustness-check-binary-speaking-time-me"/>
      <w:bookmarkEnd w:id="11"/>
      <w:r w:rsidRPr="000D6A72">
        <w:lastRenderedPageBreak/>
        <w:t>Robustness check: binary speaking time measure</w:t>
      </w:r>
    </w:p>
    <w:p w:rsidR="000D6A72" w:rsidRPr="000D6A72" w:rsidRDefault="000D6A72" w:rsidP="000D6A72">
      <w:r w:rsidRPr="000D6A72">
        <w:t>If the difference in speaking times observed for copartisans vs. non-copartisans reflects biased enforcement of speaking time rules, we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sidR="000D6A72" w:rsidRDefault="000D6A72" w:rsidP="000D6A72">
      <w:r w:rsidRPr="000D6A72">
        <w:t>The d</w:t>
      </w:r>
      <w:r w:rsidR="007A529E">
        <w:t>istributions plotted in Figure 1</w:t>
      </w:r>
      <w:r w:rsidRPr="000D6A72">
        <w:t xml:space="preserve"> strongly suggest that the difference is indeed concentrated around the 60-second threshold. As a way of formally testing the idea, we dichotomize the dependent variable to indicate whether the speaker has exceeded the 60-second limit or not. Table </w:t>
      </w:r>
      <w:r w:rsidR="00B86D15">
        <w:t>3</w:t>
      </w:r>
      <w:r w:rsidRPr="000D6A72">
        <w:t xml:space="preserve"> presents the results from a series of logistic regression models, specifications identical with those in Table </w:t>
      </w:r>
      <w:r w:rsidR="00B86D15">
        <w:t>2</w:t>
      </w:r>
      <w:r w:rsidRPr="000D6A72">
        <w:t>, estimated with this new dependent variable.</w:t>
      </w:r>
    </w:p>
    <w:p w:rsidR="007A529E" w:rsidRPr="000D6A72" w:rsidRDefault="007A529E" w:rsidP="007A529E">
      <w:pPr>
        <w:jc w:val="center"/>
      </w:pPr>
      <w:r w:rsidRPr="000D6A72">
        <w:t>[</w:t>
      </w:r>
      <w:r w:rsidR="00B86D15">
        <w:t>Table 3</w:t>
      </w:r>
      <w:r>
        <w:t xml:space="preserve"> around here</w:t>
      </w:r>
      <w:r w:rsidRPr="000D6A72">
        <w:t>]</w:t>
      </w:r>
    </w:p>
    <w:p w:rsidR="000D6A72" w:rsidRPr="000D6A72" w:rsidRDefault="000D6A72" w:rsidP="000D6A72">
      <w:r w:rsidRPr="000D6A72">
        <w:t>As the table shows, the results using the dichotomized dependent variable are substantively similar. The copartisanship coefficient remains significant across all specifications.</w:t>
      </w:r>
    </w:p>
    <w:p w:rsidR="000D6A72" w:rsidRPr="000D6A72" w:rsidRDefault="000D6A72" w:rsidP="000D6A72">
      <w:pPr>
        <w:pStyle w:val="Overskrift2"/>
      </w:pPr>
      <w:bookmarkStart w:id="12" w:name="making-sense-of-the-magnitude-of-bias"/>
      <w:bookmarkEnd w:id="12"/>
      <w:r w:rsidRPr="000D6A72">
        <w:t>Making sense of the magnitude of bias</w:t>
      </w:r>
    </w:p>
    <w:p w:rsidR="000D6A72" w:rsidRPr="000D6A72" w:rsidRDefault="000D6A72" w:rsidP="000D6A72">
      <w:r w:rsidRPr="000D6A72">
        <w:t xml:space="preserve">As a way of providing more intuitive quantities of interest, </w:t>
      </w:r>
      <w:r w:rsidR="00F34A9C">
        <w:t>F</w:t>
      </w:r>
      <w:r w:rsidRPr="000D6A72">
        <w:t xml:space="preserve">igure </w:t>
      </w:r>
      <w:r w:rsidR="00F34A9C">
        <w:t>2</w:t>
      </w:r>
      <w:r w:rsidRPr="000D6A72">
        <w:t xml:space="preserve"> plots average marginal effects for all the copartisanship estimates in tables </w:t>
      </w:r>
      <w:r w:rsidR="00B86D15">
        <w:t>2</w:t>
      </w:r>
      <w:r w:rsidRPr="000D6A72">
        <w:t xml:space="preserve"> and </w:t>
      </w:r>
      <w:r w:rsidR="00B86D15">
        <w:t>3</w:t>
      </w:r>
      <w:r w:rsidRPr="000D6A72">
        <w:t xml:space="preserve">. As shown in the logit model estimates in the left hand panel, a speaker of the same party as the chairman has an on average five percent higher chance of exceeding the speaking time limit, an estimate that is fairly stable across specification. In the linear </w:t>
      </w:r>
      <w:r w:rsidRPr="000D6A72">
        <w:lastRenderedPageBreak/>
        <w:t>model estimates in the right hand panel, the median effect estimate reflects an around 3 seconds longer speaking time for copartisans.</w:t>
      </w:r>
    </w:p>
    <w:p w:rsidR="00D0026C" w:rsidRPr="000D6A72" w:rsidRDefault="00D0026C" w:rsidP="00D0026C">
      <w:pPr>
        <w:jc w:val="center"/>
      </w:pPr>
      <w:r w:rsidRPr="000D6A72">
        <w:t>[</w:t>
      </w:r>
      <w:r>
        <w:t xml:space="preserve">Figure </w:t>
      </w:r>
      <w:r>
        <w:t>2</w:t>
      </w:r>
      <w:r>
        <w:t xml:space="preserve"> around here</w:t>
      </w:r>
      <w:r w:rsidRPr="000D6A72">
        <w:t>]</w:t>
      </w:r>
    </w:p>
    <w:p w:rsidR="000D6A72" w:rsidRPr="000D6A72" w:rsidRDefault="000D6A72" w:rsidP="000D6A72">
      <w:r w:rsidRPr="000D6A72">
        <w:t xml:space="preserve">There are several ways to make sense of the magnitude of this effect. One is in terms of standardized measures of effect size such as Cohen’s </w:t>
      </w:r>
      <m:oMath>
        <m:r>
          <m:rPr>
            <m:sty m:val="p"/>
          </m:rPr>
          <w:rPr>
            <w:rFonts w:ascii="Cambria Math" w:hAnsi="Cambria Math"/>
          </w:rPr>
          <m:t>d</m:t>
        </m:r>
      </m:oMath>
      <w:r w:rsidRPr="000D6A72">
        <w:t xml:space="preserve">, which assesses effects relative to the standard deviation of the dependent variable. Since the standard deviation of speaking time is 28.6, Cohen’s </w:t>
      </w:r>
      <m:oMath>
        <m:r>
          <m:rPr>
            <m:sty m:val="p"/>
          </m:rPr>
          <w:rPr>
            <w:rFonts w:ascii="Cambria Math" w:hAnsi="Cambria Math"/>
          </w:rPr>
          <m:t>d</m:t>
        </m:r>
      </m:oMath>
      <w:r w:rsidRPr="000D6A72">
        <w:t xml:space="preserve"> for the estimated effect is around 0.1, typically classified as a ‘small’ effect (Cohen 1992). This corresponds well to the intuitive sense that 3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rsidR="000D6A72" w:rsidRPr="000D6A72" w:rsidRDefault="000D6A72" w:rsidP="000D6A72">
      <w:pPr>
        <w:pStyle w:val="Overskrift2"/>
      </w:pPr>
      <w:bookmarkStart w:id="13" w:name="polmod"/>
      <w:bookmarkEnd w:id="13"/>
      <w:r w:rsidRPr="000D6A72">
        <w:t xml:space="preserve">Political moderators: Distance or party group affiliation? </w:t>
      </w:r>
    </w:p>
    <w:p w:rsidR="000D6A72" w:rsidRPr="000D6A72" w:rsidRDefault="000D6A72" w:rsidP="000D6A72">
      <w:r w:rsidRPr="000D6A72">
        <w:t xml:space="preserve">Having established the presence of biased rule enforcement, we return to the question outlined in the introduction: what is the most plausible psychological mechanism? As a way of getting at this question, we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w:t>
      </w:r>
      <w:r w:rsidRPr="000D6A72">
        <w:lastRenderedPageBreak/>
        <w:t>account is correct, chairmen would presumably treat non-copartisans roughly equally, seeing as they are all out-group members, irrespective of political distance. The extent to which the observed effect is moderated by political factors is thus at least suggestive of the mechanism underpinning the observed bias.</w:t>
      </w:r>
    </w:p>
    <w:p w:rsidR="000D6A72" w:rsidRPr="000D6A72" w:rsidRDefault="000D6A72" w:rsidP="000D6A72">
      <w:r w:rsidRPr="000D6A72">
        <w:t>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sidR="00B4413F" w:rsidRDefault="000D6A72" w:rsidP="000D6A72">
      <w:r w:rsidRPr="000D6A72">
        <w:t xml:space="preserve">We therefore take a different approach, testing the moderating effect of political distance by reestimating the full model (model 4 in </w:t>
      </w:r>
      <w:r w:rsidR="00D0026C">
        <w:t>T</w:t>
      </w:r>
      <w:r w:rsidRPr="000D6A72">
        <w:t xml:space="preserve">able </w:t>
      </w:r>
      <w:r w:rsidR="00695A7E">
        <w:t>2</w:t>
      </w:r>
      <w:r w:rsidRPr="000D6A72">
        <w:t>) for various subsets of the data where the political distance between chairman and speaker is artificially restricted. First, we calculate an approximate distance measure based on averaged voter estimates of party positions from the most recent national election survey (Stubager, Hansen, and Andersen 2013).</w:t>
      </w:r>
      <w:r w:rsidRPr="000D6A72">
        <w:rPr>
          <w:rStyle w:val="FootnoteRef"/>
        </w:rPr>
        <w:endnoteReference w:id="6"/>
      </w:r>
      <w:r w:rsidRPr="000D6A72">
        <w:t xml:space="preserve"> </w:t>
      </w:r>
      <w:r w:rsidR="006D7C04" w:rsidRPr="000D6A72">
        <w:t>For each speaker, we ca</w:t>
      </w:r>
      <w:r w:rsidR="006D7C04" w:rsidRPr="000D6A72">
        <w:t>lculate the distance measure as the absolute value of the distance between the parties of speaker and chairman. We then reestimate the full model using only data from chairman-speaker pairs where the distance is less than or equal to the median of all obse</w:t>
      </w:r>
      <w:r w:rsidR="006D7C04" w:rsidRPr="000D6A72">
        <w:t>rved distances. Second, to test the robustness of the distance measure, we apply a similar restriction using a rank-transformed (ordinal) version of the distance measure. Finally, we also estimate a model restricting the data to cases where the chairman-sp</w:t>
      </w:r>
      <w:r w:rsidR="006D7C04" w:rsidRPr="000D6A72">
        <w:t xml:space="preserve">eaker pair belong to the same political bloc. Table </w:t>
      </w:r>
      <w:r w:rsidR="007D0D2E">
        <w:t>4</w:t>
      </w:r>
      <w:r w:rsidR="006D7C04" w:rsidRPr="000D6A72">
        <w:t xml:space="preserve"> shows the results of each of these restrictions alongside the full model. We plot the estimates in </w:t>
      </w:r>
      <w:r w:rsidR="00DC6B74">
        <w:t>F</w:t>
      </w:r>
      <w:r w:rsidR="006D7C04" w:rsidRPr="000D6A72">
        <w:t xml:space="preserve">igure </w:t>
      </w:r>
      <w:r w:rsidR="00DC6B74">
        <w:t>3</w:t>
      </w:r>
      <w:r w:rsidR="006D7C04" w:rsidRPr="000D6A72">
        <w:t>.</w:t>
      </w:r>
    </w:p>
    <w:p w:rsidR="007D0D2E" w:rsidRPr="000D6A72" w:rsidRDefault="007D0D2E" w:rsidP="007D0D2E">
      <w:pPr>
        <w:jc w:val="center"/>
      </w:pPr>
      <w:r w:rsidRPr="000D6A72">
        <w:lastRenderedPageBreak/>
        <w:t>[</w:t>
      </w:r>
      <w:r>
        <w:t>Table 4</w:t>
      </w:r>
      <w:r>
        <w:t xml:space="preserve"> around here</w:t>
      </w:r>
      <w:r w:rsidRPr="000D6A72">
        <w:t>]</w:t>
      </w:r>
    </w:p>
    <w:p w:rsidR="00D0026C" w:rsidRPr="000D6A72" w:rsidRDefault="00D0026C" w:rsidP="00D0026C">
      <w:pPr>
        <w:jc w:val="center"/>
      </w:pPr>
      <w:r w:rsidRPr="000D6A72">
        <w:t xml:space="preserve"> </w:t>
      </w:r>
      <w:r w:rsidRPr="000D6A72">
        <w:t>[</w:t>
      </w:r>
      <w:r>
        <w:t>Figure 3</w:t>
      </w:r>
      <w:r>
        <w:t xml:space="preserve"> around here</w:t>
      </w:r>
      <w:r w:rsidRPr="000D6A72">
        <w:t>]</w:t>
      </w:r>
    </w:p>
    <w:p w:rsidR="00B4413F" w:rsidRPr="000D6A72" w:rsidRDefault="006D7C04" w:rsidP="000D6A72">
      <w:r w:rsidRPr="000D6A72">
        <w:t>As shown, all of the estimated effects of copartisanshi</w:t>
      </w:r>
      <w:r w:rsidRPr="000D6A72">
        <w:t>p on speaking time are clearly smaller than in the full model, and none of them are statistically significant. The difference should not be overstated: all of the estimates still have the predicted sign, and there is considerable overlap between the confid</w:t>
      </w:r>
      <w:r w:rsidRPr="000D6A72">
        <w:t>ence intervals. Still, the results do strongly suggest that the effect of copartisanship is weaker when copartisans are compared to politically proximate non-copartisans. As argued above, this pattern is more consistent with the partisan governance account</w:t>
      </w:r>
      <w:r w:rsidRPr="000D6A72">
        <w:t>, according to which chairmen should be attuned to how politically distal the speaker is.</w:t>
      </w:r>
    </w:p>
    <w:p w:rsidR="00B4413F" w:rsidRPr="000D6A72" w:rsidRDefault="006D7C04" w:rsidP="000D6A72">
      <w:r w:rsidRPr="000D6A72">
        <w:t>Empirically speaking, the conclusion from these moderation tests is reasonably clear: though chairmen exhibit bias against non-copartisans on average, this bias is mu</w:t>
      </w:r>
      <w:r w:rsidRPr="000D6A72">
        <w:t>ch less pronounced when comparing copartisans only with non-copartisans who are politically proximate and/or belong to the same political bloc. Strictly speaking, the bias thus appears to be not one of partisanship per se, but of political proximity and/or</w:t>
      </w:r>
      <w:r w:rsidRPr="000D6A72">
        <w:t xml:space="preserve"> bloc affiliation.</w:t>
      </w:r>
    </w:p>
    <w:p w:rsidR="00B4413F" w:rsidRPr="000D6A72" w:rsidRDefault="006D7C04" w:rsidP="000D6A72">
      <w:r w:rsidRPr="000D6A72">
        <w:t>However, this empirical result is not necessarily highly informative of the merits of the competing theoretical perspectives. The fact that chairmen are sensitive to the political distance and bloc affiliation of the speaker would seem t</w:t>
      </w:r>
      <w:r w:rsidRPr="000D6A72">
        <w:t xml:space="preserve">o speak in favor of the partisan governance perspective, since making this distinction furthers a broader political agenda. On the other hand, a social identity perspective might argue that, in parliamentary politics in multiparty systems, political blocs </w:t>
      </w:r>
      <w:r w:rsidRPr="000D6A72">
        <w:t xml:space="preserve">and groups of ideologically similar parties are themselves meaningful social identities. Thus, though the results do </w:t>
      </w:r>
      <w:r w:rsidRPr="000D6A72">
        <w:lastRenderedPageBreak/>
        <w:t>lend some support to the partisan governance account, it seems safest to conclude that the tests cannot fully adjudicate between the two th</w:t>
      </w:r>
      <w:r w:rsidRPr="000D6A72">
        <w:t>eorized mechanisms.</w:t>
      </w:r>
    </w:p>
    <w:p w:rsidR="00B4413F" w:rsidRPr="000D6A72" w:rsidRDefault="006D7C04" w:rsidP="000D6A72">
      <w:pPr>
        <w:pStyle w:val="Overskrift2"/>
      </w:pPr>
      <w:bookmarkStart w:id="14" w:name="additional-tests"/>
      <w:bookmarkEnd w:id="14"/>
      <w:r w:rsidRPr="000D6A72">
        <w:t>Additional tests</w:t>
      </w:r>
    </w:p>
    <w:p w:rsidR="00B4413F" w:rsidRPr="000D6A72" w:rsidRDefault="006D7C04" w:rsidP="000D6A72">
      <w:r w:rsidRPr="000D6A72">
        <w:t>In the appendix, we present some additional results and robustness checks which serve to shore up potential concerns with the empirical analysis and shed light on heterogeneities unexplored in the main analysis. The app</w:t>
      </w:r>
      <w:r w:rsidRPr="000D6A72">
        <w:t xml:space="preserve">endix is divided into three sections. Section </w:t>
      </w:r>
      <w:r w:rsidR="00AC1F3A">
        <w:t>A1</w:t>
      </w:r>
      <w:r w:rsidRPr="000D6A72">
        <w:t xml:space="preserve"> presents robustness checks of the results from Table </w:t>
      </w:r>
      <w:r w:rsidR="00695A7E">
        <w:t>2</w:t>
      </w:r>
      <w:r w:rsidRPr="000D6A72">
        <w:t xml:space="preserve">. We show that the results are robust to restricting the data only to members of leadership parties (Table </w:t>
      </w:r>
      <w:r w:rsidR="00AC1F3A">
        <w:t>5</w:t>
      </w:r>
      <w:r w:rsidRPr="000D6A72">
        <w:t xml:space="preserve">), </w:t>
      </w:r>
      <w:r w:rsidRPr="000D6A72">
        <w:t xml:space="preserve">excluding prime ministers (Table </w:t>
      </w:r>
      <w:r w:rsidR="00AC1F3A">
        <w:t>6</w:t>
      </w:r>
      <w:r w:rsidRPr="000D6A72">
        <w:t xml:space="preserve">), and adding debate-specific fixed effects (Table </w:t>
      </w:r>
      <w:r w:rsidR="00AC1F3A">
        <w:t>7</w:t>
      </w:r>
      <w:r w:rsidRPr="000D6A72">
        <w:t xml:space="preserve">). Section </w:t>
      </w:r>
      <w:r w:rsidR="00AC1F3A">
        <w:t>A2</w:t>
      </w:r>
      <w:r w:rsidRPr="000D6A72">
        <w:t xml:space="preserve"> shows results from a model predicting how many remarks chairmen oversee (Table </w:t>
      </w:r>
      <w:r w:rsidR="00AC1F3A">
        <w:t>8</w:t>
      </w:r>
      <w:r w:rsidRPr="000D6A72">
        <w:t xml:space="preserve">). The main determinant of the number of remarks enforced by a chairmen is the chairman’s tenure, i.e. for how many debates he or she was in the leadership. In contrast, party seat share is uncorrelated with activity. Lastly, Section </w:t>
      </w:r>
      <w:r w:rsidR="00AC1F3A">
        <w:t>A3</w:t>
      </w:r>
      <w:r w:rsidRPr="000D6A72">
        <w:t xml:space="preserve"> presents analyses of effect heterogeneity, showing the effect of copartisanship estimated separately for each party (Figure </w:t>
      </w:r>
      <w:r w:rsidR="00597670">
        <w:t>4</w:t>
      </w:r>
      <w:r w:rsidRPr="000D6A72">
        <w:t xml:space="preserve">) and chairman (Figure </w:t>
      </w:r>
      <w:r w:rsidR="00597670">
        <w:t>5</w:t>
      </w:r>
      <w:r w:rsidRPr="000D6A72">
        <w:t>) in the data. The analysis suggest</w:t>
      </w:r>
      <w:r w:rsidR="00597670">
        <w:t>s</w:t>
      </w:r>
      <w:r w:rsidRPr="000D6A72">
        <w:t xml:space="preserve"> limited overall effect heteroge</w:t>
      </w:r>
      <w:r w:rsidRPr="000D6A72">
        <w:t>neity and no discernible political pattern.</w:t>
      </w:r>
    </w:p>
    <w:p w:rsidR="00B4413F" w:rsidRPr="000D6A72" w:rsidRDefault="006D7C04" w:rsidP="000D6A72">
      <w:pPr>
        <w:pStyle w:val="Overskrift1"/>
      </w:pPr>
      <w:bookmarkStart w:id="15" w:name="conc"/>
      <w:bookmarkEnd w:id="15"/>
      <w:r w:rsidRPr="000D6A72">
        <w:t>Conclusion</w:t>
      </w:r>
    </w:p>
    <w:p w:rsidR="00B4413F" w:rsidRPr="000D6A72" w:rsidRDefault="006D7C04" w:rsidP="000D6A72">
      <w:r w:rsidRPr="000D6A72">
        <w:t>The key finding from this study is that speaking time rules in Danish parliamentary debates are not enforced equally. Specifically, speeches are around 3 seconds longer on average when the person speak</w:t>
      </w:r>
      <w:r w:rsidRPr="000D6A72">
        <w:t xml:space="preserve">ing shares party affiliation with the chairman enforcing the rules. This corresponds to a roughly five percent greater chance for copartisans of exceeding the 60-second speaking time limit. Since the </w:t>
      </w:r>
      <w:r w:rsidRPr="000D6A72">
        <w:lastRenderedPageBreak/>
        <w:t>official rules call for neutral enforcement of the limit</w:t>
      </w:r>
      <w:r w:rsidRPr="000D6A72">
        <w:t>, this difference can be attributed to intergroup bias on the part of the rule enforcer, i.e. the chairman. The intergroup bias explanation is consistent with a wealth of laboratory experimental evidence demonstrating the impact of group identity on distri</w:t>
      </w:r>
      <w:r w:rsidRPr="000D6A72">
        <w:t>butional preferences.</w:t>
      </w:r>
    </w:p>
    <w:p w:rsidR="00B4413F" w:rsidRPr="000D6A72" w:rsidRDefault="006D7C04" w:rsidP="000D6A72">
      <w:r w:rsidRPr="000D6A72">
        <w:t>We contribute to this literature by showing intergroup bias among elected political officials in a natural setting. The generalizability of the finding is further bolstered by the fact that the empirical setting is characterized by cl</w:t>
      </w:r>
      <w:r w:rsidRPr="000D6A72">
        <w:t>ear rules of universality, complete observability, low societal-level corruption, and a strong tradition of parliamentary cooperation – thus in several respects a ‘least likely’ case for intergroup bias in rule enforcement.</w:t>
      </w:r>
    </w:p>
    <w:p w:rsidR="00B4413F" w:rsidRPr="000D6A72" w:rsidRDefault="006D7C04" w:rsidP="000D6A72">
      <w:r w:rsidRPr="000D6A72">
        <w:t>The magnitude of the observed ef</w:t>
      </w:r>
      <w:r w:rsidRPr="000D6A72">
        <w:t>fect is small, but non-negligible, corresponding to around 5 percent of the average speaking time or around 5 percent additional chance of exceeding the formal threshold of 60 seconds. Equally importantly, the rotation of chairmen throughout the typical de</w:t>
      </w:r>
      <w:r w:rsidRPr="000D6A72">
        <w:t>bate means that accumulated advantages in speaking time for any given party will tend to cancel out in the long run. This implies that the total impact of the observed bias in parliamentary life is minimal.</w:t>
      </w:r>
    </w:p>
    <w:p w:rsidR="00B4413F" w:rsidRPr="000D6A72" w:rsidRDefault="006D7C04" w:rsidP="000D6A72">
      <w:r w:rsidRPr="000D6A72">
        <w:t>However, from a theoretical perspective it is imp</w:t>
      </w:r>
      <w:r w:rsidRPr="000D6A72">
        <w:t>ortant to note that the principle of rotating chairman responsibilities is not an accident, but a particular institutional design. Though the principle may be motivated by mere convenience, it has real distributional effects. Even in the presence of (limit</w:t>
      </w:r>
      <w:r w:rsidRPr="000D6A72">
        <w:t xml:space="preserve">ed) biased rule enforcement, the rotation principle ensures that biases roughly cancel out over the course of a debate. The study thus implies that while institutional features such as simple rules and observability do not completely eradicate biased rule </w:t>
      </w:r>
      <w:r w:rsidRPr="000D6A72">
        <w:t>enforcement, a principle of rotation among rule enforcers can ensure that the impact of enforcement remains approximately balanced in the aggregate.</w:t>
      </w:r>
    </w:p>
    <w:p w:rsidR="00B4413F" w:rsidRPr="000D6A72" w:rsidRDefault="006D7C04" w:rsidP="000D6A72">
      <w:r w:rsidRPr="000D6A72">
        <w:lastRenderedPageBreak/>
        <w:t xml:space="preserve">Two concerns about the nature of the observed effect linger. First of all, the data is uninformative as to </w:t>
      </w:r>
      <w:r w:rsidRPr="000D6A72">
        <w:t xml:space="preserve">whether the observed difference reflects actual biased enforcement on behalf of chairmen as opposed to speakers voluntarily cutting their speeches short in anticipation of biased enforcement. In the latter scenario, copartisans could theoretically gain an </w:t>
      </w:r>
      <w:r w:rsidRPr="000D6A72">
        <w:t xml:space="preserve">advantage solely by anticipating more lenient rule enforcement, even if rules are in fact enforced equally. The effect could even arise from a hybrid scenario in which non-verbal signals from the chairman such as body language cause non-copartisan MP’s to </w:t>
      </w:r>
      <w:r w:rsidRPr="000D6A72">
        <w:t>censor their remarks. The possibility of self-censorship remains an important caveat.</w:t>
      </w:r>
    </w:p>
    <w:p w:rsidR="00B4413F" w:rsidRPr="000D6A72" w:rsidRDefault="006D7C04" w:rsidP="000D6A72">
      <w:r w:rsidRPr="000D6A72">
        <w:t>Second, and theoretically perhaps most crucially, the design cannot identify the motivational basis of the observed effect. In the introduction, we presented two competin</w:t>
      </w:r>
      <w:r w:rsidRPr="000D6A72">
        <w:t>g perspectives on biased rule enforcement. The first, which we have called the social identity perspective, construes bias as operating largely implicitly, based on the enforcers identification with a socially salient ingroup. The second, which have called</w:t>
      </w:r>
      <w:r w:rsidRPr="000D6A72">
        <w:t xml:space="preserve"> the partisan governance perspective, construes bias as motivated by a strategic wish to favor members of one’s own coalition.</w:t>
      </w:r>
    </w:p>
    <w:p w:rsidR="00B4413F" w:rsidRPr="000D6A72" w:rsidRDefault="006D7C04" w:rsidP="000D6A72">
      <w:r w:rsidRPr="000D6A72">
        <w:t xml:space="preserve">The result that the observed effect of copartisanship is sharply diminished when restricting the sample to politically proximate </w:t>
      </w:r>
      <w:r w:rsidRPr="000D6A72">
        <w:t>speakers suggests that political distance is an important moderator. All else equal, this speaks in favor of the partisan governance perspective. At the same time, political parties as well as political blocs simultaneously structure political interests an</w:t>
      </w:r>
      <w:r w:rsidRPr="000D6A72">
        <w:t>d group socialization. For this reason, the observational design of this study cannot fully disentangle these two mechanisms.</w:t>
      </w:r>
    </w:p>
    <w:p w:rsidR="00B4413F" w:rsidRPr="000D6A72" w:rsidRDefault="006D7C04" w:rsidP="000D6A72">
      <w:r w:rsidRPr="000D6A72">
        <w:t>To be sure, this theoretical distinction is not necessarily a perfectly exclusive one: biased behavior may reflect a murky combina</w:t>
      </w:r>
      <w:r w:rsidRPr="000D6A72">
        <w:t>tion of strategic and implicit motives. Still, the distinction is too important to gloss over. A promising avenue for future research is thus to find ways to distinguish more clearly which of the two mechanisms dominate. In a broader sense, future research</w:t>
      </w:r>
      <w:r w:rsidRPr="000D6A72">
        <w:t xml:space="preserve"> would do well to examine </w:t>
      </w:r>
      <w:r w:rsidRPr="000D6A72">
        <w:lastRenderedPageBreak/>
        <w:t>other ways in which psychological phenomena, replicated in laboratory studies many times over, manifest themselves in political behavior observable in natural settings.</w:t>
      </w:r>
    </w:p>
    <w:p w:rsidR="005A765A" w:rsidRPr="00882A7F" w:rsidRDefault="005A765A">
      <w:pPr>
        <w:spacing w:before="0" w:after="200" w:line="240" w:lineRule="auto"/>
        <w:jc w:val="left"/>
      </w:pPr>
      <w:r>
        <w:br w:type="page"/>
      </w:r>
    </w:p>
    <w:p w:rsidR="00B4413F" w:rsidRPr="00882A7F" w:rsidRDefault="001E702D" w:rsidP="005A765A">
      <w:pPr>
        <w:pStyle w:val="Overskrift1"/>
        <w:jc w:val="left"/>
      </w:pPr>
      <w:r w:rsidRPr="00882A7F">
        <w:lastRenderedPageBreak/>
        <w:t>Acknowledgments</w:t>
      </w:r>
    </w:p>
    <w:p w:rsidR="005A765A" w:rsidRDefault="00882A7F" w:rsidP="00695A7E">
      <w:bookmarkStart w:id="16" w:name="appendix"/>
      <w:bookmarkEnd w:id="16"/>
      <w:r w:rsidRPr="00882A7F">
        <w:t xml:space="preserve">The author wishes to thank </w:t>
      </w:r>
      <w:r w:rsidRPr="00882A7F">
        <w:t xml:space="preserve">Michael Lewis-Beck, Peter </w:t>
      </w:r>
      <w:r>
        <w:t xml:space="preserve">Thisted Dinesen, </w:t>
      </w:r>
      <w:r w:rsidRPr="00882A7F">
        <w:rPr>
          <w:highlight w:val="yellow"/>
        </w:rPr>
        <w:t>XXX</w:t>
      </w:r>
      <w:r w:rsidRPr="00882A7F">
        <w:t>, and</w:t>
      </w:r>
      <w:r>
        <w:t xml:space="preserve"> </w:t>
      </w:r>
      <w:r w:rsidRPr="00882A7F">
        <w:t>the anonymous reviewers for their helpful comments.</w:t>
      </w:r>
      <w:r w:rsidR="005A765A" w:rsidRPr="00882A7F">
        <w:br w:type="page"/>
      </w:r>
    </w:p>
    <w:p w:rsidR="00695A7E" w:rsidRDefault="00695A7E" w:rsidP="00695A7E">
      <w:pPr>
        <w:pStyle w:val="Overskrift1"/>
      </w:pPr>
      <w:r>
        <w:lastRenderedPageBreak/>
        <w:t>Author's Note</w:t>
      </w:r>
    </w:p>
    <w:p w:rsidR="00695A7E" w:rsidRPr="00695A7E" w:rsidRDefault="00695A7E" w:rsidP="00695A7E">
      <w:r w:rsidRPr="00695A7E">
        <w:t>Replication materials for the present analyses can be found at</w:t>
      </w:r>
      <w:r>
        <w:t xml:space="preserve"> .</w:t>
      </w:r>
    </w:p>
    <w:p w:rsidR="00695A7E" w:rsidRDefault="00695A7E">
      <w:pPr>
        <w:spacing w:before="0" w:after="200" w:line="240" w:lineRule="auto"/>
        <w:jc w:val="left"/>
        <w:rPr>
          <w:rFonts w:eastAsiaTheme="majorEastAsia" w:cstheme="majorBidi"/>
          <w:b/>
          <w:bCs/>
          <w:sz w:val="32"/>
          <w:szCs w:val="32"/>
        </w:rPr>
      </w:pPr>
      <w:r>
        <w:br w:type="page"/>
      </w:r>
    </w:p>
    <w:p w:rsidR="00B4413F" w:rsidRPr="000D6A72" w:rsidRDefault="006D7C04" w:rsidP="000D6A72">
      <w:pPr>
        <w:pStyle w:val="Overskrift1"/>
      </w:pPr>
      <w:r w:rsidRPr="000D6A72">
        <w:lastRenderedPageBreak/>
        <w:t>Appendix</w:t>
      </w:r>
    </w:p>
    <w:p w:rsidR="00B4413F" w:rsidRPr="000D6A72" w:rsidRDefault="00875DB2" w:rsidP="000D6A72">
      <w:pPr>
        <w:pStyle w:val="Overskrift2"/>
      </w:pPr>
      <w:bookmarkStart w:id="17" w:name="approbust"/>
      <w:bookmarkEnd w:id="17"/>
      <w:r>
        <w:t xml:space="preserve">A1: </w:t>
      </w:r>
      <w:r w:rsidR="006D7C04" w:rsidRPr="000D6A72">
        <w:t>Robustness checks of main results</w:t>
      </w:r>
    </w:p>
    <w:p w:rsidR="00B4413F" w:rsidRDefault="006D7C04" w:rsidP="000D6A72">
      <w:r w:rsidRPr="000D6A72">
        <w:t xml:space="preserve">Here we present additional robustness checks of the main results. Table </w:t>
      </w:r>
      <w:r w:rsidR="009B440D">
        <w:t>5</w:t>
      </w:r>
      <w:r w:rsidRPr="000D6A72">
        <w:t xml:space="preserve"> presents results restricting the sample to remarks given by members of parties in the parliamentary leadership (i.e., the five bigg</w:t>
      </w:r>
      <w:r w:rsidRPr="000D6A72">
        <w:t>est parties by number of seats).</w:t>
      </w:r>
    </w:p>
    <w:p w:rsidR="00940A4D" w:rsidRPr="000D6A72" w:rsidRDefault="00940A4D" w:rsidP="00940A4D">
      <w:pPr>
        <w:jc w:val="center"/>
      </w:pPr>
      <w:r w:rsidRPr="000D6A72">
        <w:t>[</w:t>
      </w:r>
      <w:r>
        <w:t xml:space="preserve">Table </w:t>
      </w:r>
      <w:r>
        <w:t>5</w:t>
      </w:r>
      <w:r>
        <w:t xml:space="preserve"> around here</w:t>
      </w:r>
      <w:r w:rsidRPr="000D6A72">
        <w:t>]</w:t>
      </w:r>
    </w:p>
    <w:p w:rsidR="00B4413F" w:rsidRPr="000D6A72" w:rsidRDefault="006D7C04" w:rsidP="000D6A72">
      <w:r w:rsidRPr="000D6A72">
        <w:t xml:space="preserve">Table </w:t>
      </w:r>
      <w:r w:rsidR="009B440D">
        <w:t>6</w:t>
      </w:r>
      <w:r w:rsidRPr="000D6A72">
        <w:t xml:space="preserve"> presents the main results excluding brief remarks given by the sitting PM. Note that all analyses cover only brief remarks, so formal speeches given by the PM are excluded to begin with. Here we e</w:t>
      </w:r>
      <w:r w:rsidRPr="000D6A72">
        <w:t xml:space="preserve">xcludes brief remarks given by the PM in their capacity of also being an MP. These remarks are relatively rare, accounting for only 377 remarks or about 6 percent. A potential concern could be that the results are confounded by appearances by the PM, whom </w:t>
      </w:r>
      <w:r w:rsidRPr="000D6A72">
        <w:t xml:space="preserve">the chair might show extra deference to. As shown in Table </w:t>
      </w:r>
      <w:r w:rsidR="009B440D">
        <w:t>6</w:t>
      </w:r>
      <w:r w:rsidRPr="000D6A72">
        <w:t>, the results are robust to excluding PM remarks.</w:t>
      </w:r>
    </w:p>
    <w:p w:rsidR="00940A4D" w:rsidRPr="000D6A72" w:rsidRDefault="00940A4D" w:rsidP="00940A4D">
      <w:pPr>
        <w:jc w:val="center"/>
      </w:pPr>
      <w:r w:rsidRPr="000D6A72">
        <w:t>[</w:t>
      </w:r>
      <w:r>
        <w:t xml:space="preserve">Table </w:t>
      </w:r>
      <w:r>
        <w:t>6</w:t>
      </w:r>
      <w:r>
        <w:t xml:space="preserve"> around here</w:t>
      </w:r>
      <w:r w:rsidRPr="000D6A72">
        <w:t>]</w:t>
      </w:r>
    </w:p>
    <w:p w:rsidR="00B4413F" w:rsidRDefault="006D7C04" w:rsidP="000D6A72">
      <w:r w:rsidRPr="000D6A72">
        <w:t xml:space="preserve">Table </w:t>
      </w:r>
      <w:r w:rsidR="009B440D">
        <w:t>7</w:t>
      </w:r>
      <w:r w:rsidRPr="000D6A72">
        <w:t xml:space="preserve"> presents the main results adding fixed effects for individual debates. Note that since each debate co</w:t>
      </w:r>
      <w:r w:rsidRPr="000D6A72">
        <w:t>vers several issues, debate fixed effects should not be interpreted as holding issue content constant.</w:t>
      </w:r>
    </w:p>
    <w:p w:rsidR="00940A4D" w:rsidRPr="000D6A72" w:rsidRDefault="00940A4D" w:rsidP="00940A4D">
      <w:pPr>
        <w:jc w:val="center"/>
      </w:pPr>
      <w:r w:rsidRPr="000D6A72">
        <w:t>[</w:t>
      </w:r>
      <w:r>
        <w:t xml:space="preserve">Table </w:t>
      </w:r>
      <w:r>
        <w:t>7</w:t>
      </w:r>
      <w:r>
        <w:t xml:space="preserve"> around here</w:t>
      </w:r>
      <w:r w:rsidRPr="000D6A72">
        <w:t>]</w:t>
      </w:r>
    </w:p>
    <w:p w:rsidR="00B4413F" w:rsidRPr="000D6A72" w:rsidRDefault="00875DB2" w:rsidP="000D6A72">
      <w:pPr>
        <w:pStyle w:val="Overskrift2"/>
      </w:pPr>
      <w:bookmarkStart w:id="18" w:name="appact"/>
      <w:bookmarkEnd w:id="18"/>
      <w:r>
        <w:lastRenderedPageBreak/>
        <w:t xml:space="preserve">A2: </w:t>
      </w:r>
      <w:r w:rsidR="006D7C04" w:rsidRPr="000D6A72">
        <w:t>Predicting chairman activity</w:t>
      </w:r>
    </w:p>
    <w:p w:rsidR="00B4413F" w:rsidRPr="000D6A72" w:rsidRDefault="006D7C04" w:rsidP="000D6A72">
      <w:r w:rsidRPr="000D6A72">
        <w:t>Here we present results from regression models predicting how many debates chairpersons control. The key result from these m</w:t>
      </w:r>
      <w:r w:rsidRPr="000D6A72">
        <w:t>odels is that the main predictor of number of debates controlled is how long a chairperson has been a member of the leadership. There is an additional small premium for being the head chairperson, which likely reflects the fact that by convention, the pres</w:t>
      </w:r>
      <w:r w:rsidRPr="000D6A72">
        <w:t>ident always takes the first shift controlling a debate. In contrast, number of seats has no significant association.</w:t>
      </w:r>
    </w:p>
    <w:p w:rsidR="00B4413F" w:rsidRPr="000D6A72" w:rsidRDefault="006D7C04" w:rsidP="000D6A72">
      <w:r w:rsidRPr="000D6A72">
        <w:t>Table 1 shows that the main determinant of the number of remarks enforced by a chairmen is chairman’s tenure, i.e. for how many debates he</w:t>
      </w:r>
      <w:r w:rsidRPr="000D6A72">
        <w:t xml:space="preserve"> or she was in the leadership. In contrast, party seat share is uncorrelated with activity. The results complement the qualitative evidence from correspondence with the parliament leadership that chairperson activity is largely driven by ’supply-side’ fact</w:t>
      </w:r>
      <w:r w:rsidRPr="000D6A72">
        <w:t>ors, i.e. chairpersons’ availability on the day of the debate, and not by party specific factors such as their parliamentary power.</w:t>
      </w:r>
    </w:p>
    <w:p w:rsidR="00B4413F" w:rsidRPr="000D6A72" w:rsidRDefault="00875DB2" w:rsidP="000D6A72">
      <w:pPr>
        <w:pStyle w:val="Overskrift2"/>
      </w:pPr>
      <w:bookmarkStart w:id="19" w:name="appchairranef"/>
      <w:bookmarkEnd w:id="19"/>
      <w:r>
        <w:t xml:space="preserve">A3: </w:t>
      </w:r>
      <w:r w:rsidR="006D7C04" w:rsidRPr="000D6A72">
        <w:t>Effect heterogeneity across parties and chairmen</w:t>
      </w:r>
    </w:p>
    <w:p w:rsidR="00B4413F" w:rsidRPr="000D6A72" w:rsidRDefault="006D7C04" w:rsidP="000D6A72">
      <w:r w:rsidRPr="000D6A72">
        <w:t xml:space="preserve">Here we assess the heterogeneity of the observed effect across parties and </w:t>
      </w:r>
      <w:r w:rsidRPr="000D6A72">
        <w:t>individual chairmen. In both cases, estimates are drawn from a random effects model corresponding to model 3 in Table 2 where we have allowed the slope of the copartisanship variable to vary by either parties or individual chairmen.</w:t>
      </w:r>
    </w:p>
    <w:p w:rsidR="00B4413F" w:rsidRPr="000D6A72" w:rsidRDefault="006D7C04" w:rsidP="000D6A72">
      <w:r w:rsidRPr="000D6A72">
        <w:t xml:space="preserve">Figure </w:t>
      </w:r>
      <w:r w:rsidR="009B440D">
        <w:t>4</w:t>
      </w:r>
      <w:r w:rsidRPr="000D6A72">
        <w:t xml:space="preserve"> pr</w:t>
      </w:r>
      <w:r w:rsidRPr="000D6A72">
        <w:t>esents effect heterogeneity across chairmen’s parties.</w:t>
      </w:r>
    </w:p>
    <w:p w:rsidR="00B4413F" w:rsidRPr="000D6A72" w:rsidRDefault="006D7C04" w:rsidP="009B440D">
      <w:pPr>
        <w:jc w:val="center"/>
      </w:pPr>
      <w:r w:rsidRPr="000D6A72">
        <w:t>[</w:t>
      </w:r>
      <w:r w:rsidR="009B440D">
        <w:t>Figure 4 around here</w:t>
      </w:r>
      <w:r w:rsidRPr="000D6A72">
        <w:t>]</w:t>
      </w:r>
    </w:p>
    <w:p w:rsidR="00B4413F" w:rsidRPr="000D6A72" w:rsidRDefault="006D7C04" w:rsidP="000D6A72">
      <w:r w:rsidRPr="000D6A72">
        <w:t xml:space="preserve">Figure </w:t>
      </w:r>
      <w:r w:rsidR="009B440D">
        <w:t>5</w:t>
      </w:r>
      <w:r w:rsidRPr="000D6A72">
        <w:t xml:space="preserve"> presents effect heterogeneity across individual chairmen.</w:t>
      </w:r>
    </w:p>
    <w:p w:rsidR="009B440D" w:rsidRPr="000D6A72" w:rsidRDefault="009B440D" w:rsidP="009B440D">
      <w:pPr>
        <w:jc w:val="center"/>
      </w:pPr>
      <w:r w:rsidRPr="000D6A72">
        <w:t>[</w:t>
      </w:r>
      <w:r>
        <w:t xml:space="preserve">Figure </w:t>
      </w:r>
      <w:r>
        <w:t>5</w:t>
      </w:r>
      <w:r>
        <w:t xml:space="preserve"> around here</w:t>
      </w:r>
      <w:r w:rsidRPr="000D6A72">
        <w:t>]</w:t>
      </w:r>
    </w:p>
    <w:p w:rsidR="000D6A72" w:rsidRDefault="000D6A72">
      <w:pPr>
        <w:spacing w:before="0" w:after="200" w:line="240" w:lineRule="auto"/>
        <w:jc w:val="left"/>
      </w:pPr>
      <w:r>
        <w:lastRenderedPageBreak/>
        <w:br w:type="page"/>
      </w:r>
    </w:p>
    <w:p w:rsidR="000D6A72" w:rsidRDefault="000D6A72" w:rsidP="000D6A72">
      <w:pPr>
        <w:pStyle w:val="Overskrift1"/>
      </w:pPr>
      <w:r>
        <w:lastRenderedPageBreak/>
        <w:t>References</w:t>
      </w:r>
    </w:p>
    <w:p w:rsidR="00B4413F" w:rsidRPr="00516F1A" w:rsidRDefault="006D7C04" w:rsidP="00516F1A">
      <w:pPr>
        <w:pStyle w:val="Bibliografi"/>
      </w:pPr>
      <w:r w:rsidRPr="00516F1A">
        <w:t xml:space="preserve">Abrams, Dominic, and Michael A. Hogg. 1990. </w:t>
      </w:r>
      <w:r w:rsidRPr="00516F1A">
        <w:t>Social identity theory: Constructive and critical a</w:t>
      </w:r>
      <w:r w:rsidRPr="00516F1A">
        <w:t>dvances.</w:t>
      </w:r>
      <w:r w:rsidRPr="00516F1A">
        <w:t xml:space="preserve"> New York: Springer-</w:t>
      </w:r>
      <w:proofErr w:type="spellStart"/>
      <w:r w:rsidRPr="00516F1A">
        <w:t>Verlag</w:t>
      </w:r>
      <w:proofErr w:type="spellEnd"/>
      <w:r w:rsidRPr="00516F1A">
        <w:t>.</w:t>
      </w:r>
    </w:p>
    <w:p w:rsidR="00B4413F" w:rsidRPr="00516F1A" w:rsidRDefault="006D7C04" w:rsidP="00516F1A">
      <w:pPr>
        <w:pStyle w:val="Bibliografi"/>
      </w:pPr>
      <w:proofErr w:type="spellStart"/>
      <w:r w:rsidRPr="00516F1A">
        <w:t>Antonovics</w:t>
      </w:r>
      <w:proofErr w:type="spellEnd"/>
      <w:r w:rsidRPr="00516F1A">
        <w:t xml:space="preserve">, Kate, and Brian G Knight. 2009. “A New Look at Racial Profiling: Evidence from the Boston Police Department.” </w:t>
      </w:r>
      <w:r w:rsidRPr="00516F1A">
        <w:t>Review of Economics and Statistics</w:t>
      </w:r>
      <w:r w:rsidRPr="00516F1A">
        <w:t xml:space="preserve"> 91 (1). The MIT Press: 163–77. doi:</w:t>
      </w:r>
      <w:hyperlink r:id="rId10">
        <w:r w:rsidRPr="00516F1A">
          <w:rPr>
            <w:rStyle w:val="Link"/>
            <w:color w:val="auto"/>
          </w:rPr>
          <w:t>10.1162/rest.91.1.163</w:t>
        </w:r>
      </w:hyperlink>
      <w:r w:rsidRPr="00516F1A">
        <w:t>.</w:t>
      </w:r>
    </w:p>
    <w:p w:rsidR="00B4413F" w:rsidRPr="00516F1A" w:rsidRDefault="006D7C04" w:rsidP="00516F1A">
      <w:pPr>
        <w:pStyle w:val="Bibliografi"/>
      </w:pPr>
      <w:r w:rsidRPr="00516F1A">
        <w:t xml:space="preserve">Anwar, S., P. Bayer, and R. </w:t>
      </w:r>
      <w:proofErr w:type="spellStart"/>
      <w:r w:rsidRPr="00516F1A">
        <w:t>Hjalmarsson</w:t>
      </w:r>
      <w:proofErr w:type="spellEnd"/>
      <w:r w:rsidRPr="00516F1A">
        <w:t xml:space="preserve">. 2012. “The Impact of Jury Race in Criminal Trials.” </w:t>
      </w:r>
      <w:r w:rsidRPr="00516F1A">
        <w:t>The Quarterly Journal of Economics</w:t>
      </w:r>
      <w:r w:rsidRPr="00516F1A">
        <w:t xml:space="preserve"> 127 (2). Oxford University Press: 1017–55. doi:</w:t>
      </w:r>
      <w:hyperlink r:id="rId11">
        <w:r w:rsidRPr="00516F1A">
          <w:rPr>
            <w:rStyle w:val="Link"/>
            <w:color w:val="auto"/>
          </w:rPr>
          <w:t>10.1093/</w:t>
        </w:r>
        <w:proofErr w:type="spellStart"/>
        <w:r w:rsidRPr="00516F1A">
          <w:rPr>
            <w:rStyle w:val="Link"/>
            <w:color w:val="auto"/>
          </w:rPr>
          <w:t>qje</w:t>
        </w:r>
        <w:proofErr w:type="spellEnd"/>
        <w:r w:rsidRPr="00516F1A">
          <w:rPr>
            <w:rStyle w:val="Link"/>
            <w:color w:val="auto"/>
          </w:rPr>
          <w:t>/qjs014</w:t>
        </w:r>
      </w:hyperlink>
      <w:r w:rsidRPr="00516F1A">
        <w:t>.</w:t>
      </w:r>
    </w:p>
    <w:p w:rsidR="00B4413F" w:rsidRPr="00516F1A" w:rsidRDefault="006D7C04" w:rsidP="00516F1A">
      <w:pPr>
        <w:pStyle w:val="Bibliografi"/>
      </w:pPr>
      <w:r w:rsidRPr="00516F1A">
        <w:t xml:space="preserve">Brewer, Marilynn B. 1979. “In-group bias in the minimal intergroup situation: A cognitive-motivational analysis.” </w:t>
      </w:r>
      <w:r w:rsidRPr="00516F1A">
        <w:t>Psychological Bulletin</w:t>
      </w:r>
      <w:r w:rsidRPr="00516F1A">
        <w:t xml:space="preserve"> 86 (2): 307–24.</w:t>
      </w:r>
    </w:p>
    <w:p w:rsidR="00B4413F" w:rsidRPr="00516F1A" w:rsidRDefault="006D7C04" w:rsidP="00516F1A">
      <w:pPr>
        <w:pStyle w:val="Bibliografi"/>
      </w:pPr>
      <w:r w:rsidRPr="00516F1A">
        <w:t xml:space="preserve">Brown, Rupert. 2000. “Social </w:t>
      </w:r>
      <w:r w:rsidRPr="00516F1A">
        <w:t xml:space="preserve">identity theory: past achievements, current problems and future challenges.” </w:t>
      </w:r>
      <w:r w:rsidRPr="00516F1A">
        <w:t>European Journal of Social Psychology</w:t>
      </w:r>
      <w:r w:rsidRPr="00516F1A">
        <w:t xml:space="preserve"> 30 (6): 745–78. doi:</w:t>
      </w:r>
      <w:hyperlink r:id="rId12">
        <w:r w:rsidRPr="00516F1A">
          <w:rPr>
            <w:rStyle w:val="Link"/>
            <w:color w:val="auto"/>
          </w:rPr>
          <w:t>10.1002/1099-0992(200011</w:t>
        </w:r>
        <w:r w:rsidRPr="00516F1A">
          <w:rPr>
            <w:rStyle w:val="Link"/>
            <w:color w:val="auto"/>
          </w:rPr>
          <w:t>/12)30:6&lt;745::AID-EJSP24&gt;3.0.CO;2-O</w:t>
        </w:r>
      </w:hyperlink>
      <w:r w:rsidRPr="00516F1A">
        <w:t>.</w:t>
      </w:r>
    </w:p>
    <w:p w:rsidR="00B4413F" w:rsidRPr="00516F1A" w:rsidRDefault="006D7C04" w:rsidP="00516F1A">
      <w:pPr>
        <w:pStyle w:val="Bibliografi"/>
      </w:pPr>
      <w:r w:rsidRPr="00516F1A">
        <w:t xml:space="preserve">Butler, Daniel M., and David E. </w:t>
      </w:r>
      <w:proofErr w:type="spellStart"/>
      <w:r w:rsidRPr="00516F1A">
        <w:t>Broockman</w:t>
      </w:r>
      <w:proofErr w:type="spellEnd"/>
      <w:r w:rsidRPr="00516F1A">
        <w:t xml:space="preserve">. 2011. “Do Politicians Racially Discriminate Against Constituents? A Field Experiment on State Legislators.” </w:t>
      </w:r>
      <w:r w:rsidRPr="00516F1A">
        <w:t>American Journal of Political Science</w:t>
      </w:r>
      <w:r w:rsidRPr="00516F1A">
        <w:t xml:space="preserve"> 55 (3): 463–77. doi:</w:t>
      </w:r>
      <w:hyperlink r:id="rId13">
        <w:r w:rsidRPr="00516F1A">
          <w:rPr>
            <w:rStyle w:val="Link"/>
            <w:color w:val="auto"/>
          </w:rPr>
          <w:t>10.1111/j.1540-5907.2011.00515.x</w:t>
        </w:r>
      </w:hyperlink>
      <w:r w:rsidRPr="00516F1A">
        <w:t>.</w:t>
      </w:r>
    </w:p>
    <w:p w:rsidR="00B4413F" w:rsidRPr="00516F1A" w:rsidRDefault="006D7C04" w:rsidP="00516F1A">
      <w:pPr>
        <w:pStyle w:val="Bibliografi"/>
      </w:pPr>
      <w:r w:rsidRPr="00516F1A">
        <w:t xml:space="preserve">Chen, Yan, and Sherry Xin Li. 2009. “Group Identity and Social Preferences.” </w:t>
      </w:r>
      <w:r w:rsidRPr="00516F1A">
        <w:t>The American Economic Review</w:t>
      </w:r>
      <w:r w:rsidRPr="00516F1A">
        <w:t xml:space="preserve"> 99 (1). American Economic Association: 27. </w:t>
      </w:r>
      <w:proofErr w:type="spellStart"/>
      <w:r w:rsidRPr="00516F1A">
        <w:t>doi</w:t>
      </w:r>
      <w:proofErr w:type="spellEnd"/>
      <w:r w:rsidRPr="00516F1A">
        <w:t>:</w:t>
      </w:r>
      <w:hyperlink r:id="rId14">
        <w:r w:rsidRPr="00516F1A">
          <w:rPr>
            <w:rStyle w:val="Link"/>
            <w:color w:val="auto"/>
          </w:rPr>
          <w:t>&lt;a href="http://dx.doi.org/10.1257/aer.99.1.431"&gt;http://dx.doi.org/10.1257/aer.99.1.431&lt;/a&gt;</w:t>
        </w:r>
      </w:hyperlink>
      <w:r w:rsidRPr="00516F1A">
        <w:t>.</w:t>
      </w:r>
    </w:p>
    <w:p w:rsidR="00B4413F" w:rsidRPr="00516F1A" w:rsidRDefault="006D7C04" w:rsidP="00516F1A">
      <w:pPr>
        <w:pStyle w:val="Bibliografi"/>
      </w:pPr>
      <w:r w:rsidRPr="00516F1A">
        <w:lastRenderedPageBreak/>
        <w:t xml:space="preserve">Cohen, J. 1992. “A power primer.” </w:t>
      </w:r>
      <w:r w:rsidRPr="00516F1A">
        <w:t>Psychol</w:t>
      </w:r>
      <w:r w:rsidRPr="00516F1A">
        <w:t>ogical Bulletin</w:t>
      </w:r>
      <w:r w:rsidRPr="00516F1A">
        <w:t xml:space="preserve"> 112 (1): 155–9. </w:t>
      </w:r>
      <w:hyperlink r:id="rId15">
        <w:r w:rsidRPr="00516F1A">
          <w:rPr>
            <w:rStyle w:val="Link"/>
            <w:color w:val="auto"/>
          </w:rPr>
          <w:t>http://www.ncbi.nlm.nih.gov/pubmed/19565683</w:t>
        </w:r>
      </w:hyperlink>
      <w:r w:rsidRPr="00516F1A">
        <w:t>.</w:t>
      </w:r>
    </w:p>
    <w:p w:rsidR="00B4413F" w:rsidRPr="00516F1A" w:rsidRDefault="006D7C04" w:rsidP="00516F1A">
      <w:pPr>
        <w:pStyle w:val="Bibliografi"/>
      </w:pPr>
      <w:r w:rsidRPr="00516F1A">
        <w:t xml:space="preserve">Dahlberg, </w:t>
      </w:r>
      <w:proofErr w:type="spellStart"/>
      <w:r w:rsidRPr="00516F1A">
        <w:t>Matz</w:t>
      </w:r>
      <w:proofErr w:type="spellEnd"/>
      <w:r w:rsidRPr="00516F1A">
        <w:t xml:space="preserve">, and Eva Johansson. 2002. “On the Vote-Purchasing Behavior of Incumbent Governments.” </w:t>
      </w:r>
      <w:r w:rsidRPr="00516F1A">
        <w:t>American Politi</w:t>
      </w:r>
      <w:r w:rsidRPr="00516F1A">
        <w:t>cal Science Review</w:t>
      </w:r>
      <w:r w:rsidRPr="00516F1A">
        <w:t xml:space="preserve"> 96 (01). Cambridge </w:t>
      </w:r>
      <w:proofErr w:type="spellStart"/>
      <w:r w:rsidRPr="00516F1A">
        <w:t>Univ</w:t>
      </w:r>
      <w:proofErr w:type="spellEnd"/>
      <w:r w:rsidRPr="00516F1A">
        <w:t xml:space="preserve"> Press: 27–40. doi:</w:t>
      </w:r>
      <w:hyperlink r:id="rId16">
        <w:r w:rsidRPr="00516F1A">
          <w:rPr>
            <w:rStyle w:val="Link"/>
            <w:color w:val="auto"/>
          </w:rPr>
          <w:t>10.1017/S0003055402004215</w:t>
        </w:r>
      </w:hyperlink>
      <w:r w:rsidRPr="00516F1A">
        <w:t>.</w:t>
      </w:r>
    </w:p>
    <w:p w:rsidR="00B4413F" w:rsidRPr="00516F1A" w:rsidRDefault="006D7C04" w:rsidP="00516F1A">
      <w:pPr>
        <w:pStyle w:val="Bibliografi"/>
      </w:pPr>
      <w:r w:rsidRPr="00516F1A">
        <w:t xml:space="preserve">Donohue, John J., and Steven D. Levitt. 2001. “The Impact of Race on Policing and Arrests*.” </w:t>
      </w:r>
      <w:r w:rsidRPr="00516F1A">
        <w:t>The Journal of Law and Economics</w:t>
      </w:r>
      <w:r w:rsidRPr="00516F1A">
        <w:t xml:space="preserve"> 44 (2). The University of Chicago Press: 367–94. doi:</w:t>
      </w:r>
      <w:hyperlink r:id="rId17">
        <w:r w:rsidRPr="00516F1A">
          <w:rPr>
            <w:rStyle w:val="Link"/>
            <w:color w:val="auto"/>
          </w:rPr>
          <w:t>10.1086/322810</w:t>
        </w:r>
      </w:hyperlink>
      <w:r w:rsidRPr="00516F1A">
        <w:t>.</w:t>
      </w:r>
    </w:p>
    <w:p w:rsidR="00B4413F" w:rsidRPr="00516F1A" w:rsidRDefault="006D7C04" w:rsidP="00516F1A">
      <w:pPr>
        <w:pStyle w:val="Bibliografi"/>
      </w:pPr>
      <w:r w:rsidRPr="00516F1A">
        <w:t>Dunning, Thad. 2007. “Improving Causal Inference: Strengths and Limitations of Natural Experiments.” J</w:t>
      </w:r>
      <w:r w:rsidRPr="00516F1A">
        <w:t xml:space="preserve">ournal article. </w:t>
      </w:r>
      <w:r w:rsidRPr="00516F1A">
        <w:t>Political Research Quarterly</w:t>
      </w:r>
      <w:r w:rsidRPr="00516F1A">
        <w:t xml:space="preserve"> 61 (2): 1065912907306470–293. doi:</w:t>
      </w:r>
      <w:hyperlink r:id="rId18">
        <w:r w:rsidRPr="00516F1A">
          <w:rPr>
            <w:rStyle w:val="Link"/>
            <w:color w:val="auto"/>
          </w:rPr>
          <w:t>10.1177/1065912907306470</w:t>
        </w:r>
      </w:hyperlink>
      <w:r w:rsidRPr="00516F1A">
        <w:t>.</w:t>
      </w:r>
    </w:p>
    <w:p w:rsidR="00B4413F" w:rsidRPr="00516F1A" w:rsidRDefault="006D7C04" w:rsidP="00516F1A">
      <w:pPr>
        <w:pStyle w:val="Bibliografi"/>
      </w:pPr>
      <w:proofErr w:type="spellStart"/>
      <w:r w:rsidRPr="00516F1A">
        <w:t>Esaiasson</w:t>
      </w:r>
      <w:proofErr w:type="spellEnd"/>
      <w:r w:rsidRPr="00516F1A">
        <w:t xml:space="preserve">, Peter, and Knut </w:t>
      </w:r>
      <w:proofErr w:type="spellStart"/>
      <w:r w:rsidRPr="00516F1A">
        <w:t>Heidar</w:t>
      </w:r>
      <w:proofErr w:type="spellEnd"/>
      <w:r w:rsidRPr="00516F1A">
        <w:t xml:space="preserve">. 2000. </w:t>
      </w:r>
      <w:r w:rsidRPr="00516F1A">
        <w:t>Beyond Westminster and Congress: The Nordic Expe</w:t>
      </w:r>
      <w:r w:rsidRPr="00516F1A">
        <w:t>rience</w:t>
      </w:r>
      <w:r w:rsidRPr="00516F1A">
        <w:t xml:space="preserve">. Columbus, OH: Ohio State University Press. </w:t>
      </w:r>
      <w:hyperlink r:id="rId19">
        <w:r w:rsidRPr="00516F1A">
          <w:rPr>
            <w:rStyle w:val="Link"/>
            <w:color w:val="auto"/>
          </w:rPr>
          <w:t>http://www.google.dk/books?id={\_}3GJ8eWDXn0C{\&amp;}pgis=1</w:t>
        </w:r>
      </w:hyperlink>
      <w:r w:rsidRPr="00516F1A">
        <w:t>.</w:t>
      </w:r>
    </w:p>
    <w:p w:rsidR="00B4413F" w:rsidRPr="00516F1A" w:rsidRDefault="006D7C04" w:rsidP="00516F1A">
      <w:pPr>
        <w:pStyle w:val="Bibliografi"/>
      </w:pPr>
      <w:r w:rsidRPr="00516F1A">
        <w:t xml:space="preserve">Gallagher, Michael, Peter </w:t>
      </w:r>
      <w:proofErr w:type="spellStart"/>
      <w:r w:rsidRPr="00516F1A">
        <w:t>Mair</w:t>
      </w:r>
      <w:proofErr w:type="spellEnd"/>
      <w:r w:rsidRPr="00516F1A">
        <w:t xml:space="preserve">, and Michael Laver. 2005. </w:t>
      </w:r>
      <w:r w:rsidRPr="00516F1A">
        <w:t>Representative</w:t>
      </w:r>
      <w:r w:rsidRPr="00516F1A">
        <w:t xml:space="preserve"> Government in Modern Europe</w:t>
      </w:r>
      <w:r w:rsidRPr="00516F1A">
        <w:t xml:space="preserve">. Book. 4th ed. McGraw-Hill Humanities/Social Sciences/Languages. </w:t>
      </w:r>
    </w:p>
    <w:p w:rsidR="00B4413F" w:rsidRPr="00516F1A" w:rsidRDefault="006D7C04" w:rsidP="00516F1A">
      <w:pPr>
        <w:pStyle w:val="Bibliografi"/>
      </w:pPr>
      <w:r w:rsidRPr="00516F1A">
        <w:t xml:space="preserve">Gordon, Sanford C. 2009. “Assessing Partisan Bias in Federal Public Corruption Prosecutions.” </w:t>
      </w:r>
      <w:r w:rsidRPr="00516F1A">
        <w:t>American Political Science Review</w:t>
      </w:r>
      <w:r w:rsidRPr="00516F1A">
        <w:t xml:space="preserve"> 103 (04): 534. doi:</w:t>
      </w:r>
      <w:hyperlink r:id="rId20">
        <w:r w:rsidRPr="00516F1A">
          <w:rPr>
            <w:rStyle w:val="Link"/>
            <w:color w:val="auto"/>
          </w:rPr>
          <w:t>10.1017/S0003055409990207</w:t>
        </w:r>
      </w:hyperlink>
      <w:r w:rsidRPr="00516F1A">
        <w:t>.</w:t>
      </w:r>
    </w:p>
    <w:p w:rsidR="00B4413F" w:rsidRPr="00516F1A" w:rsidRDefault="006D7C04" w:rsidP="00516F1A">
      <w:pPr>
        <w:pStyle w:val="Bibliografi"/>
      </w:pPr>
      <w:r w:rsidRPr="00516F1A">
        <w:lastRenderedPageBreak/>
        <w:t xml:space="preserve">Green-Pedersen, Christoffer, and Lisbeth Hoffmann Thomsen. 2005. “Bloc Politics vs. Broad Cooperation? The functioning of Danish minority </w:t>
      </w:r>
      <w:proofErr w:type="spellStart"/>
      <w:r w:rsidRPr="00516F1A">
        <w:t>parliamentarism</w:t>
      </w:r>
      <w:proofErr w:type="spellEnd"/>
      <w:r w:rsidRPr="00516F1A">
        <w:t xml:space="preserve">.” </w:t>
      </w:r>
      <w:r w:rsidRPr="00516F1A">
        <w:t xml:space="preserve">The Journal </w:t>
      </w:r>
      <w:r w:rsidRPr="00516F1A">
        <w:t>of Legislative Studies</w:t>
      </w:r>
      <w:r w:rsidRPr="00516F1A">
        <w:t xml:space="preserve"> 11 (2). Routledge: 153–69. doi:</w:t>
      </w:r>
      <w:hyperlink r:id="rId21">
        <w:r w:rsidRPr="00516F1A">
          <w:rPr>
            <w:rStyle w:val="Link"/>
            <w:color w:val="auto"/>
          </w:rPr>
          <w:t>10.1080/13572330500158581</w:t>
        </w:r>
      </w:hyperlink>
      <w:r w:rsidRPr="00516F1A">
        <w:t>.</w:t>
      </w:r>
    </w:p>
    <w:p w:rsidR="00B4413F" w:rsidRPr="00516F1A" w:rsidRDefault="006D7C04" w:rsidP="00516F1A">
      <w:pPr>
        <w:pStyle w:val="Bibliografi"/>
      </w:pPr>
      <w:proofErr w:type="spellStart"/>
      <w:r w:rsidRPr="00516F1A">
        <w:t>Habyarimana</w:t>
      </w:r>
      <w:proofErr w:type="spellEnd"/>
      <w:r w:rsidRPr="00516F1A">
        <w:t xml:space="preserve">, James, </w:t>
      </w:r>
      <w:proofErr w:type="spellStart"/>
      <w:r w:rsidRPr="00516F1A">
        <w:t>Macartan</w:t>
      </w:r>
      <w:proofErr w:type="spellEnd"/>
      <w:r w:rsidRPr="00516F1A">
        <w:t xml:space="preserve"> Humphreys, Daniel N. Posner, and Jeremy M. Weinstein. 2007. “Why Does Ethnic Divers</w:t>
      </w:r>
      <w:r w:rsidRPr="00516F1A">
        <w:t xml:space="preserve">ity Undermine Public Goods Provision?” </w:t>
      </w:r>
      <w:r w:rsidRPr="00516F1A">
        <w:t>American Political Science Review</w:t>
      </w:r>
      <w:r w:rsidRPr="00516F1A">
        <w:t xml:space="preserve"> 101 (04). doi:</w:t>
      </w:r>
      <w:hyperlink r:id="rId22">
        <w:r w:rsidRPr="00516F1A">
          <w:rPr>
            <w:rStyle w:val="Link"/>
            <w:color w:val="auto"/>
          </w:rPr>
          <w:t>10.1017/S0003055407070499</w:t>
        </w:r>
      </w:hyperlink>
      <w:r w:rsidRPr="00516F1A">
        <w:t>.</w:t>
      </w:r>
    </w:p>
    <w:p w:rsidR="00B4413F" w:rsidRPr="00516F1A" w:rsidRDefault="006D7C04" w:rsidP="00516F1A">
      <w:pPr>
        <w:pStyle w:val="Bibliografi"/>
      </w:pPr>
      <w:proofErr w:type="spellStart"/>
      <w:r w:rsidRPr="00516F1A">
        <w:t>Hewstone</w:t>
      </w:r>
      <w:proofErr w:type="spellEnd"/>
      <w:r w:rsidRPr="00516F1A">
        <w:t xml:space="preserve">, Miles, Mark Rubin, and Hazel Willis. 2002. “Intergroup bias.” </w:t>
      </w:r>
      <w:r w:rsidRPr="00516F1A">
        <w:t xml:space="preserve">Annual </w:t>
      </w:r>
      <w:r w:rsidRPr="00516F1A">
        <w:t>Review of Psychology</w:t>
      </w:r>
      <w:r w:rsidRPr="00516F1A">
        <w:t xml:space="preserve"> 53 (January). Annual Reviews 4139 El Camino Way, P.O. Box 10139, Palo Alto, CA 94303-0139, USA: 575–604. doi:</w:t>
      </w:r>
      <w:hyperlink r:id="rId23">
        <w:r w:rsidRPr="00516F1A">
          <w:rPr>
            <w:rStyle w:val="Link"/>
            <w:color w:val="auto"/>
          </w:rPr>
          <w:t>10.1146/annurev.psych.53.100901.135109</w:t>
        </w:r>
      </w:hyperlink>
      <w:r w:rsidRPr="00516F1A">
        <w:t>.</w:t>
      </w:r>
    </w:p>
    <w:p w:rsidR="00B4413F" w:rsidRPr="00516F1A" w:rsidRDefault="006D7C04" w:rsidP="00516F1A">
      <w:pPr>
        <w:pStyle w:val="Bibliografi"/>
      </w:pPr>
      <w:r w:rsidRPr="00516F1A">
        <w:t>King, Gary</w:t>
      </w:r>
      <w:r w:rsidRPr="00516F1A">
        <w:t xml:space="preserve">. 2011. “Ensuring the data-rich future of the social sciences.” </w:t>
      </w:r>
      <w:r w:rsidRPr="00516F1A">
        <w:t>Science (New York, N.Y.)</w:t>
      </w:r>
      <w:r w:rsidRPr="00516F1A">
        <w:t xml:space="preserve"> 331 (6018): 719–21. doi:</w:t>
      </w:r>
      <w:hyperlink r:id="rId24">
        <w:r w:rsidRPr="00516F1A">
          <w:rPr>
            <w:rStyle w:val="Link"/>
            <w:color w:val="auto"/>
          </w:rPr>
          <w:t>10.1126/science.1197872</w:t>
        </w:r>
      </w:hyperlink>
      <w:r w:rsidRPr="00516F1A">
        <w:t>.</w:t>
      </w:r>
    </w:p>
    <w:p w:rsidR="00B4413F" w:rsidRPr="00516F1A" w:rsidRDefault="006D7C04" w:rsidP="00516F1A">
      <w:pPr>
        <w:pStyle w:val="Bibliografi"/>
      </w:pPr>
      <w:proofErr w:type="spellStart"/>
      <w:r w:rsidRPr="00516F1A">
        <w:t>Larcinese</w:t>
      </w:r>
      <w:proofErr w:type="spellEnd"/>
      <w:r w:rsidRPr="00516F1A">
        <w:t xml:space="preserve">, Valentino, </w:t>
      </w:r>
      <w:proofErr w:type="spellStart"/>
      <w:r w:rsidRPr="00516F1A">
        <w:t>Leonzio</w:t>
      </w:r>
      <w:proofErr w:type="spellEnd"/>
      <w:r w:rsidRPr="00516F1A">
        <w:t xml:space="preserve"> Rizzo, and Cecilia </w:t>
      </w:r>
      <w:proofErr w:type="spellStart"/>
      <w:r w:rsidRPr="00516F1A">
        <w:t>Testa</w:t>
      </w:r>
      <w:proofErr w:type="spellEnd"/>
      <w:r w:rsidRPr="00516F1A">
        <w:t>. 2</w:t>
      </w:r>
      <w:r w:rsidRPr="00516F1A">
        <w:t xml:space="preserve">008. “Allocating the U.S. Federal Budget to the States: The Impact of the President.” </w:t>
      </w:r>
      <w:r w:rsidRPr="00516F1A">
        <w:t>The Journal of Politics</w:t>
      </w:r>
      <w:r w:rsidRPr="00516F1A">
        <w:t xml:space="preserve"> 68 (02). doi:</w:t>
      </w:r>
      <w:hyperlink r:id="rId25">
        <w:r w:rsidRPr="00516F1A">
          <w:rPr>
            <w:rStyle w:val="Link"/>
            <w:color w:val="auto"/>
          </w:rPr>
          <w:t>10.1111/j.1468-2508.2006.00419.x</w:t>
        </w:r>
      </w:hyperlink>
      <w:r w:rsidRPr="00516F1A">
        <w:t>.</w:t>
      </w:r>
    </w:p>
    <w:p w:rsidR="00B4413F" w:rsidRPr="00516F1A" w:rsidRDefault="006D7C04" w:rsidP="00516F1A">
      <w:pPr>
        <w:pStyle w:val="Bibliografi"/>
      </w:pPr>
      <w:r w:rsidRPr="00516F1A">
        <w:t>Levy, Jack. 2008. “Case Studi</w:t>
      </w:r>
      <w:r w:rsidRPr="00516F1A">
        <w:t xml:space="preserve">es: Types, Designs, and Logics of Inference.” </w:t>
      </w:r>
      <w:r w:rsidRPr="00516F1A">
        <w:t>Conflict Management and Peace Science</w:t>
      </w:r>
      <w:r w:rsidRPr="00516F1A">
        <w:t xml:space="preserve"> 25 (1). Routledge: 1–18. doi:</w:t>
      </w:r>
      <w:hyperlink r:id="rId26">
        <w:r w:rsidRPr="00516F1A">
          <w:rPr>
            <w:rStyle w:val="Link"/>
            <w:color w:val="auto"/>
          </w:rPr>
          <w:t>10.1080/07388940701860318</w:t>
        </w:r>
      </w:hyperlink>
      <w:r w:rsidRPr="00516F1A">
        <w:t>.</w:t>
      </w:r>
    </w:p>
    <w:p w:rsidR="00B4413F" w:rsidRPr="00516F1A" w:rsidRDefault="006D7C04" w:rsidP="00516F1A">
      <w:pPr>
        <w:pStyle w:val="Bibliografi"/>
      </w:pPr>
      <w:proofErr w:type="spellStart"/>
      <w:r w:rsidRPr="00516F1A">
        <w:t>Lijphart</w:t>
      </w:r>
      <w:proofErr w:type="spellEnd"/>
      <w:r w:rsidRPr="00516F1A">
        <w:t xml:space="preserve">, </w:t>
      </w:r>
      <w:proofErr w:type="spellStart"/>
      <w:r w:rsidRPr="00516F1A">
        <w:t>Arend</w:t>
      </w:r>
      <w:proofErr w:type="spellEnd"/>
      <w:r w:rsidRPr="00516F1A">
        <w:t xml:space="preserve">. 1999. “Patterns of Democracy.” </w:t>
      </w:r>
      <w:r w:rsidRPr="00516F1A">
        <w:t xml:space="preserve">Yale </w:t>
      </w:r>
      <w:r w:rsidRPr="00516F1A">
        <w:t>University Press</w:t>
      </w:r>
      <w:r w:rsidRPr="00516F1A">
        <w:t xml:space="preserve">, 143–70. </w:t>
      </w:r>
      <w:hyperlink r:id="rId27">
        <w:r w:rsidRPr="00516F1A">
          <w:rPr>
            <w:rStyle w:val="Link"/>
            <w:color w:val="auto"/>
          </w:rPr>
          <w:t>http://digamo.free.fr/lijphart99.pdf</w:t>
        </w:r>
      </w:hyperlink>
      <w:r w:rsidRPr="00516F1A">
        <w:t>.</w:t>
      </w:r>
    </w:p>
    <w:p w:rsidR="00B4413F" w:rsidRPr="00516F1A" w:rsidRDefault="006D7C04" w:rsidP="00516F1A">
      <w:pPr>
        <w:pStyle w:val="Bibliografi"/>
      </w:pPr>
      <w:r w:rsidRPr="00516F1A">
        <w:t xml:space="preserve">Martin, Lanny W., and Georg </w:t>
      </w:r>
      <w:proofErr w:type="spellStart"/>
      <w:r w:rsidRPr="00516F1A">
        <w:t>Vanberg</w:t>
      </w:r>
      <w:proofErr w:type="spellEnd"/>
      <w:r w:rsidRPr="00516F1A">
        <w:t xml:space="preserve">. 2008. “Coalition Government and Political Communication.” Journal article. </w:t>
      </w:r>
      <w:r w:rsidRPr="00516F1A">
        <w:t>Political Research Quart</w:t>
      </w:r>
      <w:r w:rsidRPr="00516F1A">
        <w:t>erly</w:t>
      </w:r>
      <w:r w:rsidRPr="00516F1A">
        <w:t xml:space="preserve"> 61 (3): 502–16. doi:</w:t>
      </w:r>
      <w:hyperlink r:id="rId28">
        <w:r w:rsidRPr="00516F1A">
          <w:rPr>
            <w:rStyle w:val="Link"/>
            <w:color w:val="auto"/>
          </w:rPr>
          <w:t>10.1177/1065912907308348</w:t>
        </w:r>
      </w:hyperlink>
      <w:r w:rsidRPr="00516F1A">
        <w:t>.</w:t>
      </w:r>
    </w:p>
    <w:p w:rsidR="00B4413F" w:rsidRPr="00516F1A" w:rsidRDefault="006D7C04" w:rsidP="00516F1A">
      <w:pPr>
        <w:pStyle w:val="Bibliografi"/>
      </w:pPr>
      <w:r w:rsidRPr="00516F1A">
        <w:lastRenderedPageBreak/>
        <w:t xml:space="preserve">Price, J., and J. </w:t>
      </w:r>
      <w:proofErr w:type="spellStart"/>
      <w:r w:rsidRPr="00516F1A">
        <w:t>Wolfers</w:t>
      </w:r>
      <w:proofErr w:type="spellEnd"/>
      <w:r w:rsidRPr="00516F1A">
        <w:t xml:space="preserve">. 2010. “Racial Discrimination Among NBA Referees.” </w:t>
      </w:r>
      <w:r w:rsidRPr="00516F1A">
        <w:t>The Quarterly Journal of Economics</w:t>
      </w:r>
      <w:r w:rsidRPr="00516F1A">
        <w:t xml:space="preserve"> 125 (4). Oxford University Pres</w:t>
      </w:r>
      <w:r w:rsidRPr="00516F1A">
        <w:t>s: 1859–87. doi:</w:t>
      </w:r>
      <w:hyperlink r:id="rId29">
        <w:r w:rsidRPr="00516F1A">
          <w:rPr>
            <w:rStyle w:val="Link"/>
            <w:color w:val="auto"/>
          </w:rPr>
          <w:t>10.1162/qjec.2010.125.4.1859</w:t>
        </w:r>
      </w:hyperlink>
      <w:r w:rsidRPr="00516F1A">
        <w:t>.</w:t>
      </w:r>
    </w:p>
    <w:p w:rsidR="00B07A91" w:rsidRPr="00516F1A" w:rsidRDefault="006D7C04" w:rsidP="00516F1A">
      <w:pPr>
        <w:pStyle w:val="Bibliografi"/>
      </w:pPr>
      <w:r w:rsidRPr="00516F1A">
        <w:t xml:space="preserve">R Core Team, R. 2013. “R: A Language and Environment for Statistical Computing.” Edited by R Development Core Team. </w:t>
      </w:r>
      <w:r w:rsidRPr="00516F1A">
        <w:t>R Foundation for Statistical</w:t>
      </w:r>
      <w:r w:rsidRPr="00516F1A">
        <w:t xml:space="preserve"> Computing</w:t>
      </w:r>
      <w:r w:rsidRPr="00516F1A">
        <w:t xml:space="preserve">. </w:t>
      </w:r>
    </w:p>
    <w:p w:rsidR="00B4413F" w:rsidRPr="00516F1A" w:rsidRDefault="006D7C04" w:rsidP="00516F1A">
      <w:pPr>
        <w:pStyle w:val="Bibliografi"/>
      </w:pPr>
      <w:proofErr w:type="spellStart"/>
      <w:r w:rsidRPr="00516F1A">
        <w:t>Stratmann</w:t>
      </w:r>
      <w:proofErr w:type="spellEnd"/>
      <w:r w:rsidRPr="00516F1A">
        <w:t xml:space="preserve">, Thomas, and Martin </w:t>
      </w:r>
      <w:proofErr w:type="spellStart"/>
      <w:r w:rsidRPr="00516F1A">
        <w:t>Baur</w:t>
      </w:r>
      <w:proofErr w:type="spellEnd"/>
      <w:r w:rsidRPr="00516F1A">
        <w:t xml:space="preserve">. 2002. “Plurality Rule, Proportional Representation, and the German Bundestag: How Incentives to Pork-Barrel Differ Across Electoral Systems.” </w:t>
      </w:r>
      <w:r w:rsidRPr="00516F1A">
        <w:t>American Journal of Political Science</w:t>
      </w:r>
      <w:r w:rsidRPr="00516F1A">
        <w:t xml:space="preserve">, </w:t>
      </w:r>
      <w:proofErr w:type="spellStart"/>
      <w:r w:rsidRPr="00516F1A">
        <w:t>CESifo</w:t>
      </w:r>
      <w:proofErr w:type="spellEnd"/>
      <w:r w:rsidRPr="00516F1A">
        <w:t xml:space="preserve"> working papers, 46 (3): 506–14. </w:t>
      </w:r>
      <w:hyperlink r:id="rId30">
        <w:r w:rsidRPr="00516F1A">
          <w:rPr>
            <w:rStyle w:val="Link"/>
            <w:color w:val="auto"/>
          </w:rPr>
          <w:t>http://papers.ssrn.com/abstract=301069</w:t>
        </w:r>
      </w:hyperlink>
      <w:r w:rsidRPr="00516F1A">
        <w:t>.</w:t>
      </w:r>
    </w:p>
    <w:p w:rsidR="00B4413F" w:rsidRPr="00516F1A" w:rsidRDefault="006D7C04" w:rsidP="00516F1A">
      <w:pPr>
        <w:pStyle w:val="Bibliografi"/>
      </w:pPr>
      <w:r w:rsidRPr="00516F1A">
        <w:t xml:space="preserve">Stubager, Rune, Kasper Møller Hansen, and </w:t>
      </w:r>
      <w:proofErr w:type="spellStart"/>
      <w:r w:rsidRPr="00516F1A">
        <w:t>Jørgen</w:t>
      </w:r>
      <w:proofErr w:type="spellEnd"/>
      <w:r w:rsidRPr="00516F1A">
        <w:t xml:space="preserve"> </w:t>
      </w:r>
      <w:proofErr w:type="spellStart"/>
      <w:r w:rsidRPr="00516F1A">
        <w:t>Goul</w:t>
      </w:r>
      <w:proofErr w:type="spellEnd"/>
      <w:r w:rsidRPr="00516F1A">
        <w:t xml:space="preserve"> Andersen. 2013. </w:t>
      </w:r>
      <w:proofErr w:type="spellStart"/>
      <w:r w:rsidRPr="00516F1A">
        <w:t>Krisevalg</w:t>
      </w:r>
      <w:proofErr w:type="spellEnd"/>
      <w:r w:rsidRPr="00516F1A">
        <w:t xml:space="preserve">. </w:t>
      </w:r>
      <w:proofErr w:type="spellStart"/>
      <w:r w:rsidRPr="00516F1A">
        <w:t>Økonomien</w:t>
      </w:r>
      <w:proofErr w:type="spellEnd"/>
      <w:r w:rsidRPr="00516F1A">
        <w:t xml:space="preserve"> og </w:t>
      </w:r>
      <w:proofErr w:type="spellStart"/>
      <w:r w:rsidRPr="00516F1A">
        <w:t>folketingsvalget</w:t>
      </w:r>
      <w:proofErr w:type="spellEnd"/>
      <w:r w:rsidRPr="00516F1A">
        <w:t xml:space="preserve"> 2011</w:t>
      </w:r>
      <w:r w:rsidRPr="00516F1A">
        <w:t xml:space="preserve">. </w:t>
      </w:r>
      <w:proofErr w:type="spellStart"/>
      <w:r w:rsidRPr="00516F1A">
        <w:t>København</w:t>
      </w:r>
      <w:proofErr w:type="spellEnd"/>
      <w:r w:rsidRPr="00516F1A">
        <w:t xml:space="preserve">: Jurist- og </w:t>
      </w:r>
      <w:proofErr w:type="spellStart"/>
      <w:r w:rsidRPr="00516F1A">
        <w:t>Økonomforbundets</w:t>
      </w:r>
      <w:proofErr w:type="spellEnd"/>
      <w:r w:rsidRPr="00516F1A">
        <w:t xml:space="preserve"> </w:t>
      </w:r>
      <w:proofErr w:type="spellStart"/>
      <w:r w:rsidRPr="00516F1A">
        <w:t>Fo</w:t>
      </w:r>
      <w:r w:rsidRPr="00516F1A">
        <w:t>rlag</w:t>
      </w:r>
      <w:proofErr w:type="spellEnd"/>
      <w:r w:rsidRPr="00516F1A">
        <w:t>.</w:t>
      </w:r>
    </w:p>
    <w:p w:rsidR="00B4413F" w:rsidRPr="00516F1A" w:rsidRDefault="006D7C04" w:rsidP="00516F1A">
      <w:pPr>
        <w:pStyle w:val="Bibliografi"/>
      </w:pPr>
      <w:proofErr w:type="spellStart"/>
      <w:r w:rsidRPr="00516F1A">
        <w:t>Tajfel</w:t>
      </w:r>
      <w:proofErr w:type="spellEnd"/>
      <w:r w:rsidRPr="00516F1A">
        <w:t xml:space="preserve">, H., and J. C. Turner. 1986. “The social identity theory of intergroup behavior.” Book part (with own title). In, edited by S. </w:t>
      </w:r>
      <w:proofErr w:type="spellStart"/>
      <w:r w:rsidRPr="00516F1A">
        <w:t>Worchel</w:t>
      </w:r>
      <w:proofErr w:type="spellEnd"/>
      <w:r w:rsidRPr="00516F1A">
        <w:t xml:space="preserve"> and W. G. Austin, 7–24. Nelson-Hall Publishers.</w:t>
      </w:r>
    </w:p>
    <w:p w:rsidR="00B4413F" w:rsidRPr="00516F1A" w:rsidRDefault="006D7C04" w:rsidP="00516F1A">
      <w:pPr>
        <w:pStyle w:val="Bibliografi"/>
      </w:pPr>
      <w:proofErr w:type="spellStart"/>
      <w:r w:rsidRPr="00516F1A">
        <w:t>Tajfel</w:t>
      </w:r>
      <w:proofErr w:type="spellEnd"/>
      <w:r w:rsidRPr="00516F1A">
        <w:t xml:space="preserve">, Henri, and J C Turner. 1979. “An integrative theory </w:t>
      </w:r>
      <w:r w:rsidRPr="00516F1A">
        <w:t xml:space="preserve">of intergroup conflict.” Book chapter/section. In </w:t>
      </w:r>
      <w:r w:rsidRPr="00516F1A">
        <w:t>Differentiation Between Social Groups: Studies in the Social Psychology of Intergroup Relations</w:t>
      </w:r>
      <w:r w:rsidRPr="00516F1A">
        <w:t xml:space="preserve">, edited by W G Austin and S </w:t>
      </w:r>
      <w:proofErr w:type="spellStart"/>
      <w:r w:rsidRPr="00516F1A">
        <w:t>Worchel</w:t>
      </w:r>
      <w:proofErr w:type="spellEnd"/>
      <w:r w:rsidRPr="00516F1A">
        <w:t>, 33–47. Brooks/Cole.</w:t>
      </w:r>
    </w:p>
    <w:p w:rsidR="0081213B" w:rsidRPr="00516F1A" w:rsidRDefault="006D7C04" w:rsidP="00516F1A">
      <w:pPr>
        <w:pStyle w:val="Bibliografi"/>
      </w:pPr>
      <w:proofErr w:type="spellStart"/>
      <w:r w:rsidRPr="00516F1A">
        <w:t>Treisman</w:t>
      </w:r>
      <w:proofErr w:type="spellEnd"/>
      <w:r w:rsidRPr="00516F1A">
        <w:t xml:space="preserve">, Daniel. 2000. “The causes of corruption: a </w:t>
      </w:r>
      <w:r w:rsidRPr="00516F1A">
        <w:t xml:space="preserve">cross-national study.” </w:t>
      </w:r>
      <w:r w:rsidRPr="00516F1A">
        <w:t>Journal of Public Economics</w:t>
      </w:r>
      <w:r w:rsidRPr="00516F1A">
        <w:t xml:space="preserve"> 76 (3): 399–457. doi:</w:t>
      </w:r>
      <w:hyperlink r:id="rId31">
        <w:r w:rsidRPr="00516F1A">
          <w:rPr>
            <w:rStyle w:val="Link"/>
            <w:color w:val="auto"/>
          </w:rPr>
          <w:t>10.1016/S0047-2727(99)00092-4</w:t>
        </w:r>
      </w:hyperlink>
      <w:r w:rsidRPr="00516F1A">
        <w:t>.</w:t>
      </w:r>
    </w:p>
    <w:p w:rsidR="00BE1804" w:rsidRDefault="0081213B">
      <w:pPr>
        <w:spacing w:before="0" w:after="200" w:line="240" w:lineRule="auto"/>
        <w:jc w:val="left"/>
      </w:pPr>
      <w:r>
        <w:br w:type="page"/>
      </w:r>
    </w:p>
    <w:p w:rsidR="00BE1804" w:rsidRDefault="00BE1804" w:rsidP="00BE1804">
      <w:pPr>
        <w:pStyle w:val="Overskrift1"/>
      </w:pPr>
      <w:r>
        <w:lastRenderedPageBreak/>
        <w:t>Tables</w:t>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highlight w:val="yellow"/>
          <w:lang w:eastAsia="da-DK"/>
        </w:rPr>
      </w:pPr>
      <w:r w:rsidRPr="00FF2220">
        <w:rPr>
          <w:rFonts w:eastAsia="Times New Roman"/>
          <w:b/>
          <w:bCs/>
          <w:highlight w:val="yellow"/>
          <w:lang w:eastAsia="da-DK"/>
        </w:rPr>
        <w:t xml:space="preserve">Table 1: </w:t>
      </w:r>
      <w:r w:rsidRPr="00FF2220">
        <w:rPr>
          <w:rFonts w:eastAsia="Times New Roman"/>
          <w:highlight w:val="yellow"/>
          <w:lang w:eastAsia="da-DK"/>
        </w:rPr>
        <w:t>Types of speeches in opening and closing debates in the Folketing</w:t>
      </w:r>
    </w:p>
    <w:tbl>
      <w:tblPr>
        <w:tblW w:w="0" w:type="auto"/>
        <w:jc w:val="center"/>
        <w:tblCellSpacing w:w="0" w:type="dxa"/>
        <w:tblCellMar>
          <w:left w:w="0" w:type="dxa"/>
          <w:right w:w="0" w:type="dxa"/>
        </w:tblCellMar>
        <w:tblLook w:val="04A0" w:firstRow="1" w:lastRow="0" w:firstColumn="1" w:lastColumn="0" w:noHBand="0" w:noVBand="1"/>
      </w:tblPr>
      <w:tblGrid>
        <w:gridCol w:w="2247"/>
        <w:gridCol w:w="1440"/>
        <w:gridCol w:w="1753"/>
        <w:gridCol w:w="2353"/>
      </w:tblGrid>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eastAsia="da-DK"/>
              </w:rPr>
            </w:pPr>
          </w:p>
        </w:tc>
      </w:tr>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highlight w:val="yellow"/>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2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2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2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28"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r w:rsidRPr="00FF2220">
              <w:rPr>
                <w:rFonts w:eastAsia="Times New Roman"/>
                <w:highlight w:val="yellow"/>
                <w:lang w:val="da-DK" w:eastAsia="da-DK"/>
              </w:rPr>
              <w:t>Type</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proofErr w:type="spellStart"/>
            <w:r w:rsidRPr="00FF2220">
              <w:rPr>
                <w:rFonts w:eastAsia="Times New Roman"/>
                <w:highlight w:val="yellow"/>
                <w:lang w:val="da-DK" w:eastAsia="da-DK"/>
              </w:rPr>
              <w:t>Number</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proofErr w:type="spellStart"/>
            <w:r w:rsidRPr="00FF2220">
              <w:rPr>
                <w:rFonts w:eastAsia="Times New Roman"/>
                <w:highlight w:val="yellow"/>
                <w:lang w:val="da-DK" w:eastAsia="da-DK"/>
              </w:rPr>
              <w:t>Share</w:t>
            </w:r>
            <w:proofErr w:type="spellEnd"/>
            <w:r w:rsidRPr="00FF2220">
              <w:rPr>
                <w:rFonts w:eastAsia="Times New Roman"/>
                <w:highlight w:val="yellow"/>
                <w:lang w:val="da-DK" w:eastAsia="da-DK"/>
              </w:rPr>
              <w:t xml:space="preserve"> (</w:t>
            </w:r>
            <w:proofErr w:type="spellStart"/>
            <w:r w:rsidRPr="00FF2220">
              <w:rPr>
                <w:rFonts w:eastAsia="Times New Roman"/>
                <w:highlight w:val="yellow"/>
                <w:lang w:val="da-DK" w:eastAsia="da-DK"/>
              </w:rPr>
              <w:t>numeric</w:t>
            </w:r>
            <w:proofErr w:type="spellEnd"/>
            <w:r w:rsidRPr="00FF2220">
              <w:rPr>
                <w:rFonts w:eastAsia="Times New Roman"/>
                <w:highlight w:val="yellow"/>
                <w:lang w:val="da-DK" w:eastAsia="da-DK"/>
              </w:rPr>
              <w:t>)</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proofErr w:type="spellStart"/>
            <w:r w:rsidRPr="00FF2220">
              <w:rPr>
                <w:rFonts w:eastAsia="Times New Roman"/>
                <w:highlight w:val="yellow"/>
                <w:lang w:val="da-DK" w:eastAsia="da-DK"/>
              </w:rPr>
              <w:t>Share</w:t>
            </w:r>
            <w:proofErr w:type="spellEnd"/>
            <w:r w:rsidRPr="00FF2220">
              <w:rPr>
                <w:rFonts w:eastAsia="Times New Roman"/>
                <w:highlight w:val="yellow"/>
                <w:lang w:val="da-DK" w:eastAsia="da-DK"/>
              </w:rPr>
              <w:t xml:space="preserve"> (time-</w:t>
            </w:r>
            <w:proofErr w:type="spellStart"/>
            <w:r w:rsidRPr="00FF2220">
              <w:rPr>
                <w:rFonts w:eastAsia="Times New Roman"/>
                <w:highlight w:val="yellow"/>
                <w:lang w:val="da-DK" w:eastAsia="da-DK"/>
              </w:rPr>
              <w:t>weighted</w:t>
            </w:r>
            <w:proofErr w:type="spellEnd"/>
            <w:r w:rsidRPr="00FF2220">
              <w:rPr>
                <w:rFonts w:eastAsia="Times New Roman"/>
                <w:highlight w:val="yellow"/>
                <w:lang w:val="da-DK" w:eastAsia="da-DK"/>
              </w:rPr>
              <w:t>)</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2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2"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highlight w:val="yellow"/>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r w:rsidRPr="00FF2220">
              <w:rPr>
                <w:rFonts w:eastAsia="Times New Roman"/>
                <w:highlight w:val="yellow"/>
                <w:lang w:val="da-DK" w:eastAsia="da-DK"/>
              </w:rPr>
              <w:t xml:space="preserve">Brief </w:t>
            </w:r>
            <w:proofErr w:type="spellStart"/>
            <w:r w:rsidRPr="00FF2220">
              <w:rPr>
                <w:rFonts w:eastAsia="Times New Roman"/>
                <w:highlight w:val="yellow"/>
                <w:lang w:val="da-DK" w:eastAsia="da-DK"/>
              </w:rPr>
              <w:t>remark</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95.74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82.4</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r w:rsidRPr="00FF2220">
              <w:rPr>
                <w:rFonts w:eastAsia="Times New Roman"/>
                <w:highlight w:val="yellow"/>
                <w:lang w:val="da-DK" w:eastAsia="da-DK"/>
              </w:rPr>
              <w:t>PM speech</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14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0.23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2.3</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proofErr w:type="spellStart"/>
            <w:r w:rsidRPr="00FF2220">
              <w:rPr>
                <w:rFonts w:eastAsia="Times New Roman"/>
                <w:highlight w:val="yellow"/>
                <w:lang w:val="da-DK" w:eastAsia="da-DK"/>
              </w:rPr>
              <w:t>Spokesperson</w:t>
            </w:r>
            <w:proofErr w:type="spellEnd"/>
            <w:r w:rsidRPr="00FF2220">
              <w:rPr>
                <w:rFonts w:eastAsia="Times New Roman"/>
                <w:highlight w:val="yellow"/>
                <w:lang w:val="da-DK" w:eastAsia="da-DK"/>
              </w:rPr>
              <w:t xml:space="preserve"> speech</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144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2.40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15.0</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highlight w:val="yellow"/>
                <w:lang w:val="da-DK" w:eastAsia="da-DK"/>
              </w:rPr>
            </w:pPr>
            <w:r w:rsidRPr="00FF2220">
              <w:rPr>
                <w:rFonts w:eastAsia="Times New Roman"/>
                <w:highlight w:val="yellow"/>
                <w:lang w:val="da-DK" w:eastAsia="da-DK"/>
              </w:rPr>
              <w:t>Total</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6012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100.00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right"/>
              <w:rPr>
                <w:rFonts w:eastAsia="Times New Roman"/>
                <w:highlight w:val="yellow"/>
                <w:lang w:val="da-DK" w:eastAsia="da-DK"/>
              </w:rPr>
            </w:pPr>
            <w:r w:rsidRPr="00FF2220">
              <w:rPr>
                <w:rFonts w:eastAsia="Times New Roman"/>
                <w:highlight w:val="yellow"/>
                <w:lang w:val="da-DK" w:eastAsia="da-DK"/>
              </w:rPr>
              <w:t>100.0</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highlight w:val="yellow"/>
                <w:lang w:val="da-DK" w:eastAsia="da-DK"/>
              </w:rPr>
            </w:pPr>
            <w:r w:rsidRPr="00080169">
              <w:rPr>
                <w:rFonts w:eastAsia="Times New Roman"/>
                <w:highlight w:val="yellow"/>
                <w:lang w:val="da-DK" w:eastAsia="da-DK"/>
              </w:rPr>
              <w:pict>
                <v:rect id="_x0000_i103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highlight w:val="yellow"/>
                <w:lang w:val="da-DK" w:eastAsia="da-DK"/>
              </w:rPr>
              <w:pict>
                <v:rect id="_x0000_i104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2: </w:t>
      </w:r>
      <w:r w:rsidRPr="00080169">
        <w:rPr>
          <w:rFonts w:eastAsia="Times New Roman"/>
          <w:lang w:eastAsia="da-DK"/>
        </w:rPr>
        <w:t>OLS models of speaking time</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4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2"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51.81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25.14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25.33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33.27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8"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3: </w:t>
      </w:r>
      <w:r w:rsidRPr="00080169">
        <w:rPr>
          <w:rFonts w:eastAsia="Times New Roman"/>
          <w:lang w:eastAsia="da-DK"/>
        </w:rPr>
        <w:t>Logit models of exceeding standard speaking time</w:t>
      </w:r>
    </w:p>
    <w:tbl>
      <w:tblPr>
        <w:tblW w:w="0" w:type="auto"/>
        <w:jc w:val="center"/>
        <w:tblCellSpacing w:w="0" w:type="dxa"/>
        <w:tblCellMar>
          <w:left w:w="0" w:type="dxa"/>
          <w:right w:w="0" w:type="dxa"/>
        </w:tblCellMar>
        <w:tblLook w:val="04A0" w:firstRow="1" w:lastRow="0" w:firstColumn="1" w:lastColumn="0" w:noHBand="0" w:noVBand="1"/>
      </w:tblPr>
      <w:tblGrid>
        <w:gridCol w:w="2400"/>
        <w:gridCol w:w="1465"/>
        <w:gridCol w:w="1464"/>
        <w:gridCol w:w="1464"/>
        <w:gridCol w:w="1440"/>
        <w:gridCol w:w="1440"/>
      </w:tblGrid>
      <w:tr w:rsidR="00080169" w:rsidRPr="00080169" w:rsidTr="00634C33">
        <w:trPr>
          <w:gridAfter w:val="5"/>
          <w:trHeight w:val="31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5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4"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eastAsia="da-DK"/>
              </w:rPr>
            </w:pPr>
            <w:r w:rsidRPr="00BF08CF">
              <w:rPr>
                <w:rFonts w:eastAsia="Times New Roman"/>
                <w:lang w:eastAsia="da-DK"/>
              </w:rPr>
              <w:t>Dummy: speaking time exceeds 60 seconds</w:t>
            </w: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6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0.23</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0.20</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Time of </w:t>
            </w:r>
            <w:proofErr w:type="spellStart"/>
            <w:r w:rsidRPr="00BF08CF">
              <w:rPr>
                <w:rFonts w:eastAsia="Times New Roman"/>
                <w:lang w:val="da-DK" w:eastAsia="da-DK"/>
              </w:rPr>
              <w:t>day</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Gender</w:t>
            </w:r>
            <w:proofErr w:type="spellEnd"/>
            <w:r w:rsidRPr="00BF08CF">
              <w:rPr>
                <w:rFonts w:eastAsia="Times New Roman"/>
                <w:lang w:val="da-DK" w:eastAsia="da-DK"/>
              </w:rPr>
              <w:t xml:space="preserve"> (</w:t>
            </w:r>
            <w:proofErr w:type="spellStart"/>
            <w:r w:rsidRPr="00BF08CF">
              <w:rPr>
                <w:rFonts w:eastAsia="Times New Roman"/>
                <w:lang w:val="da-DK" w:eastAsia="da-DK"/>
              </w:rPr>
              <w:t>female</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0.16</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Debate</w:t>
            </w:r>
            <w:proofErr w:type="spellEnd"/>
            <w:r w:rsidRPr="00BF08CF">
              <w:rPr>
                <w:rFonts w:eastAsia="Times New Roman"/>
                <w:lang w:val="da-DK" w:eastAsia="da-DK"/>
              </w:rPr>
              <w:t xml:space="preserve"> type (</w:t>
            </w:r>
            <w:proofErr w:type="spellStart"/>
            <w:r w:rsidRPr="00BF08CF">
              <w:rPr>
                <w:rFonts w:eastAsia="Times New Roman"/>
                <w:lang w:val="da-DK" w:eastAsia="da-DK"/>
              </w:rPr>
              <w:t>Opening</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-0.60</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-0.69</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-3.17</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-2.89</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Log </w:t>
            </w:r>
            <w:proofErr w:type="spellStart"/>
            <w:r w:rsidRPr="00BF08CF">
              <w:rPr>
                <w:rFonts w:eastAsia="Times New Roman"/>
                <w:lang w:val="da-DK" w:eastAsia="da-DK"/>
              </w:rPr>
              <w:t>Likelihood</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-3,761.94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-3,679.05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-3,647.81</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AIC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7,538.78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7,540.66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7,533.87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7,386.10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7,337.63</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.1;</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.05;</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BF08CF" w:rsidRDefault="00080169" w:rsidP="00080169">
      <w:pPr>
        <w:spacing w:before="0" w:after="0" w:line="240" w:lineRule="auto"/>
        <w:jc w:val="center"/>
        <w:rPr>
          <w:rFonts w:eastAsia="Times New Roman"/>
          <w:lang w:val="da-DK" w:eastAsia="da-DK"/>
        </w:rPr>
      </w:pPr>
    </w:p>
    <w:p w:rsidR="00080169" w:rsidRPr="00BF08CF" w:rsidRDefault="00080169" w:rsidP="00080169">
      <w:pPr>
        <w:spacing w:before="0" w:after="200" w:line="240" w:lineRule="auto"/>
        <w:jc w:val="left"/>
        <w:rPr>
          <w:rFonts w:eastAsia="Times New Roman"/>
          <w:lang w:val="da-DK" w:eastAsia="da-DK"/>
        </w:rPr>
      </w:pPr>
      <w:r w:rsidRPr="00BF08CF">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4: </w:t>
      </w:r>
      <w:r w:rsidRPr="00080169">
        <w:rPr>
          <w:rFonts w:eastAsia="Times New Roman"/>
          <w:lang w:eastAsia="da-DK"/>
        </w:rPr>
        <w:t>Tests of political moderators</w:t>
      </w:r>
    </w:p>
    <w:tbl>
      <w:tblPr>
        <w:tblW w:w="0" w:type="auto"/>
        <w:jc w:val="center"/>
        <w:tblCellSpacing w:w="0" w:type="dxa"/>
        <w:tblCellMar>
          <w:left w:w="0" w:type="dxa"/>
          <w:right w:w="0" w:type="dxa"/>
        </w:tblCellMar>
        <w:tblLook w:val="04A0" w:firstRow="1" w:lastRow="0" w:firstColumn="1" w:lastColumn="0" w:noHBand="0" w:noVBand="1"/>
      </w:tblPr>
      <w:tblGrid>
        <w:gridCol w:w="2178"/>
        <w:gridCol w:w="1779"/>
        <w:gridCol w:w="2188"/>
        <w:gridCol w:w="2248"/>
        <w:gridCol w:w="1779"/>
      </w:tblGrid>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7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Full</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w:t>
            </w:r>
            <w:proofErr w:type="spellStart"/>
            <w:r w:rsidRPr="00080169">
              <w:rPr>
                <w:rFonts w:eastAsia="Times New Roman"/>
                <w:lang w:val="da-DK" w:eastAsia="da-DK"/>
              </w:rPr>
              <w:t>int</w:t>
            </w:r>
            <w:proofErr w:type="spellEnd"/>
            <w:r w:rsidRPr="00080169">
              <w:rPr>
                <w:rFonts w:eastAsia="Times New Roman"/>
                <w:lang w:val="da-DK" w:eastAsia="da-DK"/>
              </w:rPr>
              <w:t>.)</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(ord.)</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Same bloc</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59.71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60.40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(4.49)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2,853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2,950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149.17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240.26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8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5: </w:t>
      </w:r>
      <w:r w:rsidRPr="00080169">
        <w:rPr>
          <w:rFonts w:eastAsia="Times New Roman"/>
          <w:lang w:eastAsia="da-DK"/>
        </w:rPr>
        <w:t>Results for only members of leadership parties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09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52.02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52.51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52.35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58.26</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57.10</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22.08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28.01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177.16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267.66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0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6: </w:t>
      </w:r>
      <w:r w:rsidRPr="00080169">
        <w:rPr>
          <w:rFonts w:eastAsia="Times New Roman"/>
          <w:lang w:eastAsia="da-DK"/>
        </w:rPr>
        <w:t>Results excluding prime ministers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040EFC">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1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2.67</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1.39</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51.45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53.74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53.21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36.66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22.50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26.62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35.22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308.80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bookmarkStart w:id="20" w:name="_GoBack"/>
      <w:bookmarkEnd w:id="20"/>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7: </w:t>
      </w:r>
      <w:r w:rsidRPr="00080169">
        <w:rPr>
          <w:rFonts w:eastAsia="Times New Roman"/>
          <w:lang w:eastAsia="da-DK"/>
        </w:rPr>
        <w:t>Results with debate-specific fixed effects</w:t>
      </w:r>
    </w:p>
    <w:tbl>
      <w:tblPr>
        <w:tblW w:w="0" w:type="auto"/>
        <w:jc w:val="center"/>
        <w:tblCellSpacing w:w="0" w:type="dxa"/>
        <w:tblCellMar>
          <w:left w:w="0" w:type="dxa"/>
          <w:right w:w="0" w:type="dxa"/>
        </w:tblCellMar>
        <w:tblLook w:val="04A0" w:firstRow="1" w:lastRow="0" w:firstColumn="1" w:lastColumn="0" w:noHBand="0" w:noVBand="1"/>
      </w:tblPr>
      <w:tblGrid>
        <w:gridCol w:w="1632"/>
        <w:gridCol w:w="1708"/>
        <w:gridCol w:w="1708"/>
        <w:gridCol w:w="1708"/>
        <w:gridCol w:w="1708"/>
        <w:gridCol w:w="1708"/>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29"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2A5263">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3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2.57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58.53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60.92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60.58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46.38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47.65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(3.89)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557.29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558.43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725.40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760.44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28)</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3"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8: </w:t>
      </w:r>
      <w:r w:rsidRPr="00080169">
        <w:rPr>
          <w:rFonts w:eastAsia="Times New Roman"/>
          <w:lang w:eastAsia="da-DK"/>
        </w:rPr>
        <w:t>Model predicting number of remarks enforced by chairmen</w:t>
      </w:r>
    </w:p>
    <w:tbl>
      <w:tblPr>
        <w:tblW w:w="0" w:type="auto"/>
        <w:jc w:val="center"/>
        <w:tblCellSpacing w:w="0" w:type="dxa"/>
        <w:tblCellMar>
          <w:left w:w="0" w:type="dxa"/>
          <w:right w:w="0" w:type="dxa"/>
        </w:tblCellMar>
        <w:tblLook w:val="04A0" w:firstRow="1" w:lastRow="0" w:firstColumn="1" w:lastColumn="0" w:noHBand="0" w:noVBand="1"/>
      </w:tblPr>
      <w:tblGrid>
        <w:gridCol w:w="2886"/>
        <w:gridCol w:w="2082"/>
        <w:gridCol w:w="2082"/>
        <w:gridCol w:w="1962"/>
      </w:tblGrid>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7"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8"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4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Number</w:t>
            </w:r>
            <w:proofErr w:type="spellEnd"/>
            <w:r w:rsidRPr="00080169">
              <w:rPr>
                <w:rFonts w:eastAsia="Times New Roman"/>
                <w:lang w:val="da-DK" w:eastAsia="da-DK"/>
              </w:rPr>
              <w:t xml:space="preserve"> of remarks </w:t>
            </w:r>
            <w:proofErr w:type="spellStart"/>
            <w:r w:rsidRPr="00080169">
              <w:rPr>
                <w:rFonts w:eastAsia="Times New Roman"/>
                <w:lang w:val="da-DK" w:eastAsia="da-DK"/>
              </w:rPr>
              <w:t>enforced</w:t>
            </w:r>
            <w:proofErr w:type="spellEnd"/>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0"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1"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2"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Head </w:t>
            </w:r>
            <w:proofErr w:type="spellStart"/>
            <w:r w:rsidRPr="00080169">
              <w:rPr>
                <w:rFonts w:eastAsia="Times New Roman"/>
                <w:lang w:val="da-DK" w:eastAsia="da-DK"/>
              </w:rPr>
              <w:t>chairman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260.01</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235.37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736.62</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(121.61)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(126.67)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(249.60)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r w:rsidRPr="00080169">
              <w:rPr>
                <w:rFonts w:eastAsia="Times New Roman"/>
                <w:lang w:eastAsia="da-DK"/>
              </w:rPr>
              <w:t xml:space="preserve">No. of debates in leadership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169.95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167.01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(19.52)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No. of party </w:t>
            </w:r>
            <w:proofErr w:type="spellStart"/>
            <w:r w:rsidRPr="00080169">
              <w:rPr>
                <w:rFonts w:eastAsia="Times New Roman"/>
                <w:lang w:val="da-DK" w:eastAsia="da-DK"/>
              </w:rPr>
              <w:t>seats</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6.68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Constant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-153.72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-204.11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(54.74)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(83.63)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(177.87)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0.90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0.46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0.39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Residual</w:t>
            </w:r>
            <w:proofErr w:type="spellEnd"/>
            <w:r w:rsidRPr="00080169">
              <w:rPr>
                <w:rFonts w:eastAsia="Times New Roman"/>
                <w:lang w:val="da-DK" w:eastAsia="da-DK"/>
              </w:rPr>
              <w:t xml:space="preserve"> </w:t>
            </w:r>
            <w:proofErr w:type="spellStart"/>
            <w:r w:rsidRPr="00080169">
              <w:rPr>
                <w:rFonts w:eastAsia="Times New Roman"/>
                <w:lang w:val="da-DK" w:eastAsia="da-DK"/>
              </w:rPr>
              <w:t>Std</w:t>
            </w:r>
            <w:proofErr w:type="spellEnd"/>
            <w:r w:rsidRPr="00080169">
              <w:rPr>
                <w:rFonts w:eastAsia="Times New Roman"/>
                <w:lang w:val="da-DK" w:eastAsia="da-DK"/>
              </w:rPr>
              <w:t xml:space="preserve">. </w:t>
            </w:r>
            <w:proofErr w:type="spellStart"/>
            <w:r w:rsidRPr="00080169">
              <w:rPr>
                <w:rFonts w:eastAsia="Times New Roman"/>
                <w:lang w:val="da-DK" w:eastAsia="da-DK"/>
              </w:rPr>
              <w:t>Error</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162.87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164.60 (</w:t>
            </w:r>
            <w:proofErr w:type="spellStart"/>
            <w:r w:rsidRPr="00080169">
              <w:rPr>
                <w:rFonts w:eastAsia="Times New Roman"/>
                <w:lang w:val="da-DK" w:eastAsia="da-DK"/>
              </w:rPr>
              <w:t>df</w:t>
            </w:r>
            <w:proofErr w:type="spellEnd"/>
            <w:r w:rsidRPr="00080169">
              <w:rPr>
                <w:rFonts w:eastAsia="Times New Roman"/>
                <w:lang w:val="da-DK" w:eastAsia="da-DK"/>
              </w:rPr>
              <w:t xml:space="preserve"> =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368.67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F </w:t>
            </w:r>
            <w:proofErr w:type="spellStart"/>
            <w:r w:rsidRPr="00080169">
              <w:rPr>
                <w:rFonts w:eastAsia="Times New Roman"/>
                <w:lang w:val="da-DK" w:eastAsia="da-DK"/>
              </w:rPr>
              <w:t>Statistic</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71.52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46.90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3;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r>
      <w:tr w:rsidR="00080169" w:rsidRPr="00080169" w:rsidTr="00080169">
        <w:trPr>
          <w:tblCellSpacing w:w="0" w:type="dxa"/>
          <w:jc w:val="center"/>
        </w:trPr>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4"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5"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6" style="width:498.6pt;height:.75pt" o:hralign="center" o:hrstd="t" o:hr="t" fillcolor="#a0a0a0" stroked="f"/>
              </w:pict>
            </w:r>
          </w:p>
        </w:tc>
        <w:tc>
          <w:tcPr>
            <w:tcW w:w="0" w:type="auto"/>
            <w:vAlign w:val="center"/>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pict>
                <v:rect id="_x0000_i115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BE1804" w:rsidRPr="00080169" w:rsidRDefault="00BE1804" w:rsidP="00080169">
      <w:pPr>
        <w:rPr>
          <w:rFonts w:eastAsiaTheme="majorEastAsia" w:cstheme="majorBidi"/>
        </w:rPr>
      </w:pPr>
      <w:r w:rsidRPr="00080169">
        <w:br w:type="page"/>
      </w:r>
    </w:p>
    <w:p w:rsidR="00BE1804" w:rsidRDefault="00BE1804" w:rsidP="00BE1804">
      <w:pPr>
        <w:pStyle w:val="Overskrift1"/>
      </w:pPr>
      <w:r>
        <w:lastRenderedPageBreak/>
        <w:t>Figures</w:t>
      </w:r>
    </w:p>
    <w:p w:rsidR="00C37C13" w:rsidRPr="000D6A72" w:rsidRDefault="00C37C13" w:rsidP="00C37C13">
      <w:r w:rsidRPr="000D6A72">
        <w:rPr>
          <w:noProof/>
          <w:lang w:val="da-DK" w:eastAsia="da-DK"/>
        </w:rPr>
        <w:drawing>
          <wp:inline distT="0" distB="0" distL="0" distR="0" wp14:anchorId="7040A015" wp14:editId="7A4A3797">
            <wp:extent cx="6291618" cy="35484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dens.png"/>
                    <pic:cNvPicPr>
                      <a:picLocks noChangeAspect="1" noChangeArrowheads="1"/>
                    </pic:cNvPicPr>
                  </pic:nvPicPr>
                  <pic:blipFill>
                    <a:blip r:embed="rId32"/>
                    <a:stretch>
                      <a:fillRect/>
                    </a:stretch>
                  </pic:blipFill>
                  <pic:spPr bwMode="auto">
                    <a:xfrm>
                      <a:off x="0" y="0"/>
                      <a:ext cx="6303122" cy="3554906"/>
                    </a:xfrm>
                    <a:prstGeom prst="rect">
                      <a:avLst/>
                    </a:prstGeom>
                    <a:noFill/>
                    <a:ln w="9525">
                      <a:noFill/>
                      <a:headEnd/>
                      <a:tailEnd/>
                    </a:ln>
                  </pic:spPr>
                </pic:pic>
              </a:graphicData>
            </a:graphic>
          </wp:inline>
        </w:drawing>
      </w:r>
    </w:p>
    <w:p w:rsidR="00C37C13" w:rsidRPr="000D6A72" w:rsidRDefault="00C37C13" w:rsidP="00C37C13">
      <w:pPr>
        <w:pStyle w:val="ImageCaption"/>
        <w:spacing w:line="240" w:lineRule="auto"/>
      </w:pPr>
      <w:r>
        <w:t xml:space="preserve">Figure 1: </w:t>
      </w:r>
      <w:r w:rsidRPr="000D6A72">
        <w:t>Distribution of speaking times for non-</w:t>
      </w:r>
      <w:proofErr w:type="spellStart"/>
      <w:r w:rsidRPr="000D6A72">
        <w:t>copartisans</w:t>
      </w:r>
      <w:proofErr w:type="spellEnd"/>
      <w:r w:rsidRPr="000D6A72">
        <w:t xml:space="preserve"> outside of the chairman’s political bloc (left panel), non-</w:t>
      </w:r>
      <w:proofErr w:type="spellStart"/>
      <w:r w:rsidRPr="000D6A72">
        <w:t>copartisans</w:t>
      </w:r>
      <w:proofErr w:type="spellEnd"/>
      <w:r w:rsidRPr="000D6A72">
        <w:t xml:space="preserve"> from the chairman’s own political bloc (middle panel) and </w:t>
      </w:r>
      <w:proofErr w:type="spellStart"/>
      <w:r w:rsidRPr="000D6A72">
        <w:t>copartisans</w:t>
      </w:r>
      <w:proofErr w:type="spellEnd"/>
      <w:r w:rsidRPr="000D6A72">
        <w:t xml:space="preserve"> (right panel). The dashed vertical line indicates the 60-second limit for short speeches. Non-</w:t>
      </w:r>
      <w:proofErr w:type="spellStart"/>
      <w:r w:rsidRPr="000D6A72">
        <w:t>copartisans</w:t>
      </w:r>
      <w:proofErr w:type="spellEnd"/>
      <w:r w:rsidRPr="000D6A72">
        <w:t xml:space="preserve"> drop off before reaching the limit. No such pattern is apparent for </w:t>
      </w:r>
      <w:proofErr w:type="spellStart"/>
      <w:r w:rsidRPr="000D6A72">
        <w:t>copartisans</w:t>
      </w:r>
      <w:proofErr w:type="spellEnd"/>
      <w:r w:rsidRPr="000D6A72">
        <w:t>.</w:t>
      </w:r>
    </w:p>
    <w:p w:rsidR="00F34A9C" w:rsidRDefault="00F34A9C">
      <w:pPr>
        <w:spacing w:before="0" w:after="200" w:line="240" w:lineRule="auto"/>
        <w:jc w:val="left"/>
        <w:rPr>
          <w:rFonts w:eastAsiaTheme="majorEastAsia" w:cstheme="majorBidi"/>
          <w:b/>
          <w:bCs/>
          <w:sz w:val="32"/>
          <w:szCs w:val="32"/>
        </w:rPr>
      </w:pPr>
      <w:r>
        <w:br w:type="page"/>
      </w:r>
    </w:p>
    <w:p w:rsidR="00F34A9C" w:rsidRPr="000D6A72" w:rsidRDefault="00F34A9C" w:rsidP="00F34A9C">
      <w:r w:rsidRPr="000D6A72">
        <w:rPr>
          <w:noProof/>
          <w:lang w:val="da-DK" w:eastAsia="da-DK"/>
        </w:rPr>
        <w:lastRenderedPageBreak/>
        <w:drawing>
          <wp:inline distT="0" distB="0" distL="0" distR="0" wp14:anchorId="73F7FED4" wp14:editId="0BF7F3EB">
            <wp:extent cx="6237027" cy="28250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effectplot.png"/>
                    <pic:cNvPicPr>
                      <a:picLocks noChangeAspect="1" noChangeArrowheads="1"/>
                    </pic:cNvPicPr>
                  </pic:nvPicPr>
                  <pic:blipFill>
                    <a:blip r:embed="rId33"/>
                    <a:stretch>
                      <a:fillRect/>
                    </a:stretch>
                  </pic:blipFill>
                  <pic:spPr bwMode="auto">
                    <a:xfrm>
                      <a:off x="0" y="0"/>
                      <a:ext cx="6231556" cy="2822609"/>
                    </a:xfrm>
                    <a:prstGeom prst="rect">
                      <a:avLst/>
                    </a:prstGeom>
                    <a:noFill/>
                    <a:ln w="9525">
                      <a:noFill/>
                      <a:headEnd/>
                      <a:tailEnd/>
                    </a:ln>
                  </pic:spPr>
                </pic:pic>
              </a:graphicData>
            </a:graphic>
          </wp:inline>
        </w:drawing>
      </w:r>
    </w:p>
    <w:p w:rsidR="00F34A9C" w:rsidRPr="000D6A72" w:rsidRDefault="00F34A9C" w:rsidP="00F34A9C">
      <w:pPr>
        <w:pStyle w:val="ImageCaption"/>
        <w:spacing w:line="240" w:lineRule="auto"/>
      </w:pPr>
      <w:r>
        <w:t xml:space="preserve">Figure 2: </w:t>
      </w:r>
      <w:r w:rsidRPr="000D6A72">
        <w:t xml:space="preserve">Estimated effect of </w:t>
      </w:r>
      <w:proofErr w:type="spellStart"/>
      <w:r w:rsidRPr="000D6A72">
        <w:t>copartisanship</w:t>
      </w:r>
      <w:proofErr w:type="spellEnd"/>
      <w:r w:rsidRPr="000D6A72">
        <w:t xml:space="preserve">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sidR="00D0026C" w:rsidRDefault="00D0026C">
      <w:pPr>
        <w:spacing w:before="0" w:after="200" w:line="240" w:lineRule="auto"/>
        <w:jc w:val="left"/>
        <w:rPr>
          <w:rFonts w:eastAsiaTheme="majorEastAsia" w:cstheme="majorBidi"/>
          <w:b/>
          <w:bCs/>
          <w:sz w:val="32"/>
          <w:szCs w:val="32"/>
        </w:rPr>
      </w:pPr>
      <w:r>
        <w:br w:type="page"/>
      </w:r>
    </w:p>
    <w:p w:rsidR="00D0026C" w:rsidRPr="000D6A72" w:rsidRDefault="00D0026C" w:rsidP="00D0026C">
      <w:r w:rsidRPr="000D6A72">
        <w:rPr>
          <w:noProof/>
          <w:lang w:val="da-DK" w:eastAsia="da-DK"/>
        </w:rPr>
        <w:lastRenderedPageBreak/>
        <w:drawing>
          <wp:inline distT="0" distB="0" distL="0" distR="0" wp14:anchorId="6ACF672A" wp14:editId="31B5A36E">
            <wp:extent cx="6250675" cy="2988860"/>
            <wp:effectExtent l="0" t="0" r="0" b="254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modeffectplot.png"/>
                    <pic:cNvPicPr>
                      <a:picLocks noChangeAspect="1" noChangeArrowheads="1"/>
                    </pic:cNvPicPr>
                  </pic:nvPicPr>
                  <pic:blipFill>
                    <a:blip r:embed="rId34"/>
                    <a:stretch>
                      <a:fillRect/>
                    </a:stretch>
                  </pic:blipFill>
                  <pic:spPr bwMode="auto">
                    <a:xfrm>
                      <a:off x="0" y="0"/>
                      <a:ext cx="6256952" cy="2991862"/>
                    </a:xfrm>
                    <a:prstGeom prst="rect">
                      <a:avLst/>
                    </a:prstGeom>
                    <a:noFill/>
                    <a:ln w="9525">
                      <a:noFill/>
                      <a:headEnd/>
                      <a:tailEnd/>
                    </a:ln>
                  </pic:spPr>
                </pic:pic>
              </a:graphicData>
            </a:graphic>
          </wp:inline>
        </w:drawing>
      </w:r>
    </w:p>
    <w:p w:rsidR="00D0026C" w:rsidRPr="000D6A72" w:rsidRDefault="00D0026C" w:rsidP="00D0026C">
      <w:pPr>
        <w:pStyle w:val="ImageCaption"/>
        <w:spacing w:line="240" w:lineRule="auto"/>
      </w:pPr>
      <w:r>
        <w:t xml:space="preserve">Figure 3: </w:t>
      </w:r>
      <w:r w:rsidRPr="000D6A72">
        <w:t xml:space="preserve">Estimated effect of </w:t>
      </w:r>
      <w:proofErr w:type="spellStart"/>
      <w:r w:rsidRPr="000D6A72">
        <w:t>copartisanship</w:t>
      </w:r>
      <w:proofErr w:type="spellEnd"/>
      <w:r w:rsidRPr="000D6A72">
        <w:t xml:space="preserve"> on speaking time under various restrictions on political distance between chairman and speaker. Error bars represent 90 percent (thick lines) and 95 percent (thin lines) confidence intervals.</w:t>
      </w:r>
    </w:p>
    <w:p w:rsidR="00CE0E37" w:rsidRDefault="00CE0E37">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0549623D" wp14:editId="6B4A608D">
            <wp:extent cx="5440680" cy="2410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partyranefs.png"/>
                    <pic:cNvPicPr>
                      <a:picLocks noChangeAspect="1" noChangeArrowheads="1"/>
                    </pic:cNvPicPr>
                  </pic:nvPicPr>
                  <pic:blipFill>
                    <a:blip r:embed="rId35"/>
                    <a:stretch>
                      <a:fillRect/>
                    </a:stretch>
                  </pic:blipFill>
                  <pic:spPr bwMode="auto">
                    <a:xfrm>
                      <a:off x="0" y="0"/>
                      <a:ext cx="5440680" cy="241064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4: </w:t>
      </w:r>
      <w:r w:rsidRPr="000D6A72">
        <w:t xml:space="preserve">Effects of </w:t>
      </w:r>
      <w:proofErr w:type="spellStart"/>
      <w:r w:rsidRPr="000D6A72">
        <w:t>copartisanship</w:t>
      </w:r>
      <w:proofErr w:type="spellEnd"/>
      <w:r w:rsidRPr="000D6A72">
        <w:t xml:space="preserve"> estimated separately for each chairman’s party. Estimates are drawn from a random effects model corresponding to model 3 in Table 2 with varying slopes for chairman party. The grey dashed vertical line shows the average </w:t>
      </w:r>
      <w:proofErr w:type="spellStart"/>
      <w:r w:rsidRPr="000D6A72">
        <w:t>copartisanship</w:t>
      </w:r>
      <w:proofErr w:type="spellEnd"/>
      <w:r w:rsidRPr="000D6A72">
        <w:t xml:space="preserve"> effect (i.e., the fixed effect). Parties are ordered top to bottom according to party ordinal left/right ranking. Error bars represent 90 percent (thick lines) and 95 percent (thin lines) confidence intervals.</w:t>
      </w:r>
    </w:p>
    <w:p w:rsidR="00CE0E37" w:rsidRDefault="00C37C13">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1F66E960" wp14:editId="4A13CDC8">
            <wp:extent cx="5440680" cy="362433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chairranefs.png"/>
                    <pic:cNvPicPr>
                      <a:picLocks noChangeAspect="1" noChangeArrowheads="1"/>
                    </pic:cNvPicPr>
                  </pic:nvPicPr>
                  <pic:blipFill>
                    <a:blip r:embed="rId36"/>
                    <a:stretch>
                      <a:fillRect/>
                    </a:stretch>
                  </pic:blipFill>
                  <pic:spPr bwMode="auto">
                    <a:xfrm>
                      <a:off x="0" y="0"/>
                      <a:ext cx="5440680" cy="362433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5: </w:t>
      </w:r>
      <w:r w:rsidRPr="000D6A72">
        <w:t xml:space="preserve">Effects of </w:t>
      </w:r>
      <w:proofErr w:type="spellStart"/>
      <w:r w:rsidRPr="000D6A72">
        <w:t>copartisanship</w:t>
      </w:r>
      <w:proofErr w:type="spellEnd"/>
      <w:r w:rsidRPr="000D6A72">
        <w:t xml:space="preserve"> estimated separately for each chairman in the data. Estimates are drawn from a random effects model corresponding to model 3 in Table 2 with varying slopes for individual chairmen. The grey dashed vertical line shows the average </w:t>
      </w:r>
      <w:proofErr w:type="spellStart"/>
      <w:r w:rsidRPr="000D6A72">
        <w:t>copartisanship</w:t>
      </w:r>
      <w:proofErr w:type="spellEnd"/>
      <w:r w:rsidRPr="000D6A72">
        <w:t xml:space="preserve"> effect (i.e., the fixed effect). Chairmen are ordered top to bottom according to party ordinal left/right ranking and within parties according to estimated effect. Error bars represent 90 percent (thick lines) and 95 percent (thin lines) confidence intervals.</w:t>
      </w:r>
    </w:p>
    <w:p w:rsidR="00C37C13" w:rsidRDefault="00C37C13">
      <w:pPr>
        <w:spacing w:before="0" w:after="200" w:line="240" w:lineRule="auto"/>
        <w:jc w:val="left"/>
        <w:rPr>
          <w:rFonts w:eastAsiaTheme="majorEastAsia" w:cstheme="majorBidi"/>
          <w:b/>
          <w:bCs/>
          <w:sz w:val="32"/>
          <w:szCs w:val="32"/>
        </w:rPr>
      </w:pPr>
    </w:p>
    <w:p w:rsidR="00CE0E37" w:rsidRDefault="00CE0E37">
      <w:pPr>
        <w:spacing w:before="0" w:after="200" w:line="240" w:lineRule="auto"/>
        <w:jc w:val="left"/>
        <w:rPr>
          <w:rFonts w:eastAsiaTheme="majorEastAsia" w:cstheme="majorBidi"/>
          <w:b/>
          <w:bCs/>
          <w:sz w:val="32"/>
          <w:szCs w:val="32"/>
        </w:rPr>
      </w:pPr>
      <w:r>
        <w:br w:type="page"/>
      </w:r>
    </w:p>
    <w:p w:rsidR="00BE1804" w:rsidRPr="000D6A72" w:rsidRDefault="00BE1804" w:rsidP="00BE1804">
      <w:pPr>
        <w:pStyle w:val="Overskrift1"/>
      </w:pPr>
      <w:r>
        <w:lastRenderedPageBreak/>
        <w:t>Notes</w:t>
      </w:r>
    </w:p>
    <w:p w:rsidR="00BE1804" w:rsidRDefault="00BE1804">
      <w:pPr>
        <w:spacing w:before="0" w:after="200" w:line="240" w:lineRule="auto"/>
        <w:jc w:val="left"/>
        <w:rPr>
          <w:rFonts w:asciiTheme="minorHAnsi" w:hAnsiTheme="minorHAnsi" w:cstheme="minorBidi"/>
        </w:rPr>
      </w:pPr>
    </w:p>
    <w:sectPr w:rsidR="00BE1804">
      <w:endnotePr>
        <w:numFmt w:val="decimal"/>
      </w:endnotePr>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C04" w:rsidRDefault="006D7C04" w:rsidP="000D6A72">
      <w:r>
        <w:separator/>
      </w:r>
    </w:p>
  </w:endnote>
  <w:endnote w:type="continuationSeparator" w:id="0">
    <w:p w:rsidR="006D7C04" w:rsidRDefault="006D7C04" w:rsidP="000D6A72">
      <w:r>
        <w:continuationSeparator/>
      </w:r>
    </w:p>
  </w:endnote>
  <w:endnote w:id="1">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Corresponding author. Department of Political Science, University of Copenhagen, Øster Farimagsgade 5, DK-1353 Copenhagen K</w:t>
      </w:r>
      <w:r w:rsidR="00984862">
        <w:rPr>
          <w:sz w:val="24"/>
          <w:szCs w:val="24"/>
        </w:rPr>
        <w:t>. Phone:</w:t>
      </w:r>
      <w:r w:rsidRPr="0081213B">
        <w:rPr>
          <w:sz w:val="24"/>
          <w:szCs w:val="24"/>
        </w:rPr>
        <w:t xml:space="preserve"> (+45) 26 27 </w:t>
      </w:r>
      <w:r w:rsidRPr="00984862">
        <w:rPr>
          <w:sz w:val="24"/>
          <w:szCs w:val="24"/>
        </w:rPr>
        <w:t>24 41</w:t>
      </w:r>
      <w:r w:rsidR="00984862" w:rsidRPr="00984862">
        <w:rPr>
          <w:sz w:val="24"/>
          <w:szCs w:val="24"/>
        </w:rPr>
        <w:t>. Email:</w:t>
      </w:r>
      <w:r w:rsidRPr="00984862">
        <w:rPr>
          <w:sz w:val="24"/>
          <w:szCs w:val="24"/>
        </w:rPr>
        <w:t xml:space="preserve"> </w:t>
      </w:r>
      <w:r w:rsidRPr="00984862">
        <w:rPr>
          <w:rStyle w:val="VerbatimChar"/>
          <w:rFonts w:ascii="Times New Roman" w:hAnsi="Times New Roman"/>
          <w:sz w:val="24"/>
          <w:szCs w:val="24"/>
        </w:rPr>
        <w:t>fh@ifs.ku.dk</w:t>
      </w:r>
    </w:p>
  </w:endnote>
  <w:endnote w:id="2">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In the interest of fluency, the paper refers to both chairmen and -women using male pronouns, reflecting the modal speaker gender.</w:t>
      </w:r>
    </w:p>
  </w:endnote>
  <w:endnote w:id="3">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The source of this, and other details below about the workings of debates, is personal correspondence with </w:t>
      </w:r>
      <w:r w:rsidRPr="0081213B">
        <w:rPr>
          <w:i/>
          <w:sz w:val="24"/>
          <w:szCs w:val="24"/>
        </w:rPr>
        <w:t>Folketinget</w:t>
      </w:r>
      <w:r w:rsidRPr="0081213B">
        <w:rPr>
          <w:sz w:val="24"/>
          <w:szCs w:val="24"/>
        </w:rPr>
        <w:t>’s legal office.</w:t>
      </w:r>
    </w:p>
  </w:endnote>
  <w:endnote w:id="4">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The distinction borrows from Habyarimana et al. (2007), who distinguish between </w:t>
      </w:r>
      <w:r w:rsidRPr="0081213B">
        <w:rPr>
          <w:i/>
          <w:sz w:val="24"/>
          <w:szCs w:val="24"/>
        </w:rPr>
        <w:t>coethnics</w:t>
      </w:r>
      <w:r w:rsidRPr="0081213B">
        <w:rPr>
          <w:sz w:val="24"/>
          <w:szCs w:val="24"/>
        </w:rPr>
        <w:t xml:space="preserve"> and </w:t>
      </w:r>
      <w:r w:rsidRPr="0081213B">
        <w:rPr>
          <w:i/>
          <w:sz w:val="24"/>
          <w:szCs w:val="24"/>
        </w:rPr>
        <w:t>non-coethnics</w:t>
      </w:r>
      <w:r w:rsidRPr="0081213B">
        <w:rPr>
          <w:sz w:val="24"/>
          <w:szCs w:val="24"/>
        </w:rPr>
        <w:t xml:space="preserve"> in experimental studies of group identity and rule enforcement.</w:t>
      </w:r>
    </w:p>
  </w:endnote>
  <w:endnote w:id="5">
    <w:p w:rsidR="000D6A72" w:rsidRPr="0081213B"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 xml:space="preserve">Available upon publication at </w:t>
      </w:r>
      <w:hyperlink r:id="rId1">
        <w:r w:rsidRPr="0081213B">
          <w:rPr>
            <w:rStyle w:val="Link"/>
            <w:sz w:val="24"/>
            <w:szCs w:val="24"/>
          </w:rPr>
          <w:t>http://github.com/fghjorth/parlbias</w:t>
        </w:r>
      </w:hyperlink>
      <w:r w:rsidRPr="0081213B">
        <w:rPr>
          <w:sz w:val="24"/>
          <w:szCs w:val="24"/>
        </w:rPr>
        <w:t>.</w:t>
      </w:r>
    </w:p>
  </w:endnote>
  <w:endnote w:id="6">
    <w:p w:rsidR="00BE1804" w:rsidRDefault="000D6A72" w:rsidP="000D6A72">
      <w:pPr>
        <w:pStyle w:val="Slutnotetekst"/>
        <w:rPr>
          <w:sz w:val="24"/>
          <w:szCs w:val="24"/>
        </w:rPr>
      </w:pPr>
      <w:r w:rsidRPr="0081213B">
        <w:rPr>
          <w:rStyle w:val="FootnoteRef"/>
          <w:sz w:val="24"/>
          <w:szCs w:val="24"/>
        </w:rPr>
        <w:endnoteRef/>
      </w:r>
      <w:r w:rsidR="00BE1804">
        <w:rPr>
          <w:sz w:val="24"/>
          <w:szCs w:val="24"/>
        </w:rPr>
        <w:t xml:space="preserve"> </w:t>
      </w:r>
      <w:r w:rsidRPr="0081213B">
        <w:rPr>
          <w:sz w:val="24"/>
          <w:szCs w:val="24"/>
        </w:rPr>
        <w:t>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p w:rsidR="00BE1804" w:rsidRDefault="00BE1804" w:rsidP="000D6A72">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C04" w:rsidRDefault="006D7C04" w:rsidP="000D6A72">
      <w:r>
        <w:separator/>
      </w:r>
    </w:p>
  </w:footnote>
  <w:footnote w:type="continuationSeparator" w:id="0">
    <w:p w:rsidR="006D7C04" w:rsidRDefault="006D7C04" w:rsidP="000D6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B4342"/>
    <w:multiLevelType w:val="multilevel"/>
    <w:tmpl w:val="9A86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2CE0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5579"/>
    <w:rsid w:val="00080169"/>
    <w:rsid w:val="000D6A72"/>
    <w:rsid w:val="00135FB5"/>
    <w:rsid w:val="001E702D"/>
    <w:rsid w:val="004E29B3"/>
    <w:rsid w:val="00516F1A"/>
    <w:rsid w:val="00590D07"/>
    <w:rsid w:val="00597670"/>
    <w:rsid w:val="005A765A"/>
    <w:rsid w:val="00634C33"/>
    <w:rsid w:val="00695A7E"/>
    <w:rsid w:val="006D7C04"/>
    <w:rsid w:val="00784D58"/>
    <w:rsid w:val="007A529E"/>
    <w:rsid w:val="007D0D2E"/>
    <w:rsid w:val="0081213B"/>
    <w:rsid w:val="00875DB2"/>
    <w:rsid w:val="00882A7F"/>
    <w:rsid w:val="008D6863"/>
    <w:rsid w:val="00940A4D"/>
    <w:rsid w:val="00984862"/>
    <w:rsid w:val="009B440D"/>
    <w:rsid w:val="009C0C7F"/>
    <w:rsid w:val="00AC1F3A"/>
    <w:rsid w:val="00B07A91"/>
    <w:rsid w:val="00B4413F"/>
    <w:rsid w:val="00B64BC5"/>
    <w:rsid w:val="00B86B75"/>
    <w:rsid w:val="00B86D15"/>
    <w:rsid w:val="00BC48D5"/>
    <w:rsid w:val="00BD4534"/>
    <w:rsid w:val="00BE1804"/>
    <w:rsid w:val="00BF08CF"/>
    <w:rsid w:val="00C36279"/>
    <w:rsid w:val="00C37C13"/>
    <w:rsid w:val="00C92268"/>
    <w:rsid w:val="00CE0E37"/>
    <w:rsid w:val="00D0026C"/>
    <w:rsid w:val="00DC6B74"/>
    <w:rsid w:val="00E315A3"/>
    <w:rsid w:val="00F34A9C"/>
    <w:rsid w:val="00FF22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0D6A72"/>
    <w:pPr>
      <w:spacing w:before="100" w:after="100"/>
      <w:ind w:left="720"/>
    </w:pPr>
    <w:rPr>
      <w:rFonts w:eastAsiaTheme="majorEastAsia" w:cstheme="majorBidi"/>
      <w:bCs/>
      <w: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quote">
    <w:name w:val="quote"/>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0D6A72"/>
    <w:pPr>
      <w:spacing w:before="100" w:after="100"/>
      <w:ind w:left="720"/>
    </w:pPr>
    <w:rPr>
      <w:rFonts w:eastAsiaTheme="majorEastAsia" w:cstheme="majorBidi"/>
      <w:bCs/>
      <w: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quote">
    <w:name w:val="quote"/>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5621">
      <w:bodyDiv w:val="1"/>
      <w:marLeft w:val="0"/>
      <w:marRight w:val="0"/>
      <w:marTop w:val="0"/>
      <w:marBottom w:val="0"/>
      <w:divBdr>
        <w:top w:val="none" w:sz="0" w:space="0" w:color="auto"/>
        <w:left w:val="none" w:sz="0" w:space="0" w:color="auto"/>
        <w:bottom w:val="none" w:sz="0" w:space="0" w:color="auto"/>
        <w:right w:val="none" w:sz="0" w:space="0" w:color="auto"/>
      </w:divBdr>
    </w:div>
    <w:div w:id="66810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111/j.1540-5907.2011.00515.x" TargetMode="External"/><Relationship Id="rId18" Type="http://schemas.openxmlformats.org/officeDocument/2006/relationships/hyperlink" Target="http://dx.doi.org/10.1177/1065912907306470" TargetMode="External"/><Relationship Id="rId26" Type="http://schemas.openxmlformats.org/officeDocument/2006/relationships/hyperlink" Target="http://dx.doi.org/10.1080/07388940701860318" TargetMode="External"/><Relationship Id="rId3" Type="http://schemas.openxmlformats.org/officeDocument/2006/relationships/styles" Target="styles.xml"/><Relationship Id="rId21" Type="http://schemas.openxmlformats.org/officeDocument/2006/relationships/hyperlink" Target="http://dx.doi.org/10.1080/13572330500158581"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dx.doi.org/10.1002/1099-0992(200011/12)30:6%3c745::AID-EJSP24%3e3.0.CO;2-O" TargetMode="External"/><Relationship Id="rId17" Type="http://schemas.openxmlformats.org/officeDocument/2006/relationships/hyperlink" Target="http://dx.doi.org/10.1086/322810" TargetMode="External"/><Relationship Id="rId25" Type="http://schemas.openxmlformats.org/officeDocument/2006/relationships/hyperlink" Target="http://dx.doi.org/10.1111/j.1468-2508.2006.00419.x"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17/S0003055402004215" TargetMode="External"/><Relationship Id="rId20" Type="http://schemas.openxmlformats.org/officeDocument/2006/relationships/hyperlink" Target="http://dx.doi.org/10.1017/S0003055409990207" TargetMode="External"/><Relationship Id="rId29" Type="http://schemas.openxmlformats.org/officeDocument/2006/relationships/hyperlink" Target="http://dx.doi.org/10.1162/qjec.2010.125.4.18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93/qje/qjs014" TargetMode="External"/><Relationship Id="rId24" Type="http://schemas.openxmlformats.org/officeDocument/2006/relationships/hyperlink" Target="http://dx.doi.org/10.1126/science.1197872"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19565683" TargetMode="External"/><Relationship Id="rId23" Type="http://schemas.openxmlformats.org/officeDocument/2006/relationships/hyperlink" Target="http://dx.doi.org/10.1146/annurev.psych.53.100901.135109" TargetMode="External"/><Relationship Id="rId28" Type="http://schemas.openxmlformats.org/officeDocument/2006/relationships/hyperlink" Target="http://dx.doi.org/10.1177/1065912907308348" TargetMode="External"/><Relationship Id="rId36" Type="http://schemas.openxmlformats.org/officeDocument/2006/relationships/image" Target="media/image5.png"/><Relationship Id="rId10" Type="http://schemas.openxmlformats.org/officeDocument/2006/relationships/hyperlink" Target="http://dx.doi.org/10.1162/rest.91.1.163" TargetMode="External"/><Relationship Id="rId19" Type="http://schemas.openxmlformats.org/officeDocument/2006/relationships/hyperlink" Target="http://www.google.dk/books?id=%7b\_%7d3GJ8eWDXn0C%7b\&amp;%7dpgis=1" TargetMode="External"/><Relationship Id="rId31" Type="http://schemas.openxmlformats.org/officeDocument/2006/relationships/hyperlink" Target="http://dx.doi.org/10.1016/S0047-2727(99)00092-4" TargetMode="External"/><Relationship Id="rId4" Type="http://schemas.microsoft.com/office/2007/relationships/stylesWithEffects" Target="stylesWithEffects.xml"/><Relationship Id="rId9" Type="http://schemas.openxmlformats.org/officeDocument/2006/relationships/hyperlink" Target="http://www.ft.dk" TargetMode="External"/><Relationship Id="rId14" Type="http://schemas.openxmlformats.org/officeDocument/2006/relationships/hyperlink" Target="http://dx.doi.org/%3ca%20href=%22http://dx.doi.org/10.1257/aer.99.1.431%22%3ehttp://dx.doi.org/10.1257/aer.99.1.431%3c/a%3e" TargetMode="External"/><Relationship Id="rId22" Type="http://schemas.openxmlformats.org/officeDocument/2006/relationships/hyperlink" Target="http://dx.doi.org/10.1017/S0003055407070499" TargetMode="External"/><Relationship Id="rId27" Type="http://schemas.openxmlformats.org/officeDocument/2006/relationships/hyperlink" Target="http://digamo.free.fr/lijphart99.pdf" TargetMode="External"/><Relationship Id="rId30" Type="http://schemas.openxmlformats.org/officeDocument/2006/relationships/hyperlink" Target="http://papers.ssrn.com/abstract=301069" TargetMode="External"/><Relationship Id="rId35"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github.com/fghjorth/parl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F2F48-7A60-46D1-8DAE-AFC3BC96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45</Pages>
  <Words>7870</Words>
  <Characters>48009</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 Intergroup Bias in Parliamentary Rule Enforcement </vt:lpstr>
    </vt:vector>
  </TitlesOfParts>
  <Company>SAMF-IT,KU</Company>
  <LinksUpToDate>false</LinksUpToDate>
  <CharactersWithSpaces>55768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Bias in Parliamentary Rule Enforcement</dc:title>
  <dc:creator>Frederik Hjorth</dc:creator>
  <cp:lastModifiedBy>Frederik Hjorth</cp:lastModifiedBy>
  <cp:revision>35</cp:revision>
  <dcterms:created xsi:type="dcterms:W3CDTF">2016-05-24T10:00:00Z</dcterms:created>
  <dcterms:modified xsi:type="dcterms:W3CDTF">2016-05-24T12:27:00Z</dcterms:modified>
</cp:coreProperties>
</file>