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0.3 — 23 September 2026</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and compelling.</w:t>
      </w:r>
    </w:p>
    <w:p>
      <w:pPr>
        <w:pStyle w:val="Heading2"/>
      </w:pPr>
      <w:r>
        <w:t>15.1 Initial mesh and state</w:t>
      </w:r>
    </w:p>
    <w:p>
      <w:r>
        <w:t>Start around icosphere subdivision level 6, approximately 81,920 surface cells. A five-layer atmosphere would yield roughly 410,000 atmospheric cells, which is a practical starting scale for a desktop reference implementation.</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Heading1"/>
      </w:pPr>
      <w:r>
        <w:t>20. Immediate next step</w:t>
      </w:r>
    </w:p>
    <w:p>
      <w:r>
        <w:t>The next engineering task should be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