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0.5 — 28 September 2026 · illustrated feedback map added (section 24.9)</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A promising design is for the player to represent the long-lived civilization rather than an immortal head of government. Governments can change, and each administration changes which policies are available or politically sustainable while the player continues across generations.</w:t>
      </w:r>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Add population cohorts, employment, wealth, health, public priorities, government, elections and policy constraints.</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No warfare system in the initial design.</w:t>
      </w:r>
    </w:p>
    <w:p>
      <w:pPr>
        <w:pStyle w:val="ListBullet"/>
      </w:pPr>
      <w:r>
        <w:t>No full computational-fluid-dynamics atmosphere or research-grade ocean model.</w:t>
      </w:r>
    </w:p>
    <w:p>
      <w:pPr>
        <w:pStyle w:val="ListBullet"/>
      </w:pPr>
      <w:r>
        <w:t>No detailed financial-market simulation.</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No historical Earth reproduction requirement.</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Should the player always represent a civilization, or should some scenarios explicitly place the player in a government role?</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How should clouds be rendered so that they are both beautiful and faithful enough to the simulation to remain informative?</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in one place, every feedback the simulation is required to reproduce. They are drawn from the validated prototype, so each arrow corresponds to a coupling that has been measured against the acceptance targets of section 30, not to an intention.</w:t>
      </w:r>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1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2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3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4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5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6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