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259" w:lineRule="auto"/>
        <w:rPr>
          <w:rFonts w:ascii="Times New Roman" w:cs="Times New Roman" w:eastAsia="Times New Roman" w:hAnsi="Times New Roman"/>
          <w:sz w:val="20"/>
          <w:szCs w:val="20"/>
        </w:rPr>
      </w:pPr>
      <w:bookmarkStart w:colFirst="0" w:colLast="0" w:name="_e8abhji7ibc1" w:id="0"/>
      <w:bookmarkEnd w:id="0"/>
      <w:r w:rsidDel="00000000" w:rsidR="00000000" w:rsidRPr="00000000">
        <w:rPr>
          <w:rFonts w:ascii="Times New Roman" w:cs="Times New Roman" w:eastAsia="Times New Roman" w:hAnsi="Times New Roman"/>
          <w:sz w:val="20"/>
          <w:szCs w:val="20"/>
          <w:rtl w:val="0"/>
        </w:rPr>
        <w:t xml:space="preserve">Unique ID: </w:t>
        <w:tab/>
        <w:t xml:space="preserve">14.4</w:t>
      </w:r>
    </w:p>
    <w:p w:rsidR="00000000" w:rsidDel="00000000" w:rsidP="00000000" w:rsidRDefault="00000000" w:rsidRPr="00000000" w14:paraId="00000002">
      <w:pPr>
        <w:spacing w:after="160" w:line="259" w:lineRule="auto"/>
        <w:rPr>
          <w:rFonts w:ascii="Times New Roman" w:cs="Times New Roman" w:eastAsia="Times New Roman" w:hAnsi="Times New Roman"/>
          <w:sz w:val="20"/>
          <w:szCs w:val="20"/>
        </w:rPr>
      </w:pPr>
      <w:bookmarkStart w:colFirst="0" w:colLast="0" w:name="_dd989gg68utt" w:id="1"/>
      <w:bookmarkEnd w:id="1"/>
      <w:r w:rsidDel="00000000" w:rsidR="00000000" w:rsidRPr="00000000">
        <w:rPr>
          <w:rFonts w:ascii="Times New Roman" w:cs="Times New Roman" w:eastAsia="Times New Roman" w:hAnsi="Times New Roman"/>
          <w:sz w:val="20"/>
          <w:szCs w:val="20"/>
          <w:rtl w:val="0"/>
        </w:rPr>
        <w:t xml:space="preserve">Case </w:t>
        <w:tab/>
        <w:tab/>
      </w:r>
      <w:r w:rsidDel="00000000" w:rsidR="00000000" w:rsidRPr="00000000">
        <w:rPr>
          <w:rFonts w:ascii="Times New Roman" w:cs="Times New Roman" w:eastAsia="Times New Roman" w:hAnsi="Times New Roman"/>
          <w:sz w:val="20"/>
          <w:szCs w:val="20"/>
          <w:highlight w:val="white"/>
          <w:rtl w:val="0"/>
        </w:rPr>
        <w:t xml:space="preserve">Iran</w:t>
        <w:tab/>
      </w:r>
      <w:r w:rsidDel="00000000" w:rsidR="00000000" w:rsidRPr="00000000">
        <w:rPr>
          <w:rFonts w:ascii="Times New Roman" w:cs="Times New Roman" w:eastAsia="Times New Roman" w:hAnsi="Times New Roman"/>
          <w:sz w:val="20"/>
          <w:szCs w:val="20"/>
          <w:rtl w:val="0"/>
        </w:rPr>
        <w:tab/>
        <w:t xml:space="preserve">Episode 4       </w:t>
        <w:tab/>
        <w:tab/>
        <w:t xml:space="preserve">  Strategy &amp; Tactic</w:t>
      </w:r>
    </w:p>
    <w:tbl>
      <w:tblPr>
        <w:tblStyle w:val="Table1"/>
        <w:tblW w:w="12945.0" w:type="dxa"/>
        <w:jc w:val="left"/>
        <w:tblInd w:w="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30"/>
        <w:gridCol w:w="1575"/>
        <w:gridCol w:w="2310"/>
        <w:gridCol w:w="2445"/>
        <w:gridCol w:w="5685"/>
        <w:tblGridChange w:id="0">
          <w:tblGrid>
            <w:gridCol w:w="930"/>
            <w:gridCol w:w="1575"/>
            <w:gridCol w:w="2310"/>
            <w:gridCol w:w="2445"/>
            <w:gridCol w:w="5685"/>
          </w:tblGrid>
        </w:tblGridChange>
      </w:tblGrid>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before="240" w:lineRule="auto"/>
              <w:rPr>
                <w:rFonts w:ascii="Times New Roman" w:cs="Times New Roman" w:eastAsia="Times New Roman" w:hAnsi="Times New Roman"/>
                <w:sz w:val="20"/>
                <w:szCs w:val="20"/>
              </w:rPr>
            </w:pPr>
            <w:bookmarkStart w:colFirst="0" w:colLast="0" w:name="_xu9o79ep26tf" w:id="2"/>
            <w:bookmarkEnd w:id="2"/>
            <w:r w:rsidDel="00000000" w:rsidR="00000000" w:rsidRPr="00000000">
              <w:rPr>
                <w:rFonts w:ascii="Times New Roman" w:cs="Times New Roman" w:eastAsia="Times New Roman" w:hAnsi="Times New Roman"/>
                <w:sz w:val="20"/>
                <w:szCs w:val="20"/>
                <w:rtl w:val="0"/>
              </w:rPr>
              <w:t xml:space="preserve">V0</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before="240" w:lineRule="auto"/>
              <w:rPr>
                <w:rFonts w:ascii="Times New Roman" w:cs="Times New Roman" w:eastAsia="Times New Roman" w:hAnsi="Times New Roman"/>
                <w:sz w:val="20"/>
                <w:szCs w:val="20"/>
              </w:rPr>
            </w:pPr>
            <w:bookmarkStart w:colFirst="0" w:colLast="0" w:name="_fr1ik9jipvx" w:id="3"/>
            <w:bookmarkEnd w:id="3"/>
            <w:r w:rsidDel="00000000" w:rsidR="00000000" w:rsidRPr="00000000">
              <w:rPr>
                <w:rFonts w:ascii="Times New Roman" w:cs="Times New Roman" w:eastAsia="Times New Roman" w:hAnsi="Times New Roman"/>
                <w:sz w:val="20"/>
                <w:szCs w:val="20"/>
                <w:rtl w:val="0"/>
              </w:rPr>
              <w:t xml:space="preserve">ID</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before="240" w:lineRule="auto"/>
              <w:rPr>
                <w:rFonts w:ascii="Times New Roman" w:cs="Times New Roman" w:eastAsia="Times New Roman" w:hAnsi="Times New Roman"/>
                <w:sz w:val="20"/>
                <w:szCs w:val="20"/>
              </w:rPr>
            </w:pPr>
            <w:bookmarkStart w:colFirst="0" w:colLast="0" w:name="_2seqs9ctb2e9" w:id="4"/>
            <w:bookmarkEnd w:id="4"/>
            <w:r w:rsidDel="00000000" w:rsidR="00000000" w:rsidRPr="00000000">
              <w:rPr>
                <w:rFonts w:ascii="Times New Roman" w:cs="Times New Roman" w:eastAsia="Times New Roman" w:hAnsi="Times New Roman"/>
                <w:sz w:val="20"/>
                <w:szCs w:val="20"/>
                <w:rtl w:val="0"/>
              </w:rPr>
              <w:t xml:space="preserve">V1</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Case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Iran</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before="240" w:line="240" w:lineRule="auto"/>
              <w:rPr>
                <w:rFonts w:ascii="Times New Roman" w:cs="Times New Roman" w:eastAsia="Times New Roman" w:hAnsi="Times New Roman"/>
                <w:i w:val="1"/>
                <w:iCs w:val="1"/>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Episode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Episode 4</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0">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1">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2">
            <w:pPr>
              <w:spacing w:before="240" w:lineRule="auto"/>
              <w:rPr>
                <w:rFonts w:ascii="Times New Roman" w:cs="Times New Roman" w:eastAsia="Times New Roman" w:hAnsi="Times New Roman"/>
                <w:sz w:val="20"/>
                <w:szCs w:val="20"/>
              </w:rPr>
            </w:pPr>
            <w:bookmarkStart w:colFirst="0" w:colLast="0" w:name="_364currsqyku" w:id="5"/>
            <w:bookmarkEnd w:id="5"/>
            <w:r w:rsidDel="00000000" w:rsidR="00000000" w:rsidRPr="00000000">
              <w:rPr>
                <w:rFonts w:ascii="Times New Roman" w:cs="Times New Roman" w:eastAsia="Times New Roman" w:hAnsi="Times New Roman"/>
                <w:sz w:val="20"/>
                <w:szCs w:val="20"/>
                <w:rtl w:val="0"/>
              </w:rPr>
              <w:t xml:space="preserve">V3</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Starting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09/06/2010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5">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6">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Ending date</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24/11/2013 </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A">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B">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Panel (or group) of Experts or Monitoring group</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Created</w:t>
            </w: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1F">
            <w:pPr>
              <w:spacing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0">
            <w:pPr>
              <w:spacing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2">
            <w:pPr>
              <w:spacing w:before="240" w:lineRule="auto"/>
              <w:rPr>
                <w:rFonts w:ascii="Times New Roman" w:cs="Times New Roman" w:eastAsia="Times New Roman" w:hAnsi="Times New Roman"/>
                <w:sz w:val="20"/>
                <w:szCs w:val="20"/>
              </w:rPr>
            </w:pPr>
            <w:bookmarkStart w:colFirst="0" w:colLast="0" w:name="_4nsw7c7r7vy1" w:id="6"/>
            <w:bookmarkEnd w:id="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exports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in its final report of 2013,51 described an investigation into arms found on board the vessel Jihan by Yemeni and United States authorities on 23 January 2013 that was reported separately to the Committee. The Panel has continued analysis of information received in connection with that case. This suggests that the Jihan case follows a pattern of arms shipments to Yemen by sea which can be traced back to at least 2009. The analysis further suggests that the Islamic Republic of Iran was the origin of these shipments, and that the intended recipients were the Houthis in Yemen or possibly in some cases further recipients in neighbouring countries. It also shows that current Iranian military support to Houthis in Yemen is consistent with patterns of arms transfers going back more than five years.52 Details of cases are contained in annex I.</w:t>
            </w:r>
            <w:r w:rsidDel="00000000" w:rsidR="00000000" w:rsidRPr="00000000">
              <w:rPr>
                <w:rtl w:val="0"/>
              </w:rPr>
            </w:r>
          </w:p>
          <w:p w:rsidR="00000000" w:rsidDel="00000000" w:rsidP="00000000" w:rsidRDefault="00000000" w:rsidRPr="00000000" w14:paraId="00000026">
            <w:pPr>
              <w:spacing w:after="0" w:before="0" w:line="240" w:lineRule="auto"/>
              <w:rPr/>
            </w:pPr>
            <w:r w:rsidDel="00000000" w:rsidR="00000000" w:rsidRPr="00000000">
              <w:rPr>
                <w:rtl w:val="0"/>
              </w:rPr>
            </w:r>
          </w:p>
          <w:p w:rsidR="00000000" w:rsidDel="00000000" w:rsidP="00000000" w:rsidRDefault="00000000" w:rsidRPr="00000000" w14:paraId="0000002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Unnamed vessel (February 2011). According to information received from Yemeni authorities, on 21 February 2011, an Iranian fishing vessel was seized by Yemeni authorities seven kilometres from the coast of Hadramawt governorate, after it pursued Yemeni fishermen in Yemeni territorial waters. Investigation by Yemeni authorities showed that the vessel carried a shipment of weapons comprising 900 Iranian-made anti-tank and anti-helicopter rockets intended for Houthi rebels.</w:t>
            </w:r>
            <w:r w:rsidDel="00000000" w:rsidR="00000000" w:rsidRPr="00000000">
              <w:rPr>
                <w:rtl w:val="0"/>
              </w:rPr>
            </w:r>
          </w:p>
          <w:p w:rsidR="00000000" w:rsidDel="00000000" w:rsidP="00000000" w:rsidRDefault="00000000" w:rsidRPr="00000000" w14:paraId="0000002D">
            <w:pPr>
              <w:spacing w:after="0" w:before="0" w:line="240" w:lineRule="auto"/>
              <w:rPr/>
            </w:pPr>
            <w:r w:rsidDel="00000000" w:rsidR="00000000" w:rsidRPr="00000000">
              <w:rPr>
                <w:rtl w:val="0"/>
              </w:rPr>
            </w:r>
          </w:p>
          <w:p w:rsidR="00000000" w:rsidDel="00000000" w:rsidP="00000000" w:rsidRDefault="00000000" w:rsidRPr="00000000" w14:paraId="0000002E">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2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31. The seizure of a shipment of rockets, fuses and ammunition in southern Afghanistan on 5 February 2011 was reported to the Committee by the United Kingdom on 21 April 2011. Following the seizure, the bulk of the shipment was destroyed. Samples of the rockets and fuses were shipped to the United Kingdom for forensic examination and, on 26 September 2011, made available to the Panel for inspection. 32. This inspection was unusual because the Panel was unable to visit the site of the seizure, only a small part of the original shipment was available for inspection and no documents were available. The Panel concluded, on the basis of its investigation and the information provided by the United Kingdom, that there was a high probability that the shipment of the 122-mm rockets constituted a violation by the Islamic Republic of Iran of paragraph 5 of resolution 1747 (2007). To substantiate this conclusion, the Panel continues to investigate this incident and invites Member States to supply further relevant information.</w:t>
            </w:r>
            <w:r w:rsidDel="00000000" w:rsidR="00000000" w:rsidRPr="00000000">
              <w:rPr>
                <w:rtl w:val="0"/>
              </w:rPr>
            </w:r>
          </w:p>
          <w:p w:rsidR="00000000" w:rsidDel="00000000" w:rsidP="00000000" w:rsidRDefault="00000000" w:rsidRPr="00000000" w14:paraId="00000034">
            <w:pPr>
              <w:spacing w:after="0" w:before="0" w:line="240" w:lineRule="auto"/>
              <w:rPr/>
            </w:pPr>
            <w:r w:rsidDel="00000000" w:rsidR="00000000" w:rsidRPr="00000000">
              <w:rPr>
                <w:rtl w:val="0"/>
              </w:rPr>
            </w:r>
          </w:p>
          <w:p w:rsidR="00000000" w:rsidDel="00000000" w:rsidP="00000000" w:rsidRDefault="00000000" w:rsidRPr="00000000" w14:paraId="00000035">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33. On 19 March 2011, the Turkish authorities seized 19 crates containing assault rifles, machine guns, ammunition and mortar shells from an Ilyushin-76 cargo aircraft operated by an Iranian cargo airline, Yas Air. The flight originated in the Islamic Republic of Iran and was bound for the Syrian Arab Republic. This interdiction was reported by Turkey to the Committee on 28 March 2011 and was supplemented by a detailed inventory of the cargo transmitted to the Committee on 7 July 2011. 34. The Panel travelled to Diyarbakir on 19 November 2011 to inspect the shipment. It concluded that the items seized constituted a violation of paragraph 5 of resolution 1747 (2007</w:t>
            </w:r>
            <w:r w:rsidDel="00000000" w:rsidR="00000000" w:rsidRPr="00000000">
              <w:rPr>
                <w:rtl w:val="0"/>
              </w:rPr>
            </w:r>
          </w:p>
          <w:p w:rsidR="00000000" w:rsidDel="00000000" w:rsidP="00000000" w:rsidRDefault="00000000" w:rsidRPr="00000000" w14:paraId="0000003B">
            <w:pPr>
              <w:spacing w:after="0" w:before="0" w:line="240" w:lineRule="auto"/>
              <w:rPr/>
            </w:pPr>
            <w:r w:rsidDel="00000000" w:rsidR="00000000" w:rsidRPr="00000000">
              <w:rPr>
                <w:rtl w:val="0"/>
              </w:rPr>
            </w:r>
          </w:p>
          <w:p w:rsidR="00000000" w:rsidDel="00000000" w:rsidP="00000000" w:rsidRDefault="00000000" w:rsidRPr="00000000" w14:paraId="0000003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3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37. On 15 February 2011, the Turkish authorities seized a truck carrying explosives originating in the Islamic Republic of Iran and bound for the Syrian Arab Republic. The seizure was reported to the Committee on 12 January 2012. From 4 to 7 March 2012, the Panel physically inspected the seized materials and accompanying documents at an ammunition depot in Osmaniye Province, southern Turkey. 38. The Panel concluded that the shipment constituted a violation by the Islamic Republic of Iran of paragraph 5 of resolution 1747 (2007).</w:t>
            </w:r>
            <w:r w:rsidDel="00000000" w:rsidR="00000000" w:rsidRPr="00000000">
              <w:rPr>
                <w:rtl w:val="0"/>
              </w:rPr>
            </w:r>
          </w:p>
          <w:p w:rsidR="00000000" w:rsidDel="00000000" w:rsidP="00000000" w:rsidRDefault="00000000" w:rsidRPr="00000000" w14:paraId="00000042">
            <w:pPr>
              <w:spacing w:after="0" w:before="0" w:line="240" w:lineRule="auto"/>
              <w:rPr/>
            </w:pPr>
            <w:r w:rsidDel="00000000" w:rsidR="00000000" w:rsidRPr="00000000">
              <w:rPr>
                <w:rtl w:val="0"/>
              </w:rPr>
            </w:r>
          </w:p>
          <w:p w:rsidR="00000000" w:rsidDel="00000000" w:rsidP="00000000" w:rsidRDefault="00000000" w:rsidRPr="00000000" w14:paraId="0000004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102. On 19 March 2011, the Turkish authorities seized 19 crates containing assault rifles, machine guns, ammunition and mortar shells from an Ilyushin cargo aircraft operated by the cargo airline Yas Air (formerly known as Pars Aviation Services Company, as described in para. 231). It was found to be carrying 60 AK-47 assault rifles, 14 BKC/Bixi machine guns, 560 60-mm mortar shells and 1,288 120-mm mortar shells from the Islamic Republic of Iran to the Syrian Arab Republic. 103. In a 19 November 2011 inspection, the Panel examined and confirmed the arms and ammunition as inventoried by the Turkish authorities, in addition to documents provided establishing the origin and destination of the shipment. The Panel concluded that that shipment constituted a violation by the Islamic Republic of Iran of paragraph 5 of resolution 1747 (2007)</w:t>
            </w:r>
            <w:r w:rsidDel="00000000" w:rsidR="00000000" w:rsidRPr="00000000">
              <w:rPr>
                <w:rtl w:val="0"/>
              </w:rPr>
            </w:r>
          </w:p>
          <w:p w:rsidR="00000000" w:rsidDel="00000000" w:rsidP="00000000" w:rsidRDefault="00000000" w:rsidRPr="00000000" w14:paraId="00000049">
            <w:pPr>
              <w:spacing w:after="0" w:before="0" w:line="240" w:lineRule="auto"/>
              <w:rPr/>
            </w:pPr>
            <w:r w:rsidDel="00000000" w:rsidR="00000000" w:rsidRPr="00000000">
              <w:rPr>
                <w:rtl w:val="0"/>
              </w:rPr>
            </w:r>
          </w:p>
          <w:p w:rsidR="00000000" w:rsidDel="00000000" w:rsidP="00000000" w:rsidRDefault="00000000" w:rsidRPr="00000000" w14:paraId="0000004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4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104. On 15 February 2011, the Turkish authorities seized a truck carrying explosives originating in the Islamic Republic of Iran en route to the Syrian Arab Republic. The interdiction took place at Turkey’s border with the Syrian Arab Republic. The contents of the truck were clearly described on shipping documents and are summarized as follows: (a) Two boxes of gunpowder M9, for a total weight of 890 kg; (b) Two boxes of propelling charge; (c) Two boxes of slow-burning material, for a total weight of 40 kg; (d) One box of sensitive materials (detonators); (e) Six pallets of solid rockets; (f) Two pallets of RDX explosives for a total weight of 1,700 kg. 105. The Panel inspected the items and found them to be materials for military purposes, while noting that the detonators and RDX explosive had both military and non-military applications. Documents examined by the Panel, including an invoice issued by the consignor of the shipment, SAD Import Export Company, and the TIR carnet, further established the nature, origin and destination of the cargo. 106. Parchin Chemical Industries and 7th of Tir Industries, both entities designated by United Nations sanctions as subordinates of the Iranian Defence Industries Organization, were identified in documents found with the shipment. The contract referenced in the invoice had been concluded in 2006 for a series of 20 shipments. The Panel concluded that that shipment constituted a violation by the Islamic Republic of Iran of paragraph 5 of resolution 1747 (2007).</w:t>
            </w:r>
            <w:r w:rsidDel="00000000" w:rsidR="00000000" w:rsidRPr="00000000">
              <w:rPr>
                <w:rtl w:val="0"/>
              </w:rPr>
            </w:r>
          </w:p>
          <w:p w:rsidR="00000000" w:rsidDel="00000000" w:rsidP="00000000" w:rsidRDefault="00000000" w:rsidRPr="00000000" w14:paraId="00000050">
            <w:pPr>
              <w:spacing w:after="0" w:before="0" w:line="240" w:lineRule="auto"/>
              <w:rPr/>
            </w:pPr>
            <w:r w:rsidDel="00000000" w:rsidR="00000000" w:rsidRPr="00000000">
              <w:rPr>
                <w:rtl w:val="0"/>
              </w:rPr>
            </w:r>
          </w:p>
          <w:p w:rsidR="00000000" w:rsidDel="00000000" w:rsidP="00000000" w:rsidRDefault="00000000" w:rsidRPr="00000000" w14:paraId="0000005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107. The United Kingdom authorities reported on 21 April 2011 a seizure by the International Security Assistance Force on 5 February 2011 of a shipment of rockets and ammunition near Afghanistan’s border with Pakistan. The shipment was reported to include 48 122-mm rockets, 49 fuses and 1,000 7.62-mm ammunition rounds. 108. Following the seizure, much of the shipment was destroyed in situ and the rest transferred to the United Kingdom for forensic analysis to provide additional evidence of its origin. Tests included X-ray examination, metallurgy sampling, and chemical and comparative analysis. The United Kingdom also possessed intelligence suggesting that the shipment of rockets originated in the Islamic Republic of Iran. Many of the characteristics of the rockets matched Iranian rockets found elsewhere. 109. The Panel inspected some of the remains of the rockets in the United Kingdom on 26 September 2011. The Panel carried out its investigation on the basis of evidence provided by the United Kingdom authorities, independent research and consultations with experts. 110. The Panel concluded that there was a high probability that the rockets had originated in the Islamic Republic of Iran. The Panel invited relevant Member States to provide further evidence that would enable confirmation of that finding, and consulted experts from the North Atlantic Treaty Organization in Brussels in search of relevant evidence. The Panel continues its investigation and seeks further information</w:t>
            </w:r>
            <w:r w:rsidDel="00000000" w:rsidR="00000000" w:rsidRPr="00000000">
              <w:rPr>
                <w:rtl w:val="0"/>
              </w:rPr>
            </w:r>
          </w:p>
          <w:p w:rsidR="00000000" w:rsidDel="00000000" w:rsidP="00000000" w:rsidRDefault="00000000" w:rsidRPr="00000000" w14:paraId="00000057">
            <w:pPr>
              <w:spacing w:after="0" w:before="0" w:line="240" w:lineRule="auto"/>
              <w:rPr/>
            </w:pPr>
            <w:r w:rsidDel="00000000" w:rsidR="00000000" w:rsidRPr="00000000">
              <w:rPr>
                <w:rtl w:val="0"/>
              </w:rPr>
            </w:r>
          </w:p>
          <w:p w:rsidR="00000000" w:rsidDel="00000000" w:rsidP="00000000" w:rsidRDefault="00000000" w:rsidRPr="00000000" w14:paraId="0000005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5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The Panel has identified connections linking current and previous interdictions. The Panel notes that the labels on wooden boxes containing mortar shells found in the Francop (Israel) case appeared identical to those found in the Yas Air (Turkey) interdiction. In both cases, the label read “Ministry of Sepah”, while in the Yas Air case, a crude attempt had been made to cross off the word “Sepah”. 116. The Panel also identified connections between the recent Kilis (Turkey) case and two earlier cases: the M/V Monchegorsk (Cyprus) and Hansa India (Malta) interdictions. The consignor and consignee in both the Kilis and M/V Monchegorsk cases were identical, and both shipments included increment charges for 120-mm mortar shells and black powder. The invoice issued by the consignor of the shipment seized in the Kilis (Turkey) case, SAD Import Export Company, indicates that the consignment was related to prior maritime shipments to “Lattakia or Tartous Ports”. Some of the contents of the M/V Monchegorsk shipment, as described in a letter to the Committee dated 3 February 2009, appeared to be identical to those found in the Hansa India interdiction, including bronze brass plates and bullet casings packed in blue metallic barrels. Papers found on the blue metallic barrels on the Hansa India identified Lattakia or Tartous ports as destinations.</w:t>
            </w:r>
            <w:r w:rsidDel="00000000" w:rsidR="00000000" w:rsidRPr="00000000">
              <w:rPr>
                <w:rtl w:val="0"/>
              </w:rPr>
            </w:r>
          </w:p>
          <w:p w:rsidR="00000000" w:rsidDel="00000000" w:rsidP="00000000" w:rsidRDefault="00000000" w:rsidRPr="00000000" w14:paraId="0000005E">
            <w:pPr>
              <w:spacing w:after="0" w:before="0" w:line="240" w:lineRule="auto"/>
              <w:rPr/>
            </w:pPr>
            <w:r w:rsidDel="00000000" w:rsidR="00000000" w:rsidRPr="00000000">
              <w:rPr>
                <w:rtl w:val="0"/>
              </w:rPr>
            </w:r>
          </w:p>
          <w:p w:rsidR="00000000" w:rsidDel="00000000" w:rsidP="00000000" w:rsidRDefault="00000000" w:rsidRPr="00000000" w14:paraId="0000005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Hiding Beneficial Ownership</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157. Yas Air’s corporate registration history and the issue of its proposed designation under United Nations sanctions are discussed in more detail in paragraph 231. One of the patterns of circumvention by the Islamic Republic of Iran illustrated in this case involves the renaming of a cargo airline.</w:t>
            </w:r>
            <w:r w:rsidDel="00000000" w:rsidR="00000000" w:rsidRPr="00000000">
              <w:rPr>
                <w:rtl w:val="0"/>
              </w:rPr>
            </w:r>
          </w:p>
          <w:p w:rsidR="00000000" w:rsidDel="00000000" w:rsidP="00000000" w:rsidRDefault="00000000" w:rsidRPr="00000000" w14:paraId="00000065">
            <w:pPr>
              <w:spacing w:after="0" w:before="0" w:line="240" w:lineRule="auto"/>
              <w:rPr/>
            </w:pPr>
            <w:r w:rsidDel="00000000" w:rsidR="00000000" w:rsidRPr="00000000">
              <w:rPr>
                <w:rtl w:val="0"/>
              </w:rPr>
            </w:r>
          </w:p>
          <w:p w:rsidR="00000000" w:rsidDel="00000000" w:rsidP="00000000" w:rsidRDefault="00000000" w:rsidRPr="00000000" w14:paraId="0000006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158. In the case of the International Security Assistance Force (Afghanistan), in which arms and related materiel were interdicted close to the border in southern Afghanistan, the methods and route used for transporting the prohibited goods resembled smuggling or illicit trafficking of contraband. Experts in border security in this region have noted that the capacity of Customs is limited on both sides of the border and the volume of cross-border trade very high, making it more vulnerable to smuggling.23 159. The case of Kilis (Turkey) consisted of arms-related materiel carried by a truck that was legally registered for international road transport. No attempt had been made to physically conceal the shipment or to falsify the documents. The Panel notes that a related shipping document stated that the shipment was part of a contract including 20 such shipments.</w:t>
            </w:r>
            <w:r w:rsidDel="00000000" w:rsidR="00000000" w:rsidRPr="00000000">
              <w:rPr>
                <w:rtl w:val="0"/>
              </w:rPr>
            </w:r>
          </w:p>
          <w:p w:rsidR="00000000" w:rsidDel="00000000" w:rsidP="00000000" w:rsidRDefault="00000000" w:rsidRPr="00000000" w14:paraId="0000006C">
            <w:pPr>
              <w:spacing w:after="0" w:before="0" w:line="240" w:lineRule="auto"/>
              <w:rPr/>
            </w:pPr>
            <w:r w:rsidDel="00000000" w:rsidR="00000000" w:rsidRPr="00000000">
              <w:rPr>
                <w:rtl w:val="0"/>
              </w:rPr>
            </w:r>
          </w:p>
          <w:p w:rsidR="00000000" w:rsidDel="00000000" w:rsidP="00000000" w:rsidRDefault="00000000" w:rsidRPr="00000000" w14:paraId="0000006D">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6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100. During the reporting period only one incident of non-compliance was reported to the Committee concerning conventional arms transfers by the Islamic Republic of Iran. On 14 February 2013 Yemen reported a transfer of conventional arms and related materiel involving the Islamic Republic of Iran. In addition, at the direction by the Committee, the Panel reported a compilation of public statements made by senior Iranian and local officials regarding Iranian arms transfers to Gaza. 101. Some States, other Security Council expert groups and reports available in the public domain suggest continuing arms transfers by the Islamic Republic of Iran within the region and to African States such as Côte d’Ivoire, Kenya and Somalia. The Panel was also informed that the country continues to seek ways and means to transfer arms to groups in the region, despite the limitations imposed by the sanctions measures under the relevant Security Council resolutions.</w:t>
            </w:r>
            <w:r w:rsidDel="00000000" w:rsidR="00000000" w:rsidRPr="00000000">
              <w:rPr>
                <w:rtl w:val="0"/>
              </w:rPr>
            </w:r>
          </w:p>
          <w:p w:rsidR="00000000" w:rsidDel="00000000" w:rsidP="00000000" w:rsidRDefault="00000000" w:rsidRPr="00000000" w14:paraId="00000073">
            <w:pPr>
              <w:spacing w:after="0" w:before="0" w:line="240" w:lineRule="auto"/>
              <w:rPr/>
            </w:pPr>
            <w:r w:rsidDel="00000000" w:rsidR="00000000" w:rsidRPr="00000000">
              <w:rPr>
                <w:rtl w:val="0"/>
              </w:rPr>
            </w:r>
          </w:p>
          <w:p w:rsidR="00000000" w:rsidDel="00000000" w:rsidP="00000000" w:rsidRDefault="00000000" w:rsidRPr="00000000" w14:paraId="0000007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Violation;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103. Transfer of explosives to Kenya: two Iranians have been convicted for importing explosives from the Islamic Republic of Iran in connection with planning terrorism-related activities in Kenya.24 Information obtained from one State suggests that the Quds Force of the Islamic Revolutionary Guard Corps. was involved in this matter. The Panel has been in contact with Kenyan authorities and will continue to investigate, as appropriate</w:t>
            </w:r>
            <w:r w:rsidDel="00000000" w:rsidR="00000000" w:rsidRPr="00000000">
              <w:rPr>
                <w:rtl w:val="0"/>
              </w:rPr>
            </w:r>
          </w:p>
          <w:p w:rsidR="00000000" w:rsidDel="00000000" w:rsidP="00000000" w:rsidRDefault="00000000" w:rsidRPr="00000000" w14:paraId="0000007A">
            <w:pPr>
              <w:spacing w:after="0" w:before="0" w:line="240" w:lineRule="auto"/>
              <w:rPr/>
            </w:pPr>
            <w:r w:rsidDel="00000000" w:rsidR="00000000" w:rsidRPr="00000000">
              <w:rPr>
                <w:rtl w:val="0"/>
              </w:rPr>
            </w:r>
          </w:p>
          <w:p w:rsidR="00000000" w:rsidDel="00000000" w:rsidP="00000000" w:rsidRDefault="00000000" w:rsidRPr="00000000" w14:paraId="0000007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7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04. Alleged arms transfers to Gaza: the Panel reported to the Committee a compilation of public statements on arms transfers to Gaza. The Panel noted that senior Iranian officials, including the Commander-in-Chief of the Islamic Revolutionary Guard Corps.25 have publicly stated that they provided military and financial assistance to non-State actors in Gaza. The recipients acknowledged receiving weapons and rockets from the Islamic Republic of Iran in November 2012. The Panel was requested to continue monitoring this issue.</w:t>
            </w:r>
            <w:r w:rsidDel="00000000" w:rsidR="00000000" w:rsidRPr="00000000">
              <w:rPr>
                <w:rtl w:val="0"/>
              </w:rPr>
            </w:r>
          </w:p>
          <w:p w:rsidR="00000000" w:rsidDel="00000000" w:rsidP="00000000" w:rsidRDefault="00000000" w:rsidRPr="00000000" w14:paraId="00000081">
            <w:pPr>
              <w:spacing w:after="0" w:before="0" w:line="240" w:lineRule="auto"/>
              <w:rPr/>
            </w:pPr>
            <w:r w:rsidDel="00000000" w:rsidR="00000000" w:rsidRPr="00000000">
              <w:rPr>
                <w:rtl w:val="0"/>
              </w:rPr>
            </w:r>
          </w:p>
          <w:p w:rsidR="00000000" w:rsidDel="00000000" w:rsidP="00000000" w:rsidRDefault="00000000" w:rsidRPr="00000000" w14:paraId="0000008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108. Arms and related materiel in African States: the Panel has been following the issue of Iranian arms and ammunition found in African States, in particular in: (a) Sudan: information from two States indicates that alleged Iranian arms transfers to the Sudan were ongoing in the last few years. These transfers were said to be part of a memorandum of understanding on military cooperation concluded in 2007 between the two States. An air raid in January 2012 destroyed a factory in southern Khartoum that was allegedly engaged in manufacture or assembly of weapons under the same memorandum of understanding; (b) Somalia: Iranian arms transfers to Al-Shabab in Somalia have also been widely reported;28 (c) Côte d’Ivoire: the Group of Experts on Côte d’Ivoire, in its 2013 final report, described ammunition found that was “similar to Iranian production”.29 The Group could not determine when the ammunition was transferred to Côte d’Ivoire or by whom. The report includes photographs of ammunition and packaging, in particular green plastic bags, some of which appear visually similar to those seen by the Panel during its previous inspections. 109. The Panel continues to seek additional information and evidence to confirm these allegations independently</w:t>
            </w:r>
            <w:r w:rsidDel="00000000" w:rsidR="00000000" w:rsidRPr="00000000">
              <w:rPr>
                <w:rtl w:val="0"/>
              </w:rPr>
            </w:r>
          </w:p>
          <w:p w:rsidR="00000000" w:rsidDel="00000000" w:rsidP="00000000" w:rsidRDefault="00000000" w:rsidRPr="00000000" w14:paraId="00000088">
            <w:pPr>
              <w:spacing w:after="0" w:before="0" w:line="240" w:lineRule="auto"/>
              <w:rPr/>
            </w:pPr>
            <w:r w:rsidDel="00000000" w:rsidR="00000000" w:rsidRPr="00000000">
              <w:rPr>
                <w:rtl w:val="0"/>
              </w:rPr>
            </w:r>
          </w:p>
          <w:p w:rsidR="00000000" w:rsidDel="00000000" w:rsidP="00000000" w:rsidRDefault="00000000" w:rsidRPr="00000000" w14:paraId="0000008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B">
            <w:pPr>
              <w:spacing w:before="240" w:lineRule="auto"/>
              <w:rPr>
                <w:rFonts w:ascii="Times New Roman" w:cs="Times New Roman" w:eastAsia="Times New Roman" w:hAnsi="Times New Roman"/>
                <w:sz w:val="20"/>
                <w:szCs w:val="20"/>
              </w:rPr>
            </w:pPr>
            <w:bookmarkStart w:colFirst="0" w:colLast="0" w:name="_94ymlibyqh9h" w:id="7"/>
            <w:bookmarkEnd w:id="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All parties to the conflict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D">
            <w:pPr>
              <w:spacing w:after="240" w:before="240" w:lin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E">
            <w:pPr>
              <w:spacing w:after="240" w:before="240" w:lin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8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0">
            <w:pPr>
              <w:spacing w:before="240" w:lineRule="auto"/>
              <w:rPr>
                <w:rFonts w:ascii="Times New Roman" w:cs="Times New Roman" w:eastAsia="Times New Roman" w:hAnsi="Times New Roman"/>
                <w:sz w:val="20"/>
                <w:szCs w:val="20"/>
              </w:rPr>
            </w:pPr>
            <w:bookmarkStart w:colFirst="0" w:colLast="0" w:name="_9zko9w8sfosj" w:id="8"/>
            <w:bookmarkEnd w:id="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Government forces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2">
            <w:pPr>
              <w:spacing w:before="240" w:lineRule="auto"/>
              <w:rPr>
                <w:rFonts w:ascii="Times New Roman" w:cs="Times New Roman" w:eastAsia="Times New Roman" w:hAnsi="Times New Roman"/>
                <w:sz w:val="20"/>
                <w:szCs w:val="20"/>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3">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5">
            <w:pPr>
              <w:spacing w:before="240" w:lineRule="auto"/>
              <w:rPr>
                <w:rFonts w:ascii="Times New Roman" w:cs="Times New Roman" w:eastAsia="Times New Roman" w:hAnsi="Times New Roman"/>
                <w:sz w:val="20"/>
                <w:szCs w:val="20"/>
              </w:rPr>
            </w:pPr>
            <w:bookmarkStart w:colFirst="0" w:colLast="0" w:name="_auepj16iq3rr" w:id="9"/>
            <w:bookmarkEnd w:id="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Non-governmental entities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evb0mza6sh4" w:id="10"/>
            <w:bookmarkEnd w:id="1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8">
            <w:pPr>
              <w:spacing w:before="240" w:lineRule="auto"/>
              <w:rPr>
                <w:rFonts w:ascii="Times New Roman" w:cs="Times New Roman" w:eastAsia="Times New Roman" w:hAnsi="Times New Roman"/>
                <w:sz w:val="20"/>
                <w:szCs w:val="20"/>
              </w:rPr>
            </w:pP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A">
            <w:pPr>
              <w:spacing w:before="240" w:lineRule="auto"/>
              <w:rPr>
                <w:rFonts w:ascii="Times New Roman" w:cs="Times New Roman" w:eastAsia="Times New Roman" w:hAnsi="Times New Roman"/>
                <w:sz w:val="20"/>
                <w:szCs w:val="20"/>
              </w:rPr>
            </w:pPr>
            <w:bookmarkStart w:colFirst="0" w:colLast="0" w:name="_7jlwk2anz2ry" w:id="11"/>
            <w:bookmarkEnd w:id="1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Arms imports Individual / entity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vndgiw0i500" w:id="12"/>
            <w:bookmarkEnd w:id="1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qkvl7mzpqsk" w:id="13"/>
            <w:bookmarkEnd w:id="1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9F">
            <w:pPr>
              <w:spacing w:before="240" w:lineRule="auto"/>
              <w:rPr>
                <w:rFonts w:ascii="Times New Roman" w:cs="Times New Roman" w:eastAsia="Times New Roman" w:hAnsi="Times New Roman"/>
                <w:sz w:val="20"/>
                <w:szCs w:val="20"/>
              </w:rPr>
            </w:pPr>
            <w:bookmarkStart w:colFirst="0" w:colLast="0" w:name="_lpern9b6ymdi" w:id="14"/>
            <w:bookmarkEnd w:id="1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Luxury 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8hnyyoxf6b" w:id="15"/>
            <w:bookmarkEnd w:id="1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j2hx0l02lx0" w:id="16"/>
            <w:bookmarkEnd w:id="1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4">
            <w:pPr>
              <w:spacing w:before="240" w:lineRule="auto"/>
              <w:rPr>
                <w:rFonts w:ascii="Times New Roman" w:cs="Times New Roman" w:eastAsia="Times New Roman" w:hAnsi="Times New Roman"/>
                <w:sz w:val="20"/>
                <w:szCs w:val="20"/>
              </w:rPr>
            </w:pPr>
            <w:bookmarkStart w:colFirst="0" w:colLast="0" w:name="_egarocqse535" w:id="17"/>
            <w:bookmarkEnd w:id="1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Charcoal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1h7m0cmkd0" w:id="18"/>
            <w:bookmarkEnd w:id="1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fcy10pbk3e8" w:id="19"/>
            <w:bookmarkEnd w:id="1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9">
            <w:pPr>
              <w:spacing w:before="240" w:lineRule="auto"/>
              <w:rPr>
                <w:rFonts w:ascii="Times New Roman" w:cs="Times New Roman" w:eastAsia="Times New Roman" w:hAnsi="Times New Roman"/>
                <w:sz w:val="20"/>
                <w:szCs w:val="20"/>
              </w:rPr>
            </w:pPr>
            <w:bookmarkStart w:colFirst="0" w:colLast="0" w:name="_9kyzus17txu6" w:id="20"/>
            <w:bookmarkEnd w:id="2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Coal, iron, and iron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cz1wrd2b9tz" w:id="21"/>
            <w:bookmarkEnd w:id="2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9c20tjpo4s0" w:id="22"/>
            <w:bookmarkEnd w:id="2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E">
            <w:pPr>
              <w:spacing w:before="240" w:lineRule="auto"/>
              <w:rPr>
                <w:rFonts w:ascii="Times New Roman" w:cs="Times New Roman" w:eastAsia="Times New Roman" w:hAnsi="Times New Roman"/>
                <w:sz w:val="20"/>
                <w:szCs w:val="20"/>
              </w:rPr>
            </w:pPr>
            <w:bookmarkStart w:colFirst="0" w:colLast="0" w:name="_7jn9xwrddfcn" w:id="23"/>
            <w:bookmarkEnd w:id="2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A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Copper, nickel, silver, zinc</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e38lhq8s0t0" w:id="24"/>
            <w:bookmarkEnd w:id="2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p1mzknpunyp" w:id="25"/>
            <w:bookmarkEnd w:id="2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3">
            <w:pPr>
              <w:spacing w:before="240" w:lineRule="auto"/>
              <w:rPr>
                <w:rFonts w:ascii="Times New Roman" w:cs="Times New Roman" w:eastAsia="Times New Roman" w:hAnsi="Times New Roman"/>
                <w:sz w:val="20"/>
                <w:szCs w:val="20"/>
              </w:rPr>
            </w:pPr>
            <w:bookmarkStart w:colFirst="0" w:colLast="0" w:name="_qwfywu464mha" w:id="26"/>
            <w:bookmarkEnd w:id="2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Diamonds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oxrvxabkkaz" w:id="27"/>
            <w:bookmarkEnd w:id="2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zzx3shp24fn" w:id="28"/>
            <w:bookmarkEnd w:id="28"/>
            <w:r w:rsidDel="00000000" w:rsidR="00000000" w:rsidRPr="00000000">
              <w:rPr>
                <w:rtl w:val="0"/>
              </w:rPr>
            </w:r>
          </w:p>
        </w:tc>
      </w:tr>
      <w:tr>
        <w:trPr>
          <w:cantSplit w:val="0"/>
          <w:trHeight w:val="90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8">
            <w:pPr>
              <w:spacing w:before="240" w:lineRule="auto"/>
              <w:rPr>
                <w:rFonts w:ascii="Times New Roman" w:cs="Times New Roman" w:eastAsia="Times New Roman" w:hAnsi="Times New Roman"/>
                <w:sz w:val="20"/>
                <w:szCs w:val="20"/>
              </w:rPr>
            </w:pPr>
            <w:bookmarkStart w:colFirst="0" w:colLast="0" w:name="_maw7ikl8s4ec" w:id="29"/>
            <w:bookmarkEnd w:id="2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Earth and stone           </w:t>
              <w:tab/>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0gveovef2rz" w:id="30"/>
            <w:bookmarkEnd w:id="3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6ua7i04rs6" w:id="31"/>
            <w:bookmarkEnd w:id="31"/>
            <w:r w:rsidDel="00000000" w:rsidR="00000000" w:rsidRPr="00000000">
              <w:rPr>
                <w:rtl w:val="0"/>
              </w:rPr>
            </w:r>
          </w:p>
        </w:tc>
      </w:tr>
      <w:tr>
        <w:trPr>
          <w:cantSplit w:val="0"/>
          <w:trHeight w:val="770"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D">
            <w:pPr>
              <w:spacing w:before="240" w:lineRule="auto"/>
              <w:rPr>
                <w:rFonts w:ascii="Times New Roman" w:cs="Times New Roman" w:eastAsia="Times New Roman" w:hAnsi="Times New Roman"/>
                <w:sz w:val="20"/>
                <w:szCs w:val="20"/>
              </w:rPr>
            </w:pPr>
            <w:bookmarkStart w:colFirst="0" w:colLast="0" w:name="_9fyfosrkcd0e" w:id="32"/>
            <w:bookmarkEnd w:id="3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Gold, titanium ore, vanadium ore, and rare earth minerals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B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7migglfv4vk" w:id="33"/>
            <w:bookmarkEnd w:id="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87kt4i61057" w:id="34"/>
            <w:bookmarkEnd w:id="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2">
            <w:pPr>
              <w:spacing w:before="240" w:lineRule="auto"/>
              <w:rPr>
                <w:rFonts w:ascii="Times New Roman" w:cs="Times New Roman" w:eastAsia="Times New Roman" w:hAnsi="Times New Roman"/>
                <w:sz w:val="20"/>
                <w:szCs w:val="20"/>
              </w:rPr>
            </w:pPr>
            <w:bookmarkStart w:colFirst="0" w:colLast="0" w:name="_8pn1kjrsnoi4" w:id="35"/>
            <w:bookmarkEnd w:id="3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Iron, steel, and other metals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agc22vr87e5" w:id="36"/>
            <w:bookmarkEnd w:id="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pnginmz50t7" w:id="37"/>
            <w:bookmarkEnd w:id="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V19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7">
            <w:pPr>
              <w:spacing w:before="240" w:lineRule="auto"/>
              <w:rPr>
                <w:rFonts w:ascii="Times New Roman" w:cs="Times New Roman" w:eastAsia="Times New Roman" w:hAnsi="Times New Roman"/>
                <w:sz w:val="20"/>
                <w:szCs w:val="20"/>
              </w:rPr>
            </w:pPr>
            <w:bookmarkStart w:colFirst="0" w:colLast="0" w:name="_b8eyydxty1l4" w:id="38"/>
            <w:bookmarkEnd w:id="3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Lead and lead ore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c2010vkfbmi" w:id="39"/>
            <w:bookmarkEnd w:id="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i5j3vlwti9a" w:id="40"/>
            <w:bookmarkEnd w:id="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C">
            <w:pPr>
              <w:spacing w:before="240" w:lineRule="auto"/>
              <w:rPr>
                <w:rFonts w:ascii="Times New Roman" w:cs="Times New Roman" w:eastAsia="Times New Roman" w:hAnsi="Times New Roman"/>
                <w:sz w:val="20"/>
                <w:szCs w:val="20"/>
              </w:rPr>
            </w:pPr>
            <w:bookmarkStart w:colFirst="0" w:colLast="0" w:name="_8hpzyysz5fib" w:id="41"/>
            <w:bookmarkEnd w:id="4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Timber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m47zfy8mzsp" w:id="42"/>
            <w:bookmarkEnd w:id="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C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p4vuhp50vkqg" w:id="43"/>
            <w:bookmarkEnd w:id="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1">
            <w:pPr>
              <w:spacing w:before="240" w:lineRule="auto"/>
              <w:rPr>
                <w:rFonts w:ascii="Times New Roman" w:cs="Times New Roman" w:eastAsia="Times New Roman" w:hAnsi="Times New Roman"/>
                <w:sz w:val="20"/>
                <w:szCs w:val="20"/>
              </w:rPr>
            </w:pPr>
            <w:bookmarkStart w:colFirst="0" w:colLast="0" w:name="_h8fv9gre92fs" w:id="44"/>
            <w:bookmarkEnd w:id="4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2">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23wz5j2418tk" w:id="45"/>
            <w:bookmarkEnd w:id="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ccsrjdu27v6" w:id="46"/>
            <w:bookmarkEnd w:id="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6">
            <w:pPr>
              <w:spacing w:before="240" w:lineRule="auto"/>
              <w:rPr>
                <w:rFonts w:ascii="Times New Roman" w:cs="Times New Roman" w:eastAsia="Times New Roman" w:hAnsi="Times New Roman"/>
                <w:sz w:val="20"/>
                <w:szCs w:val="20"/>
              </w:rPr>
            </w:pPr>
            <w:bookmarkStart w:colFirst="0" w:colLast="0" w:name="_xupceh32dn41" w:id="47"/>
            <w:bookmarkEnd w:id="4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Textiles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p9ptybx4wq8" w:id="48"/>
            <w:bookmarkEnd w:id="4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7cyliqaxi49n" w:id="49"/>
            <w:bookmarkEnd w:id="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B">
            <w:pPr>
              <w:spacing w:before="240" w:lineRule="auto"/>
              <w:rPr>
                <w:rFonts w:ascii="Times New Roman" w:cs="Times New Roman" w:eastAsia="Times New Roman" w:hAnsi="Times New Roman"/>
                <w:sz w:val="20"/>
                <w:szCs w:val="20"/>
              </w:rPr>
            </w:pPr>
            <w:bookmarkStart w:colFirst="0" w:colLast="0" w:name="_unqkn6eeyrtb" w:id="50"/>
            <w:bookmarkEnd w:id="5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Seafood</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f3pqfih9dcx" w:id="51"/>
            <w:bookmarkEnd w:id="5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qgkvwcsj9qb" w:id="52"/>
            <w:bookmarkEnd w:id="5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D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0">
            <w:pPr>
              <w:spacing w:before="240" w:lineRule="auto"/>
              <w:rPr>
                <w:rFonts w:ascii="Times New Roman" w:cs="Times New Roman" w:eastAsia="Times New Roman" w:hAnsi="Times New Roman"/>
                <w:sz w:val="20"/>
                <w:szCs w:val="20"/>
              </w:rPr>
            </w:pPr>
            <w:bookmarkStart w:colFirst="0" w:colLast="0" w:name="_qg76bjpc15xv" w:id="53"/>
            <w:bookmarkEnd w:id="5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Illicit crude oil exports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p2k56kpkndu" w:id="54"/>
            <w:bookmarkEnd w:id="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422qxvdyshd" w:id="55"/>
            <w:bookmarkEnd w:id="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5">
            <w:pPr>
              <w:spacing w:before="240" w:lineRule="auto"/>
              <w:rPr>
                <w:rFonts w:ascii="Times New Roman" w:cs="Times New Roman" w:eastAsia="Times New Roman" w:hAnsi="Times New Roman"/>
                <w:sz w:val="20"/>
                <w:szCs w:val="20"/>
              </w:rPr>
            </w:pPr>
            <w:bookmarkStart w:colFirst="0" w:colLast="0" w:name="_yu7ah4qdojcq" w:id="56"/>
            <w:bookmarkEnd w:id="5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 fuel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i635mr6aml5" w:id="57"/>
            <w:bookmarkEnd w:id="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du3f4gj6xld" w:id="58"/>
            <w:bookmarkEnd w:id="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A">
            <w:pPr>
              <w:spacing w:before="240" w:lineRule="auto"/>
              <w:rPr>
                <w:rFonts w:ascii="Times New Roman" w:cs="Times New Roman" w:eastAsia="Times New Roman" w:hAnsi="Times New Roman"/>
                <w:sz w:val="20"/>
                <w:szCs w:val="20"/>
              </w:rPr>
            </w:pPr>
            <w:bookmarkStart w:colFirst="0" w:colLast="0" w:name="_t8qtdi76w479" w:id="59"/>
            <w:bookmarkEnd w:id="5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B">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Crude oil imports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os7az7mvrir" w:id="60"/>
            <w:bookmarkEnd w:id="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4gs2qq1ni7u" w:id="61"/>
            <w:bookmarkEnd w:id="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E">
            <w:pPr>
              <w:spacing w:before="240" w:lineRule="auto"/>
              <w:rPr>
                <w:rFonts w:ascii="Times New Roman" w:cs="Times New Roman" w:eastAsia="Times New Roman" w:hAnsi="Times New Roman"/>
                <w:sz w:val="20"/>
                <w:szCs w:val="20"/>
              </w:rPr>
            </w:pPr>
            <w:bookmarkStart w:colFirst="0" w:colLast="0" w:name="_noyrjxy05nt6" w:id="62"/>
            <w:bookmarkEnd w:id="62"/>
            <w:r w:rsidDel="00000000" w:rsidR="00000000" w:rsidRPr="00000000">
              <w:rPr>
                <w:rFonts w:ascii="Times New Roman" w:cs="Times New Roman" w:eastAsia="Times New Roman" w:hAnsi="Times New Roman"/>
                <w:sz w:val="20"/>
                <w:szCs w:val="20"/>
                <w:rtl w:val="0"/>
              </w:rPr>
              <w:t xml:space="preserve">V27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EF">
            <w:pPr>
              <w:spacing w:before="240" w:lineRule="auto"/>
              <w:rPr>
                <w:rFonts w:ascii="Times New Roman" w:cs="Times New Roman" w:eastAsia="Times New Roman" w:hAnsi="Times New Roman"/>
                <w:sz w:val="20"/>
                <w:szCs w:val="20"/>
              </w:rPr>
            </w:pPr>
            <w:bookmarkStart w:colFirst="0" w:colLast="0" w:name="_2lfxxoupt072" w:id="63"/>
            <w:bookmarkEnd w:id="63"/>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0">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Condensates and natural gas liquids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l5im7nln5xlj" w:id="64"/>
            <w:bookmarkEnd w:id="6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4wsvs6v1fir" w:id="65"/>
            <w:bookmarkEnd w:id="6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4">
            <w:pPr>
              <w:spacing w:before="240" w:lineRule="auto"/>
              <w:rPr>
                <w:rFonts w:ascii="Times New Roman" w:cs="Times New Roman" w:eastAsia="Times New Roman" w:hAnsi="Times New Roman"/>
                <w:sz w:val="20"/>
                <w:szCs w:val="20"/>
              </w:rPr>
            </w:pPr>
            <w:bookmarkStart w:colFirst="0" w:colLast="0" w:name="_o412e8n7kbbj" w:id="66"/>
            <w:bookmarkEnd w:id="66"/>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5">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Petroleum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po5bvws0faq" w:id="67"/>
            <w:bookmarkEnd w:id="6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z8efsqvp5dy" w:id="68"/>
            <w:bookmarkEnd w:id="6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V29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9">
            <w:pPr>
              <w:spacing w:before="240" w:lineRule="auto"/>
              <w:rPr>
                <w:rFonts w:ascii="Times New Roman" w:cs="Times New Roman" w:eastAsia="Times New Roman" w:hAnsi="Times New Roman"/>
                <w:sz w:val="20"/>
                <w:szCs w:val="20"/>
              </w:rPr>
            </w:pPr>
            <w:bookmarkStart w:colFirst="0" w:colLast="0" w:name="_ox85o9vr9vm8" w:id="69"/>
            <w:bookmarkEnd w:id="69"/>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A">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Food and agricultural products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dxn035xqwmpj" w:id="70"/>
            <w:bookmarkEnd w:id="7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tbltxios0m9" w:id="71"/>
            <w:bookmarkEnd w:id="7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E">
            <w:pPr>
              <w:spacing w:before="240" w:lineRule="auto"/>
              <w:rPr>
                <w:rFonts w:ascii="Times New Roman" w:cs="Times New Roman" w:eastAsia="Times New Roman" w:hAnsi="Times New Roman"/>
                <w:sz w:val="20"/>
                <w:szCs w:val="20"/>
              </w:rPr>
            </w:pPr>
            <w:bookmarkStart w:colFirst="0" w:colLast="0" w:name="_a8dfxh3rsda" w:id="72"/>
            <w:bookmarkEnd w:id="72"/>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FF">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Acetic anhydride (heroine processing chemical)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tqgorvkxk3d" w:id="73"/>
            <w:bookmarkEnd w:id="7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lunxbgd6p71" w:id="74"/>
            <w:bookmarkEnd w:id="7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3">
            <w:pPr>
              <w:spacing w:before="240" w:lineRule="auto"/>
              <w:rPr>
                <w:rFonts w:ascii="Times New Roman" w:cs="Times New Roman" w:eastAsia="Times New Roman" w:hAnsi="Times New Roman"/>
                <w:sz w:val="20"/>
                <w:szCs w:val="20"/>
              </w:rPr>
            </w:pPr>
            <w:bookmarkStart w:colFirst="0" w:colLast="0" w:name="_9psr0llcs10l" w:id="75"/>
            <w:bookmarkEnd w:id="75"/>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Cultural property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fg3vugskdkcd" w:id="76"/>
            <w:bookmarkEnd w:id="7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6iraq3kmnqe" w:id="77"/>
            <w:bookmarkEnd w:id="7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8">
            <w:pPr>
              <w:spacing w:before="240" w:lineRule="auto"/>
              <w:rPr>
                <w:rFonts w:ascii="Times New Roman" w:cs="Times New Roman" w:eastAsia="Times New Roman" w:hAnsi="Times New Roman"/>
                <w:sz w:val="20"/>
                <w:szCs w:val="20"/>
              </w:rPr>
            </w:pPr>
            <w:bookmarkStart w:colFirst="0" w:colLast="0" w:name="_ob9mmdz0bpla" w:id="78"/>
            <w:bookmarkEnd w:id="78"/>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Statues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m9vd5wpurjw" w:id="79"/>
            <w:bookmarkEnd w:id="7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nwmyel0rbkc" w:id="80"/>
            <w:bookmarkEnd w:id="8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D">
            <w:pPr>
              <w:spacing w:before="240" w:lineRule="auto"/>
              <w:rPr>
                <w:rFonts w:ascii="Times New Roman" w:cs="Times New Roman" w:eastAsia="Times New Roman" w:hAnsi="Times New Roman"/>
                <w:sz w:val="20"/>
                <w:szCs w:val="20"/>
              </w:rPr>
            </w:pPr>
            <w:bookmarkStart w:colFirst="0" w:colLast="0" w:name="_amo2hgd2efvo" w:id="81"/>
            <w:bookmarkEnd w:id="81"/>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0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eee9tl9yexs" w:id="82"/>
            <w:bookmarkEnd w:id="8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it80elcc00u" w:id="83"/>
            <w:bookmarkEnd w:id="8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2">
            <w:pPr>
              <w:spacing w:before="240" w:lineRule="auto"/>
              <w:rPr>
                <w:rFonts w:ascii="Times New Roman" w:cs="Times New Roman" w:eastAsia="Times New Roman" w:hAnsi="Times New Roman"/>
                <w:sz w:val="20"/>
                <w:szCs w:val="20"/>
              </w:rPr>
            </w:pPr>
            <w:bookmarkStart w:colFirst="0" w:colLast="0" w:name="_hv2yoqeqhxas" w:id="84"/>
            <w:bookmarkEnd w:id="84"/>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Industrial machinery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q07av7l7edy" w:id="85"/>
            <w:bookmarkEnd w:id="8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66brx1td1is" w:id="86"/>
            <w:bookmarkEnd w:id="8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7">
            <w:pPr>
              <w:spacing w:before="240" w:lineRule="auto"/>
              <w:rPr>
                <w:rFonts w:ascii="Times New Roman" w:cs="Times New Roman" w:eastAsia="Times New Roman" w:hAnsi="Times New Roman"/>
                <w:sz w:val="20"/>
                <w:szCs w:val="20"/>
              </w:rPr>
            </w:pPr>
            <w:bookmarkStart w:colFirst="0" w:colLast="0" w:name="_j1i3fdpcglvh" w:id="87"/>
            <w:bookmarkEnd w:id="87"/>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8">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Electrical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u128buv8lio" w:id="88"/>
            <w:bookmarkEnd w:id="88"/>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lkqf4x57969" w:id="89"/>
            <w:bookmarkEnd w:id="8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C">
            <w:pPr>
              <w:spacing w:before="240" w:lineRule="auto"/>
              <w:rPr>
                <w:rFonts w:ascii="Times New Roman" w:cs="Times New Roman" w:eastAsia="Times New Roman" w:hAnsi="Times New Roman"/>
                <w:sz w:val="20"/>
                <w:szCs w:val="20"/>
              </w:rPr>
            </w:pPr>
            <w:bookmarkStart w:colFirst="0" w:colLast="0" w:name="_xaj1cj7qydy" w:id="90"/>
            <w:bookmarkEnd w:id="90"/>
            <w:r w:rsidDel="00000000" w:rsidR="00000000" w:rsidRPr="00000000">
              <w:rPr>
                <w:rFonts w:ascii="Times New Roman" w:cs="Times New Roman" w:eastAsia="Times New Roman" w:hAnsi="Times New Roman"/>
                <w:sz w:val="20"/>
                <w:szCs w:val="20"/>
                <w:rtl w:val="0"/>
              </w:rPr>
              <w:t xml:space="preserve">Goods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D">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Mining equipment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al9s0xg89n2" w:id="91"/>
            <w:bookmarkEnd w:id="91"/>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5grhptrmlnm" w:id="92"/>
            <w:bookmarkEnd w:id="92"/>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1">
            <w:pPr>
              <w:spacing w:before="240" w:lineRule="auto"/>
              <w:rPr>
                <w:rFonts w:ascii="Times New Roman" w:cs="Times New Roman" w:eastAsia="Times New Roman" w:hAnsi="Times New Roman"/>
                <w:sz w:val="20"/>
                <w:szCs w:val="20"/>
              </w:rPr>
            </w:pPr>
            <w:bookmarkStart w:colFirst="0" w:colLast="0" w:name="_a3k3lzafeyuc" w:id="93"/>
            <w:bookmarkEnd w:id="93"/>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Diaspora</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11cqlbx844i" w:id="94"/>
            <w:bookmarkEnd w:id="9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9hglnrcc5zi7" w:id="95"/>
            <w:bookmarkEnd w:id="9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6">
            <w:pPr>
              <w:spacing w:before="240" w:lineRule="auto"/>
              <w:rPr>
                <w:rFonts w:ascii="Times New Roman" w:cs="Times New Roman" w:eastAsia="Times New Roman" w:hAnsi="Times New Roman"/>
                <w:sz w:val="20"/>
                <w:szCs w:val="20"/>
              </w:rPr>
            </w:pPr>
            <w:bookmarkStart w:colFirst="0" w:colLast="0" w:name="_3edseg9f1hvp" w:id="96"/>
            <w:bookmarkEnd w:id="96"/>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transactions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zz7e5blal6m" w:id="97"/>
            <w:bookmarkEnd w:id="9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ssx6mr1c7s" w:id="98"/>
            <w:bookmarkEnd w:id="9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V39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B">
            <w:pPr>
              <w:spacing w:before="240" w:lineRule="auto"/>
              <w:rPr>
                <w:rFonts w:ascii="Times New Roman" w:cs="Times New Roman" w:eastAsia="Times New Roman" w:hAnsi="Times New Roman"/>
                <w:sz w:val="20"/>
                <w:szCs w:val="20"/>
              </w:rPr>
            </w:pPr>
            <w:bookmarkStart w:colFirst="0" w:colLast="0" w:name="_ug1us0adooag" w:id="99"/>
            <w:bookmarkEnd w:id="9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Banks and financial institutions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rinm75and4b" w:id="100"/>
            <w:bookmarkEnd w:id="10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bdgap2xod3r" w:id="101"/>
            <w:bookmarkEnd w:id="10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2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0">
            <w:pPr>
              <w:spacing w:before="240" w:lineRule="auto"/>
              <w:rPr>
                <w:rFonts w:ascii="Times New Roman" w:cs="Times New Roman" w:eastAsia="Times New Roman" w:hAnsi="Times New Roman"/>
                <w:sz w:val="20"/>
                <w:szCs w:val="20"/>
              </w:rPr>
            </w:pPr>
            <w:bookmarkStart w:colFirst="0" w:colLast="0" w:name="_ncj392pl55uu" w:id="102"/>
            <w:bookmarkEnd w:id="102"/>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Financial support for trade with target</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4512neln2kq" w:id="103"/>
            <w:bookmarkEnd w:id="10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8yrapi6s9fex" w:id="104"/>
            <w:bookmarkEnd w:id="10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before="240" w:lineRule="auto"/>
              <w:rPr>
                <w:rFonts w:ascii="Times New Roman" w:cs="Times New Roman" w:eastAsia="Times New Roman" w:hAnsi="Times New Roman"/>
                <w:sz w:val="20"/>
                <w:szCs w:val="20"/>
              </w:rPr>
            </w:pPr>
            <w:bookmarkStart w:colFirst="0" w:colLast="0" w:name="_i5a1cqg44bse" w:id="105"/>
            <w:bookmarkEnd w:id="105"/>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Government assets and economic resources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8fg5cdld2fl" w:id="106"/>
            <w:bookmarkEnd w:id="10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s8hqyghhmtyj" w:id="107"/>
            <w:bookmarkEnd w:id="107"/>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before="240" w:lineRule="auto"/>
              <w:rPr>
                <w:rFonts w:ascii="Times New Roman" w:cs="Times New Roman" w:eastAsia="Times New Roman" w:hAnsi="Times New Roman"/>
                <w:sz w:val="20"/>
                <w:szCs w:val="20"/>
              </w:rPr>
            </w:pPr>
            <w:bookmarkStart w:colFirst="0" w:colLast="0" w:name="_xr4x8f1mbdzj" w:id="108"/>
            <w:bookmarkEnd w:id="108"/>
            <w:r w:rsidDel="00000000" w:rsidR="00000000" w:rsidRPr="00000000">
              <w:rPr>
                <w:rFonts w:ascii="Times New Roman" w:cs="Times New Roman" w:eastAsia="Times New Roman" w:hAnsi="Times New Roman"/>
                <w:sz w:val="20"/>
                <w:szCs w:val="20"/>
                <w:rtl w:val="0"/>
              </w:rPr>
              <w:t xml:space="preserve">V42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before="240" w:lineRule="auto"/>
              <w:rPr>
                <w:rFonts w:ascii="Times New Roman" w:cs="Times New Roman" w:eastAsia="Times New Roman" w:hAnsi="Times New Roman"/>
                <w:sz w:val="20"/>
                <w:szCs w:val="20"/>
              </w:rPr>
            </w:pPr>
            <w:bookmarkStart w:colFirst="0" w:colLast="0" w:name="_em3opesusqx3" w:id="109"/>
            <w:bookmarkEnd w:id="109"/>
            <w:r w:rsidDel="00000000" w:rsidR="00000000" w:rsidRPr="00000000">
              <w:rPr>
                <w:rFonts w:ascii="Times New Roman" w:cs="Times New Roman" w:eastAsia="Times New Roman" w:hAnsi="Times New Roman"/>
                <w:sz w:val="20"/>
                <w:szCs w:val="20"/>
                <w:rtl w:val="0"/>
              </w:rPr>
              <w:t xml:space="preserve">Money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 entity asset freeze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189. While many Member States noted that they had such systems in place, only a few shared information regarding suspicious transaction reports, violations or attempted violations. For example: (a) One State bordering the Islamic Republic of Iran said that it had revoked the licence of a money transfer company in 2008; (b) One State informed the Panel that its financial intelligence unit had received and investigated several suspicious transaction reports in connection with transactions involving Bank Saderat during the period 2006-2007. It could not be ascertained that those were relevant to United Nations resolutions. The financial intelligence unit had also carried out checks on the basis of information received from other Member States during 2007, but no information had been found related to United Nations sanctions; (c) One State said that on-site inspections of Bank Mellat had identified two examples of failure to follow proper procedures; (d) One State noted that transactions from banks in one Middle Eastern State with Iranian shareholders had been blocked based on intelligence received from foreign sources.</w:t>
            </w:r>
            <w:r w:rsidDel="00000000" w:rsidR="00000000" w:rsidRPr="00000000">
              <w:rPr>
                <w:rtl w:val="0"/>
              </w:rPr>
            </w:r>
          </w:p>
          <w:p w:rsidR="00000000" w:rsidDel="00000000" w:rsidP="00000000" w:rsidRDefault="00000000" w:rsidRPr="00000000" w14:paraId="0000013E">
            <w:pPr>
              <w:spacing w:after="0" w:before="0" w:line="240" w:lineRule="auto"/>
              <w:rPr/>
            </w:pPr>
            <w:r w:rsidDel="00000000" w:rsidR="00000000" w:rsidRPr="00000000">
              <w:rPr>
                <w:rtl w:val="0"/>
              </w:rPr>
            </w:r>
          </w:p>
          <w:p w:rsidR="00000000" w:rsidDel="00000000" w:rsidP="00000000" w:rsidRDefault="00000000" w:rsidRPr="00000000" w14:paraId="0000013F">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 Complex Corporate Structures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219. For example, the construction wing of the Corps, Khatam al-Anbiya Construction Headquarters, which is designated under resolution 1929 (2010), is engaged in numerous projects, including dams, buildings, roads, tunnels and underground structures, ports, oil installations, telecommunications, transportation, energy and transmission lines for oil, gas, water and sewage. It has dozens of subsidiaries and partners. One estimate even suggests that it has more than 800 subsidiaries34 and, according to the entity itself, it has completed hundreds of projects.35 The position of its Director is traditionally occupied by influential officers of the Islamic Revolutionary Guards Corps. The current Minister of Oil, Rostam Qasemi, is a former Director.36 Other major projects, such as airport operations, are carried out by other construction entities under the control of the Corps.</w:t>
            </w:r>
            <w:r w:rsidDel="00000000" w:rsidR="00000000" w:rsidRPr="00000000">
              <w:rPr>
                <w:rtl w:val="0"/>
              </w:rPr>
            </w:r>
          </w:p>
          <w:p w:rsidR="00000000" w:rsidDel="00000000" w:rsidP="00000000" w:rsidRDefault="00000000" w:rsidRPr="00000000" w14:paraId="00000145">
            <w:pPr>
              <w:spacing w:after="0" w:before="0" w:line="240" w:lineRule="auto"/>
              <w:rPr/>
            </w:pPr>
            <w:r w:rsidDel="00000000" w:rsidR="00000000" w:rsidRPr="00000000">
              <w:rPr>
                <w:rtl w:val="0"/>
              </w:rPr>
            </w:r>
          </w:p>
          <w:p w:rsidR="00000000" w:rsidDel="00000000" w:rsidP="00000000" w:rsidRDefault="00000000" w:rsidRPr="00000000" w14:paraId="00000146">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Reflagging and Re-Registering Vessels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 In July 2012, shareholders of the company publicly confirmed their decision to dissolve it. While the process towards dissolution and liquidation appears to be ongoing, operations of its vessels are continuing. Several changes in registration and ownership took place in the company fleet during the reporting period, including de-flagging. These changes are illustrated in annex IV. 125. Two crude oil tankers, the Amin 2 and Tour 2, remain under the beneficial ownership of a company affiliated with the Irano Hind Shipping Company, although they were transferred to a different registered owner that ceased to exist soon after. The Amin 2 and Tour 2 repeatedly sailed between the Islamic Republic of Iran and the Syrian Arab Republic during the reporting period (see annex V). According to one State, following de-flagging they began having difficulties passing through the Suez Canal (see annex VI). It appears that the de-flagging effectively hindered the operations of vessels controlled by the Irano Hind Shipping Company. 126. A third oil tanker, the Volga, was transferred to a different owner who does not appear to be affiliated with the Irano Hind Shipping Company. After the change of ownership, it began sailing the same shipping routes connecting the Islamic Republic of Iran and the Syrian Arab Republic as the Amin 2 and Tour 2 but without the difficulties encountered by those two tankers (see annex V). 127. The Amin 2 has now been left with no option other than to fly the flag of the Islamic Republic of Iran. The same situation also appears to apply to other vessels related to the Islamic Republic of Iran Shipping Lines, which is not a designated entity as a whole (see annex VII).</w:t>
            </w:r>
            <w:r w:rsidDel="00000000" w:rsidR="00000000" w:rsidRPr="00000000">
              <w:rPr>
                <w:rtl w:val="0"/>
              </w:rPr>
            </w:r>
          </w:p>
          <w:p w:rsidR="00000000" w:rsidDel="00000000" w:rsidP="00000000" w:rsidRDefault="00000000" w:rsidRPr="00000000" w14:paraId="0000014C">
            <w:pPr>
              <w:spacing w:after="0" w:before="0" w:line="240" w:lineRule="auto"/>
              <w:rPr/>
            </w:pPr>
            <w:r w:rsidDel="00000000" w:rsidR="00000000" w:rsidRPr="00000000">
              <w:rPr>
                <w:rtl w:val="0"/>
              </w:rPr>
            </w:r>
          </w:p>
          <w:p w:rsidR="00000000" w:rsidDel="00000000" w:rsidP="00000000" w:rsidRDefault="00000000" w:rsidRPr="00000000" w14:paraId="0000014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930.820312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Hiding Beneficial Ownership,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131. On the basis of their connections with prohibited activities by the Islamic Republic of Iran, 78 entities have been designated by the Security Council or Committee and their assets have been frozen. In addition, the resolutions require the freezing of assets belonging to entities “acting on behalf of, or at the direction of” or “owned or controlled by” designated entities. The Panel notes that ambiguity as to the meaning of these terms allows the Islamic Republic of Iran to shift procurement activities to non-designated entities, thus minimizing disturbance to its procurement networks. 132. During the course of the mandate, several States brought the names of entities that were assessed by them to be involved in prohibited activities but which are not designated under the resolutions to the attention of the Panel. The Panel’s research shows that some of those entities are subsidiaries of, or partners with, designated entities. For example, several States highlighted the importance of the Iran Centrifuge Technology Company, also known as TESA, which reportedly operates an IR-1 centrifuge assembly facility at Natanz, to the national gas centrifuge programme. The company took over the activities of Farayand Technique, which is designated under resolution 1737 (2007). The company is also a subsidiary of the Atomic Energy Organization of Iran.</w:t>
            </w:r>
            <w:r w:rsidDel="00000000" w:rsidR="00000000" w:rsidRPr="00000000">
              <w:rPr>
                <w:rtl w:val="0"/>
              </w:rPr>
            </w:r>
          </w:p>
          <w:p w:rsidR="00000000" w:rsidDel="00000000" w:rsidP="00000000" w:rsidRDefault="00000000" w:rsidRPr="00000000" w14:paraId="00000153">
            <w:pPr>
              <w:spacing w:after="0" w:before="0" w:line="240" w:lineRule="auto"/>
              <w:rPr/>
            </w:pPr>
            <w:r w:rsidDel="00000000" w:rsidR="00000000" w:rsidRPr="00000000">
              <w:rPr>
                <w:rtl w:val="0"/>
              </w:rPr>
            </w:r>
          </w:p>
          <w:p w:rsidR="00000000" w:rsidDel="00000000" w:rsidP="00000000" w:rsidRDefault="00000000" w:rsidRPr="00000000" w14:paraId="0000015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before="240" w:lineRule="auto"/>
              <w:rPr>
                <w:rFonts w:ascii="Times New Roman" w:cs="Times New Roman" w:eastAsia="Times New Roman" w:hAnsi="Times New Roman"/>
                <w:sz w:val="20"/>
                <w:szCs w:val="20"/>
              </w:rPr>
            </w:pPr>
            <w:bookmarkStart w:colFirst="0" w:colLast="0" w:name="_eruog7uwezoc" w:id="110"/>
            <w:bookmarkEnd w:id="110"/>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Training, assistance, and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noted that the Safir space launch vehicle itself was not designed to carry a nuclear weapon. The majority of the Panel concluded that the satellite launch was related to ballistic missiles capable of delivering nuclear weapons, based on the space launch vehicle’s derivation from two nuclear-capable missiles (the Shahab-3 and the R-27 submarine-launched ballistic missile in its second stage). Three members of the Panel concluded that the launch was not an activity related to a ballistic missile capable of delivering nuclear weapons. The majority of the Panel also concluded that the Safir space launch vehicle made use of ballistic missile technology, and therefore constituted a violation of paragraph 9 of resolution 1929 (2010). Two members of the Panel believed that it was difficult to reach such a firm conclusion.</w:t>
            </w:r>
            <w:r w:rsidDel="00000000" w:rsidR="00000000" w:rsidRPr="00000000">
              <w:rPr>
                <w:rtl w:val="0"/>
              </w:rPr>
            </w:r>
          </w:p>
          <w:p w:rsidR="00000000" w:rsidDel="00000000" w:rsidP="00000000" w:rsidRDefault="00000000" w:rsidRPr="00000000" w14:paraId="0000015A">
            <w:pPr>
              <w:spacing w:after="0" w:before="0" w:line="240" w:lineRule="auto"/>
              <w:rPr/>
            </w:pPr>
            <w:r w:rsidDel="00000000" w:rsidR="00000000" w:rsidRPr="00000000">
              <w:rPr>
                <w:rtl w:val="0"/>
              </w:rPr>
            </w:r>
          </w:p>
          <w:p w:rsidR="00000000" w:rsidDel="00000000" w:rsidP="00000000" w:rsidRDefault="00000000" w:rsidRPr="00000000" w14:paraId="0000015B">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Jurisdictional Arbitrage/Triangulation, Third-Party Intermediaries, Use of Shell Companies,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This case involves the acquisition of 1,767 valves on behalf of Modern Industries Technique Company, beginning in 2007 and continuing into 2011, for the IR-40 heavy water research reactor under construction at Arak. Out of the original total, 1,163 valves reportedly reached the company, which is designated under resolution 1929 (2010) as “responsible for design and construction of the IR-40 heavy water reactor in Arak”. 19. The Panel obtained several documents, including one from the company itself, addressed to Pentane Chemistry Industries, which contained detailed technical specifications for the valves. The order fell into three categories of valves that were initially all intended to be procured in Germany. Because of scrutiny from export control authorities and heightened vigilance over such transfers to the Islamic Republic of Iran, some of the valves were commissioned by the same Iranian agent overseeing procurement in Germany to be procured and manufactured in a third country. 20. One group of 856 valves had a number of features consistent with use in the context of a heavy water reactor, including the material specified for valve body construction, welded, bellows sealed valves, valve stem packing material, valve actuators specified according to the Institute of Electrical and Electronic Engineers (IEEE) Standard 382 2006 for nuclear power generating stations and actuators with an Ingress Protection (IP) rating of 67. 21. This procurement involved the use of front companies in other third countries and false end-user documentation. It also highlights the involvement of Pentane Chemistry Industries in procurement on behalf of Iranian heavy water-related activities. A previous case investigated by the Panel and reported to the Committee involving an attempted procurement of phosphor bronze wire mesh also involved this same entity. 22. The Panel concluded that Iranian procurement of these valves is an activity prohibited under resolution 1929 (2010) and that, as such, it constituted a violation of the country’s Security Council obligatio</w:t>
            </w:r>
            <w:r w:rsidDel="00000000" w:rsidR="00000000" w:rsidRPr="00000000">
              <w:rPr>
                <w:rtl w:val="0"/>
              </w:rPr>
            </w:r>
          </w:p>
          <w:p w:rsidR="00000000" w:rsidDel="00000000" w:rsidP="00000000" w:rsidRDefault="00000000" w:rsidRPr="00000000" w14:paraId="00000161">
            <w:pPr>
              <w:spacing w:after="0" w:before="0" w:line="240" w:lineRule="auto"/>
              <w:rPr/>
            </w:pPr>
            <w:r w:rsidDel="00000000" w:rsidR="00000000" w:rsidRPr="00000000">
              <w:rPr>
                <w:rtl w:val="0"/>
              </w:rPr>
            </w:r>
          </w:p>
          <w:p w:rsidR="00000000" w:rsidDel="00000000" w:rsidP="00000000" w:rsidRDefault="00000000" w:rsidRPr="00000000" w14:paraId="0000016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Ignoring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04. Alleged arms transfers to Gaza: the Panel reported to the Committee a compilation of public statements on arms transfers to Gaza. The Panel noted that senior Iranian officials, including the Commander-in-Chief of the Islamic Revolutionary Guard Corps.25 have publicly stated that they provided military and financial assistance to non-State actors in Gaza. The recipients acknowledged receiving weapons and rockets from the Islamic Republic of Iran in November 2012. The Panel was requested to continue monitoring this issue.</w:t>
            </w:r>
            <w:r w:rsidDel="00000000" w:rsidR="00000000" w:rsidRPr="00000000">
              <w:rPr>
                <w:rtl w:val="0"/>
              </w:rPr>
            </w:r>
          </w:p>
          <w:p w:rsidR="00000000" w:rsidDel="00000000" w:rsidP="00000000" w:rsidRDefault="00000000" w:rsidRPr="00000000" w14:paraId="00000168">
            <w:pPr>
              <w:spacing w:after="0" w:before="0" w:line="240" w:lineRule="auto"/>
              <w:rPr/>
            </w:pPr>
            <w:r w:rsidDel="00000000" w:rsidR="00000000" w:rsidRPr="00000000">
              <w:rPr>
                <w:rtl w:val="0"/>
              </w:rPr>
            </w:r>
          </w:p>
          <w:p w:rsidR="00000000" w:rsidDel="00000000" w:rsidP="00000000" w:rsidRDefault="00000000" w:rsidRPr="00000000" w14:paraId="0000016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B">
            <w:pPr>
              <w:spacing w:before="240" w:lineRule="auto"/>
              <w:rPr>
                <w:rFonts w:ascii="Times New Roman" w:cs="Times New Roman" w:eastAsia="Times New Roman" w:hAnsi="Times New Roman"/>
                <w:sz w:val="20"/>
                <w:szCs w:val="20"/>
              </w:rPr>
            </w:pPr>
            <w:bookmarkStart w:colFirst="0" w:colLast="0" w:name="_9qihhnn12tq2" w:id="111"/>
            <w:bookmarkEnd w:id="11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C">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Imports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6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43. According to information received by the Panel, a Finnish manufacturer agreed in 2011 to sell a frequency converter to an engineering company in Pakistan, for which no export licence was required under Finnish law. The Pakistani freight forwarder handling the shipment subsequently requested that the consignee on the airway bill be changed to Farayand Pas Company in Tehran. The Finnish freight forwarder did so, making sure that the manufacturer was not alerted, but the air carrier refused to handle it on the basis that the harmonized standard code flagged the United Nations list of prohibited items. 44. The freight forwarders then decided to ship the consignment to a trading company in Dubai, United Arab Emirates. Dubai customs authorities impounded the shipment because of inconsistent documentation. Then the Pakistani engineering company asked for a new commercial invoice naming the Dubai trading company as the buyer, but the Finnish manufacturer refused.55</w:t>
            </w:r>
            <w:r w:rsidDel="00000000" w:rsidR="00000000" w:rsidRPr="00000000">
              <w:rPr>
                <w:rtl w:val="0"/>
              </w:rPr>
            </w:r>
          </w:p>
          <w:p w:rsidR="00000000" w:rsidDel="00000000" w:rsidP="00000000" w:rsidRDefault="00000000" w:rsidRPr="00000000" w14:paraId="0000016F">
            <w:pPr>
              <w:spacing w:after="0" w:before="0" w:line="240" w:lineRule="auto"/>
              <w:rPr/>
            </w:pPr>
            <w:r w:rsidDel="00000000" w:rsidR="00000000" w:rsidRPr="00000000">
              <w:rPr>
                <w:rtl w:val="0"/>
              </w:rPr>
            </w:r>
          </w:p>
          <w:p w:rsidR="00000000" w:rsidDel="00000000" w:rsidP="00000000" w:rsidRDefault="00000000" w:rsidRPr="00000000" w14:paraId="00000170">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1">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52. The Panel received copies of shipping documentation from a Member State relating to two shipments of aluminium sent to the Islamic Republic o f Iran on 3 and 23 July 2012 by a consignor (NBH Industries SDN BHD, Level 20 Menara Standard Chartered Bank, Kuala Lumpur) to an Iranian consignee (Automotive Industries Gohar Yaghot Neshan, of Khoramabad, Islamic Republic of Iran 61). Pending additional information on those shipments and their interdict ions, the Panel’s investigation continues. 53. The Panel’s analysis revealed that the same consignor, at the same address, was identified as a front company in court documents supporting an indictment issued by United States authorities62 in connection with an attempt in 2011 to export aluminium alloy 7075 tubing63 to Malaysia. This type of aluminium is of potential use in the Islamic Republic of Iran’s centrifuge programme.64 The shipping documents received by the Panel indicate that the consignor was active in 2012, procuring aluminium for the Islamic Republic of Iran</w:t>
            </w:r>
            <w:r w:rsidDel="00000000" w:rsidR="00000000" w:rsidRPr="00000000">
              <w:rPr>
                <w:rtl w:val="0"/>
              </w:rPr>
            </w:r>
          </w:p>
          <w:p w:rsidR="00000000" w:rsidDel="00000000" w:rsidP="00000000" w:rsidRDefault="00000000" w:rsidRPr="00000000" w14:paraId="00000176">
            <w:pPr>
              <w:spacing w:after="0" w:before="0" w:line="240" w:lineRule="auto"/>
              <w:rPr/>
            </w:pPr>
            <w:r w:rsidDel="00000000" w:rsidR="00000000" w:rsidRPr="00000000">
              <w:rPr>
                <w:rtl w:val="0"/>
              </w:rPr>
            </w:r>
          </w:p>
          <w:p w:rsidR="00000000" w:rsidDel="00000000" w:rsidP="00000000" w:rsidRDefault="00000000" w:rsidRPr="00000000" w14:paraId="00000177">
            <w:pPr>
              <w:spacing w:after="0" w:before="0" w:line="240" w:lineRule="auto"/>
              <w:rPr/>
            </w:pPr>
            <w:r w:rsidDel="00000000" w:rsidR="00000000" w:rsidRPr="00000000">
              <w:rPr>
                <w:rFonts w:ascii="Times New Roman" w:cs="Times New Roman" w:eastAsia="Times New Roman" w:hAnsi="Times New Roman"/>
                <w:sz w:val="20"/>
                <w:szCs w:val="20"/>
                <w:rtl w:val="0"/>
              </w:rPr>
              <w:t xml:space="preserve">2 June 2015, S/2015/401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Dual-Use Goods,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22. The Shahraz was carrying, inter alia, a consignment of 1,800 bobbins of carbon fibre, weighing a total of 7,200 kg. The carbon fibre was identified in packing materials and on documentation as T700SC-12000, a type of fibre manufactured by the Japan-based company Toray. Shipping documents identified the consignee as Hamidreza Afzalian Shirvan, Unit 2, No. 9 Biston 3 Alley, Biston St., Dastgheib Blvd., Mashad, Islamic Republic of Iran. According to commercial shipping databases, the Shahraz’s registered owner is recorded as Kish Roaring Ocean Shipping Company PJS (Private Joint Stock) of the Islamic Republic of Iran. The Panel’s research found the address and fax number of the shipper identified on the consignment’s bill of lading to be associated with South Shipping Line Iran (SSL), which is designated under Security Council resolution 1929 (2010). 23. The Panel was able to inspect, photograph, and take a sample of the carbon fibre. The material was also sent to Toray, which confirmed, on the basis of forensic analysis, that the carbon fibre fell above the control thresholds established in lists cited in resolution 1929 (2010)</w:t>
            </w:r>
            <w:r w:rsidDel="00000000" w:rsidR="00000000" w:rsidRPr="00000000">
              <w:rPr>
                <w:rtl w:val="0"/>
              </w:rPr>
            </w:r>
          </w:p>
          <w:p w:rsidR="00000000" w:rsidDel="00000000" w:rsidP="00000000" w:rsidRDefault="00000000" w:rsidRPr="00000000" w14:paraId="0000017D">
            <w:pPr>
              <w:spacing w:after="0" w:before="0" w:line="240" w:lineRule="auto"/>
              <w:rPr/>
            </w:pPr>
            <w:r w:rsidDel="00000000" w:rsidR="00000000" w:rsidRPr="00000000">
              <w:rPr>
                <w:rtl w:val="0"/>
              </w:rPr>
            </w:r>
          </w:p>
          <w:p w:rsidR="00000000" w:rsidDel="00000000" w:rsidP="00000000" w:rsidRDefault="00000000" w:rsidRPr="00000000" w14:paraId="0000017E">
            <w:pPr>
              <w:spacing w:after="0" w:before="0" w:line="240" w:lineRule="auto"/>
              <w:rPr/>
            </w:pPr>
            <w:r w:rsidDel="00000000" w:rsidR="00000000" w:rsidRPr="00000000">
              <w:rPr>
                <w:rFonts w:ascii="Times New Roman" w:cs="Times New Roman" w:eastAsia="Times New Roman" w:hAnsi="Times New Roman"/>
                <w:sz w:val="20"/>
                <w:szCs w:val="20"/>
                <w:rtl w:val="0"/>
              </w:rPr>
              <w:t xml:space="preserve">11 June 2014, S/2014/394</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7F">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36. The Panel noted that the Safir space launch vehicle itself was not designed to carry a nuclear weapon. The majority of the Panel concluded that the satellite launch was related to ballistic missiles capable of delivering nuclear weapons, based on the space launch vehicle’s derivation from two nuclear-capable missiles (the Shahab-3 and the R-27 submarine-launched ballistic missile in its second stage). Three members of the Panel concluded that the launch was not an activity related to a ballistic missile capable of delivering nuclear weapons. The majority of the Panel also concluded that the Safir space launch vehicle made use of ballistic missile technology, and therefore constituted a violation of paragraph 9 of resolution 1929 (2010). Two members of the Panel believed that it was difficult to reach such a firm conclusion.</w:t>
            </w:r>
            <w:r w:rsidDel="00000000" w:rsidR="00000000" w:rsidRPr="00000000">
              <w:rPr>
                <w:rtl w:val="0"/>
              </w:rPr>
            </w:r>
          </w:p>
          <w:p w:rsidR="00000000" w:rsidDel="00000000" w:rsidP="00000000" w:rsidRDefault="00000000" w:rsidRPr="00000000" w14:paraId="00000184">
            <w:pPr>
              <w:spacing w:after="0" w:before="0" w:line="240" w:lineRule="auto"/>
              <w:rPr/>
            </w:pPr>
            <w:r w:rsidDel="00000000" w:rsidR="00000000" w:rsidRPr="00000000">
              <w:rPr>
                <w:rtl w:val="0"/>
              </w:rPr>
            </w:r>
          </w:p>
          <w:p w:rsidR="00000000" w:rsidDel="00000000" w:rsidP="00000000" w:rsidRDefault="00000000" w:rsidRPr="00000000" w14:paraId="00000185">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6">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Obfuscating, Deceiving; Dual-Use Goods, False Documentation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45. The continuing refusal of the Islamic Republic of Iran to suspend enrichment and heavy water-related activities and to cooperate fully with IAEA in resolving outstanding questions, in particular those related to research and development activities with potential military applications dimensions, has been comprehensively documented by IAEA (see GOV/2011/65 and GOV/2011/7, among others). In brief, these allegations are described as coming from a wide variety of independent sources, including from a number of Member States, from the Agency’s own efforts and from information provided by the Islamic Republic of Iran itself. The information is consistent in terms of technical content, individuals and organizations involved, and time frames. IAEA notes further that information that it obtained regarding such activities indicates that the Islamic Republic of Iran has carried out the following activities that are relevant to the development of a nuclear explosive device: (a) Efforts, some successful, to procure nuclear-related and dual-use equipment and materials by military-related individuals and entities; (b) Efforts to develop undeclared pathways for the production of nuclear material; (c) The acquisition of nuclear weapons development information and documentation from a clandestine nuclear supply network; (d) Work on the development of an indigenous design of a nuclear weapon including the testing of components (GOV/2011/65, paras. 42 and 43).</w:t>
            </w:r>
            <w:r w:rsidDel="00000000" w:rsidR="00000000" w:rsidRPr="00000000">
              <w:rPr>
                <w:rtl w:val="0"/>
              </w:rPr>
            </w:r>
          </w:p>
          <w:p w:rsidR="00000000" w:rsidDel="00000000" w:rsidP="00000000" w:rsidRDefault="00000000" w:rsidRPr="00000000" w14:paraId="0000018B">
            <w:pPr>
              <w:spacing w:after="0" w:before="0" w:line="240" w:lineRule="auto"/>
              <w:rPr/>
            </w:pPr>
            <w:r w:rsidDel="00000000" w:rsidR="00000000" w:rsidRPr="00000000">
              <w:rPr>
                <w:rtl w:val="0"/>
              </w:rPr>
            </w:r>
          </w:p>
          <w:p w:rsidR="00000000" w:rsidDel="00000000" w:rsidP="00000000" w:rsidRDefault="00000000" w:rsidRPr="00000000" w14:paraId="0000018C">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D">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8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Violation; Dual-Use Goods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55. During its current mandate, the Panel received information from several Member States regarding goods and materials that the Islamic Republic of Iran sought to procure for its nuclear programme. Examples included: (a) Nuclear-grade graphite; (b) High-strength aluminium; (c) Aluminium powder; (d) Specialized alloys (such as chrome and nickel); (e) Maraging steel; (f) Carbon fibre; (g) Lubricants; (h) Magnets; (i) Control valves; (j) Heat exchangers; (k) Pressure transducers; (l) Vacuum pumps; (m) Gauges; (n) Inverters; (o) Turbines; (p) Electrical switchboards; (q) Helium gas detectors; (r) Sodium perchlorate.</w:t>
            </w:r>
            <w:r w:rsidDel="00000000" w:rsidR="00000000" w:rsidRPr="00000000">
              <w:rPr>
                <w:rtl w:val="0"/>
              </w:rPr>
            </w:r>
          </w:p>
          <w:p w:rsidR="00000000" w:rsidDel="00000000" w:rsidP="00000000" w:rsidRDefault="00000000" w:rsidRPr="00000000" w14:paraId="00000192">
            <w:pPr>
              <w:spacing w:after="0" w:before="0" w:line="240" w:lineRule="auto"/>
              <w:rPr/>
            </w:pPr>
            <w:r w:rsidDel="00000000" w:rsidR="00000000" w:rsidRPr="00000000">
              <w:rPr>
                <w:rtl w:val="0"/>
              </w:rPr>
            </w:r>
          </w:p>
          <w:p w:rsidR="00000000" w:rsidDel="00000000" w:rsidP="00000000" w:rsidRDefault="00000000" w:rsidRPr="00000000" w14:paraId="00000193">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4">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56. One Member State provided the Panel with detailed information regarding Iranian attempts to procure items for sanctioned nuclear facilities through intermediaries linked to the Iranian nuclear programme, although not necessarily limited to the centrifuge programme. These included high-frequency converters, electrical switchboards and related equipment needed for the operation of the Iranian nuclear facilities. Other items identified by the Member State as sought by the Islamic Republic of Iran in specific cases included detection equipment for helium gas leaks, gauges, specialized valves and aluminium tubes and sheets.</w:t>
            </w:r>
            <w:r w:rsidDel="00000000" w:rsidR="00000000" w:rsidRPr="00000000">
              <w:rPr>
                <w:rtl w:val="0"/>
              </w:rPr>
            </w:r>
          </w:p>
          <w:p w:rsidR="00000000" w:rsidDel="00000000" w:rsidP="00000000" w:rsidRDefault="00000000" w:rsidRPr="00000000" w14:paraId="00000199">
            <w:pPr>
              <w:spacing w:after="0" w:before="0" w:line="240" w:lineRule="auto"/>
              <w:rPr/>
            </w:pPr>
            <w:r w:rsidDel="00000000" w:rsidR="00000000" w:rsidRPr="00000000">
              <w:rPr>
                <w:rtl w:val="0"/>
              </w:rPr>
            </w:r>
          </w:p>
          <w:p w:rsidR="00000000" w:rsidDel="00000000" w:rsidP="00000000" w:rsidRDefault="00000000" w:rsidRPr="00000000" w14:paraId="0000019A">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B">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9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66. The Panel has also seen high-grade carbon fibre made available for sale on Internet trading platforms. In the report referenced in paragraph 65, the accessibility of such fibre was highlighted and it was noted that such websites were likely to be used by Iranian procurers to contact prospective intermediaries to procure carbon fibre supplies. Experts familiar with developments in the industry observe that the significant growth in demand in recent years for higher grades of carbon fibre, brought on in part by expansion in the aerospace and automotive sectors, has led to surpluses in the supply chain. Some Member States that the Panel consulted described outreach programmes to industry to ensure that surplus carbon fibre did not find its way into a secondary market for possible procurement by the Islamic Republic of Iran.</w:t>
            </w:r>
            <w:r w:rsidDel="00000000" w:rsidR="00000000" w:rsidRPr="00000000">
              <w:rPr>
                <w:rtl w:val="0"/>
              </w:rPr>
            </w:r>
          </w:p>
          <w:p w:rsidR="00000000" w:rsidDel="00000000" w:rsidP="00000000" w:rsidRDefault="00000000" w:rsidRPr="00000000" w14:paraId="000001A0">
            <w:pPr>
              <w:spacing w:after="0" w:before="0" w:line="240" w:lineRule="auto"/>
              <w:rPr/>
            </w:pPr>
            <w:r w:rsidDel="00000000" w:rsidR="00000000" w:rsidRPr="00000000">
              <w:rPr>
                <w:rtl w:val="0"/>
              </w:rPr>
            </w:r>
          </w:p>
          <w:p w:rsidR="00000000" w:rsidDel="00000000" w:rsidP="00000000" w:rsidRDefault="00000000" w:rsidRPr="00000000" w14:paraId="000001A1">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2">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3">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Deceiving, Obfuscating; False Documentation, False End-User Certificates, Dual-Use Goods, Establishing Foreign Affiliates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141. The Panel was informed by a number of Member States and one regional multilateral organization that the Islamic Republic of Iran continued to seek items through illicit procurement to support prohibited nuclear and ballistic missile programmes. Among the items cited most frequently were vacuum pumps, perfluoropolyether lubricants and carbon fibre (see paras. 57-67 for greater detail regarding the last-mentioned issue). As noted above, one State provided the Panel with information regarding denials of licences for export issued under catch-all requirements. Examples included process controllers, heat exchangers, flow meters and accessories, and carbon steel tubes. 142. According to the same regional multilateral organization, the Islamic Republic of Iran undertakes this procurement directly and indirectly. Its procurement methods include making direct bids to foreign commercial partners to procure materials with technical documentation, acquiring foreign licences and patents, copying material, conducting mergers of or absorbing foreign companies or purchasing company securities allowing access to technologies, and sending technicians to foreign suppliers for training. 143. The Islamic Republic of Iran is also believed to use indirect strategies for procurement, including: (a) Making use of front companies; (b) Concealing the end use or end user and final destination; (c) Falsifying technical documentation for materials ordered; (d) Reaching out to multiple suppliers for the same item; (e) Making use of the Iranian diaspora to facilitate procurement.</w:t>
            </w:r>
            <w:r w:rsidDel="00000000" w:rsidR="00000000" w:rsidRPr="00000000">
              <w:rPr>
                <w:rtl w:val="0"/>
              </w:rPr>
            </w:r>
          </w:p>
          <w:p w:rsidR="00000000" w:rsidDel="00000000" w:rsidP="00000000" w:rsidRDefault="00000000" w:rsidRPr="00000000" w14:paraId="000001A7">
            <w:pPr>
              <w:spacing w:after="0" w:before="0" w:line="240" w:lineRule="auto"/>
              <w:rPr/>
            </w:pPr>
            <w:r w:rsidDel="00000000" w:rsidR="00000000" w:rsidRPr="00000000">
              <w:rPr>
                <w:rtl w:val="0"/>
              </w:rPr>
            </w:r>
          </w:p>
          <w:p w:rsidR="00000000" w:rsidDel="00000000" w:rsidP="00000000" w:rsidRDefault="00000000" w:rsidRPr="00000000" w14:paraId="000001A8">
            <w:pPr>
              <w:spacing w:after="0" w:before="0" w:line="240" w:lineRule="auto"/>
              <w:rPr/>
            </w:pPr>
            <w:r w:rsidDel="00000000" w:rsidR="00000000" w:rsidRPr="00000000">
              <w:rPr>
                <w:rFonts w:ascii="Times New Roman" w:cs="Times New Roman" w:eastAsia="Times New Roman" w:hAnsi="Times New Roman"/>
                <w:sz w:val="20"/>
                <w:szCs w:val="20"/>
                <w:rtl w:val="0"/>
              </w:rPr>
              <w:t xml:space="preserve">12 June 2012, S/2012/395</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9">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Jurisdictional Arbitrage/Triangulation, Third-Party Intermediaries, Use of Shell Companies,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A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18. This case involves the acquisition of 1,767 valves on behalf of Modern Industries Technique Company, beginning in 2007 and continuing into 2011, for the IR-40 heavy water research reactor under construction at Arak. Out of the original total, 1,163 valves reportedly reached the company, which is designated under resolution 1929 (2010) as “responsible for design and construction of the IR-40 heavy water reactor in Arak”. 19. The Panel obtained several documents, including one from the company itself, addressed to Pentane Chemistry Industries, which contained detailed technical specifications for the valves. The order fell into three categories of valves that were initially all intended to be procured in Germany. Because of scrutiny from export control authorities and heightened vigilance over such transfers to the Islamic Republic of Iran, some of the valves were commissioned by the same Iranian agent overseeing procurement in Germany to be procured and manufactured in a third country. 20. One group of 856 valves had a number of features consistent with use in the context of a heavy water reactor, including the material specified for valve body construction, welded, bellows sealed valves, valve stem packing material, valve actuators specified according to the Institute of Electrical and Electronic Engineers (IEEE) Standard 382 2006 for nuclear power generating stations and actuators with an Ingress Protection (IP) rating of 67. 21. This procurement involved the use of front companies in other third countries and false end-user documentation. It also highlights the involvement of Pentane Chemistry Industries in procurement on behalf of Iranian heavy water-related activities. A previous case investigated by the Panel and reported to the Committee involving an attempted procurement of phosphor bronze wire mesh also involved this same entity. 22. The Panel concluded that Iranian procurement of these valves is an activity prohibited under resolution 1929 (2010) and that, as such, it constituted a violation of the country’s Security Council obligatio</w:t>
            </w:r>
            <w:r w:rsidDel="00000000" w:rsidR="00000000" w:rsidRPr="00000000">
              <w:rPr>
                <w:rtl w:val="0"/>
              </w:rPr>
            </w:r>
          </w:p>
          <w:p w:rsidR="00000000" w:rsidDel="00000000" w:rsidP="00000000" w:rsidRDefault="00000000" w:rsidRPr="00000000" w14:paraId="000001AE">
            <w:pPr>
              <w:spacing w:after="0" w:before="0" w:line="240" w:lineRule="auto"/>
              <w:rPr/>
            </w:pPr>
            <w:r w:rsidDel="00000000" w:rsidR="00000000" w:rsidRPr="00000000">
              <w:rPr>
                <w:rtl w:val="0"/>
              </w:rPr>
            </w:r>
          </w:p>
          <w:p w:rsidR="00000000" w:rsidDel="00000000" w:rsidP="00000000" w:rsidRDefault="00000000" w:rsidRPr="00000000" w14:paraId="000001AF">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0">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1">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2">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3">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23. This case involves the attempted acquisition of 18 valves by the Islamic Republic of Iran using a procurement agent based in Sweden, a naturalized Swedish citizen of Iranian origin who had established a company in Sweden in order to procure items on behalf of Iranian entities. The individual had an irregular employment history and no specialized training in the engineering equipment he was seeking to procure. The company, Petroinstrument HB, initially came to the attention of Swedish authorities on the basis of suspicious transactions reports submitted by two Swedish banks in late 2010 and early 2011. 24. The attempted shipment involved changing the name and address on the air waybill of the consignee in a third country to one in the Islamic Republic of Iran after the details had been submitted to customs for clearance procedures. 25. A search of the procurement agent’s home following the valve seizure turned up documents from previous transactions that shed light on his activities, including several types of blank end-user certificates. 26. None of the valves in this case are on the lists contained in IAEA document INFCIRC/254/Rev.7/Part 2.5 The Panel determined that, based on their technical specifications, four bellows sealed valves could be used in activities prohibited under resolution 1929 (2010) and that the non-bellows sealed valves could have applications in auxiliary systems of prohibited nuclear activities.</w:t>
            </w:r>
            <w:r w:rsidDel="00000000" w:rsidR="00000000" w:rsidRPr="00000000">
              <w:rPr>
                <w:rtl w:val="0"/>
              </w:rPr>
            </w:r>
          </w:p>
          <w:p w:rsidR="00000000" w:rsidDel="00000000" w:rsidP="00000000" w:rsidRDefault="00000000" w:rsidRPr="00000000" w14:paraId="000001B5">
            <w:pPr>
              <w:spacing w:after="0" w:before="0" w:line="240" w:lineRule="auto"/>
              <w:rPr/>
            </w:pPr>
            <w:r w:rsidDel="00000000" w:rsidR="00000000" w:rsidRPr="00000000">
              <w:rPr>
                <w:rtl w:val="0"/>
              </w:rPr>
            </w:r>
          </w:p>
          <w:p w:rsidR="00000000" w:rsidDel="00000000" w:rsidP="00000000" w:rsidRDefault="00000000" w:rsidRPr="00000000" w14:paraId="000001B6">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7">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8">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A">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8. This case involves the shipment of 28 boxes of carbon fibre from a third country to the Islamic Republic of Iran, which was interdicted in Bahrain. The consignee of the shipment was identified as Science and Technology Park in the Islamic Republic of Iran. 29. According to Bahraini authorities, the carbon fibre met the control thresholds established by IAEA in document INFCIRC/254/Rev.7/Part 2, which would constitute a violation of relevant resolutions. High-quality carbon fibre, in particular, is widely assessed to be a target for procurement by the Islamic Republic of Iran. The Panel was unable to establish the technical specifications of the carbon fibre or to confirm information regarding its grade. 30. The Panel’s investigation identified a link between the stated consignee and an entity in the Islamic Republic of Iran associated by two States with procurement for the country’s prohibited nuclear activities. The Panel has no further information regarding the alleged end user’s relationship to activities prohibited under relevant resolutions</w:t>
            </w:r>
            <w:r w:rsidDel="00000000" w:rsidR="00000000" w:rsidRPr="00000000">
              <w:rPr>
                <w:rtl w:val="0"/>
              </w:rPr>
            </w:r>
          </w:p>
          <w:p w:rsidR="00000000" w:rsidDel="00000000" w:rsidP="00000000" w:rsidRDefault="00000000" w:rsidRPr="00000000" w14:paraId="000001BC">
            <w:pPr>
              <w:spacing w:after="0" w:before="0" w:line="240" w:lineRule="auto"/>
              <w:rPr/>
            </w:pPr>
            <w:r w:rsidDel="00000000" w:rsidR="00000000" w:rsidRPr="00000000">
              <w:rPr>
                <w:rtl w:val="0"/>
              </w:rPr>
            </w:r>
          </w:p>
          <w:p w:rsidR="00000000" w:rsidDel="00000000" w:rsidP="00000000" w:rsidRDefault="00000000" w:rsidRPr="00000000" w14:paraId="000001BD">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E">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BF">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0">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1">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Use of Shell Companies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2">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111. In several cases investigated by the Panel, front companies were established with the aim of overseeing procurement and shipments to the Islamic Republic of Iran, or providing a false address for the delivery of items. One case investigated by the Panel involved the shipment of items to a front company in a third country, established to be the consignee. Another case, which could not be linked conclusively to procurement on behalf of prohibited nuclear activities, involved a dual-national who was reportedly approached by Iranians to establish a trading company in a European country solely for the purpose of procuring items to be shipped to the Islamic Republic of Iran. 112. Other types of front companies that might be used for prohibited procurement could be so-called “shell” companies, often set up in jurisdictions which offer quick and inexpensive registration procedures and which may hide legal ownership of an entity. Such companies may be used by individuals or companies to conduct all sorts of business transactions, including financial transactions.30 They typically have limited liability and no significant assets or employment, and no physical presence other than a mailing address.</w:t>
            </w:r>
            <w:r w:rsidDel="00000000" w:rsidR="00000000" w:rsidRPr="00000000">
              <w:rPr>
                <w:rtl w:val="0"/>
              </w:rPr>
            </w:r>
          </w:p>
          <w:p w:rsidR="00000000" w:rsidDel="00000000" w:rsidP="00000000" w:rsidRDefault="00000000" w:rsidRPr="00000000" w14:paraId="000001C3">
            <w:pPr>
              <w:spacing w:after="0" w:before="0" w:line="240" w:lineRule="auto"/>
              <w:rPr/>
            </w:pPr>
            <w:r w:rsidDel="00000000" w:rsidR="00000000" w:rsidRPr="00000000">
              <w:rPr>
                <w:rtl w:val="0"/>
              </w:rPr>
            </w:r>
          </w:p>
          <w:p w:rsidR="00000000" w:rsidDel="00000000" w:rsidP="00000000" w:rsidRDefault="00000000" w:rsidRPr="00000000" w14:paraId="000001C4">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5">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6">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7">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8">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9">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115. Some cases of procurement investigated by the Panel involved multiple intermediaries or trading agents (including brokers, shippers and freight forwarders), which served to obscure the identity of the ultimate end users thus adding to the difficulty of detecting procurement of prohibited items. In one case intermediaries in third countries were used to provide false end-user certificates or to take receipt of items before transferring them to the Islamic Republic of Iran.</w:t>
            </w:r>
            <w:r w:rsidDel="00000000" w:rsidR="00000000" w:rsidRPr="00000000">
              <w:rPr>
                <w:rtl w:val="0"/>
              </w:rPr>
            </w:r>
          </w:p>
          <w:p w:rsidR="00000000" w:rsidDel="00000000" w:rsidP="00000000" w:rsidRDefault="00000000" w:rsidRPr="00000000" w14:paraId="000001CA">
            <w:pPr>
              <w:spacing w:after="0" w:before="0" w:line="240" w:lineRule="auto"/>
              <w:rPr/>
            </w:pPr>
            <w:r w:rsidDel="00000000" w:rsidR="00000000" w:rsidRPr="00000000">
              <w:rPr>
                <w:rtl w:val="0"/>
              </w:rPr>
            </w:r>
          </w:p>
          <w:p w:rsidR="00000000" w:rsidDel="00000000" w:rsidP="00000000" w:rsidRDefault="00000000" w:rsidRPr="00000000" w14:paraId="000001CB">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C">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D">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E">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CF">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Documentation, Third-Party Intermediaries, Use of Enablers (i.e. lawyers, accountants, etc)</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0">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116. The Panel has previously highlighted the practice of altering shipping documentation at the last minute in order to conceal the Islamic Republic of Iran as the ultimate destination of shipments. In one case investigated by the Panel, a procurement agent arranged with a freight forwarder for air waybills to be altered in more than two dozen cases, following the initiation of the customs clearance process and shortly prior to shipment. Detecting last-minute changes to shipping documentation remains a challenge for customs authorities.</w:t>
            </w:r>
            <w:r w:rsidDel="00000000" w:rsidR="00000000" w:rsidRPr="00000000">
              <w:rPr>
                <w:rtl w:val="0"/>
              </w:rPr>
            </w:r>
          </w:p>
          <w:p w:rsidR="00000000" w:rsidDel="00000000" w:rsidP="00000000" w:rsidRDefault="00000000" w:rsidRPr="00000000" w14:paraId="000001D1">
            <w:pPr>
              <w:spacing w:after="0" w:before="0" w:line="240" w:lineRule="auto"/>
              <w:rPr/>
            </w:pPr>
            <w:r w:rsidDel="00000000" w:rsidR="00000000" w:rsidRPr="00000000">
              <w:rPr>
                <w:rtl w:val="0"/>
              </w:rPr>
            </w:r>
          </w:p>
          <w:p w:rsidR="00000000" w:rsidDel="00000000" w:rsidP="00000000" w:rsidRDefault="00000000" w:rsidRPr="00000000" w14:paraId="000001D2">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3">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4">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5">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6">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False End-User Certificates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7">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117. The Panel has seen several examples of false end-user certificates presented to authorities or companies in attempted transfers. In one case, the end-user certificate was a crude attempt to appear legitimate, using language found on the Internet, which was determined by authorities to have come from a Government website. A private sector firm that received the certificate quickly identified it as suspect and reported it to authorities. In another case the Panel found an end-user certificate for a third country, from which the items concerned would be reshipped to the Islamic Republic of Iran</w:t>
            </w:r>
            <w:r w:rsidDel="00000000" w:rsidR="00000000" w:rsidRPr="00000000">
              <w:rPr>
                <w:rtl w:val="0"/>
              </w:rPr>
            </w:r>
          </w:p>
          <w:p w:rsidR="00000000" w:rsidDel="00000000" w:rsidP="00000000" w:rsidRDefault="00000000" w:rsidRPr="00000000" w14:paraId="000001D8">
            <w:pPr>
              <w:spacing w:after="0" w:before="0" w:line="240" w:lineRule="auto"/>
              <w:rPr/>
            </w:pPr>
            <w:r w:rsidDel="00000000" w:rsidR="00000000" w:rsidRPr="00000000">
              <w:rPr>
                <w:rtl w:val="0"/>
              </w:rPr>
            </w:r>
          </w:p>
          <w:p w:rsidR="00000000" w:rsidDel="00000000" w:rsidP="00000000" w:rsidRDefault="00000000" w:rsidRPr="00000000" w14:paraId="000001D9">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A">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B">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C">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D">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DE">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120. In two cases investigated by the Panel, and in a third case reported to the Committee as prosecuted under national jurisdiction, the Islamic Republic of Iran turned to expatriates or dual nationals living abroad to establish companies for the purpose of procurement and to approach suppliers. The Panel has heard of other such examples in the course of consultations with States. 121. The Panel notes that the variety and complexity of procurement methods employed by Iran gives rise to the possibility that legitimate businesses can be unwittingly drawn into procurement for prohibited activities.</w:t>
            </w:r>
            <w:r w:rsidDel="00000000" w:rsidR="00000000" w:rsidRPr="00000000">
              <w:rPr>
                <w:rtl w:val="0"/>
              </w:rPr>
            </w:r>
          </w:p>
          <w:p w:rsidR="00000000" w:rsidDel="00000000" w:rsidP="00000000" w:rsidRDefault="00000000" w:rsidRPr="00000000" w14:paraId="000001DF">
            <w:pPr>
              <w:spacing w:after="0" w:before="0" w:line="240" w:lineRule="auto"/>
              <w:rPr/>
            </w:pPr>
            <w:r w:rsidDel="00000000" w:rsidR="00000000" w:rsidRPr="00000000">
              <w:rPr>
                <w:rtl w:val="0"/>
              </w:rPr>
            </w:r>
          </w:p>
          <w:p w:rsidR="00000000" w:rsidDel="00000000" w:rsidP="00000000" w:rsidRDefault="00000000" w:rsidRPr="00000000" w14:paraId="000001E0">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2">
            <w:pPr>
              <w:spacing w:before="240" w:lineRule="auto"/>
              <w:rPr>
                <w:rFonts w:ascii="Times New Roman" w:cs="Times New Roman" w:eastAsia="Times New Roman" w:hAnsi="Times New Roman"/>
                <w:sz w:val="20"/>
                <w:szCs w:val="20"/>
              </w:rPr>
            </w:pPr>
            <w:bookmarkStart w:colFirst="0" w:colLast="0" w:name="_3n1aree6l1co" w:id="112"/>
            <w:bookmarkEnd w:id="11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3">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Exports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4">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Deceiving; False Documentation, Third-Party Intermediaries, Reflagging and Re-Registering Vessels, Smuggling</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5">
            <w:pPr>
              <w:spacing w:after="0" w:before="240" w:line="240" w:lineRule="auto"/>
              <w:rPr/>
            </w:pPr>
            <w:r w:rsidDel="00000000" w:rsidR="00000000" w:rsidRPr="00000000">
              <w:rPr>
                <w:rFonts w:ascii="Times New Roman" w:cs="Times New Roman" w:eastAsia="Times New Roman" w:hAnsi="Times New Roman"/>
                <w:sz w:val="20"/>
                <w:szCs w:val="20"/>
                <w:rtl w:val="0"/>
              </w:rPr>
              <w:t xml:space="preserve">51. The seized items consisted of ammunition, weapons and other military and non-military items and materials, including man-portable air defence systems, 122 mm rockets, rocket-propelled grenade launchers, C-4 plastic explosive blocks and electrical equipment that can be used to manufacture improvised explosive devices. A comparison of ammunition and weapons with those observed during previous inspections of seized arms and related materiel by the Panel identified several visual similarities, in particular among the labels stuck on ammunition boxes reading “Ministry of Sepah”. 52. The Panel’s investigation also identified several methods of concealment involved in the shipment, including falsified ship registration and relevant certificates for the Jihan. The seized items were concealed in four compartments hidden by diesel fuel tanks, which could not be accessed from the deck. These hidden compartments could be accessed only after the diesel fuel tanks were emptied. 53. Five members of the Panel found that all available information placed the Islamic Republic of Iran at the centre of the Jihan operation: the crew bypassed routine immigration and airport security procedures while in the country; and the voyage originated in Iranian territorial waters when the crew boarded the vessel at a point approximately two miles off the coast of Bandar Lengeh. The Panel identified similarities among some of the arms, as well as their packaging, with previously reported cases of arms shipments inspected by the Panel and found to have originated in the Islamic Republic of Iran. 54. Three members of the Panel noted that: no information was found about the time and location that the arms and other items were loaded on the Jihan; the statements of the crew on the boarding point were inconsistent; and one of the two key individuals arranging the shipment was a Yemeni businessman and the other’s nationality was unknown. Some of the arms and other items had visual similarities with items the Panel previously inspected and several concealment methods were involved. 55. Based on the above findings, the Panel reached two sets of conclusions: five members concluded that the shipment is a violation of paragraph 5 of resolution 1747 (2007); and three members concluded that it is a probable violation of paragraph 5 of resolution 1747 (2007).</w:t>
            </w:r>
            <w:r w:rsidDel="00000000" w:rsidR="00000000" w:rsidRPr="00000000">
              <w:rPr>
                <w:rtl w:val="0"/>
              </w:rPr>
            </w:r>
          </w:p>
          <w:p w:rsidR="00000000" w:rsidDel="00000000" w:rsidP="00000000" w:rsidRDefault="00000000" w:rsidRPr="00000000" w14:paraId="000001E6">
            <w:pPr>
              <w:spacing w:after="0" w:before="0" w:line="240" w:lineRule="auto"/>
              <w:rPr/>
            </w:pPr>
            <w:r w:rsidDel="00000000" w:rsidR="00000000" w:rsidRPr="00000000">
              <w:rPr>
                <w:rtl w:val="0"/>
              </w:rPr>
            </w:r>
          </w:p>
          <w:p w:rsidR="00000000" w:rsidDel="00000000" w:rsidP="00000000" w:rsidRDefault="00000000" w:rsidRPr="00000000" w14:paraId="000001E7">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8">
            <w:pPr>
              <w:spacing w:after="0" w:before="240" w:line="240" w:lineRule="auto"/>
              <w:rPr/>
            </w:pPr>
            <w:r w:rsidDel="00000000" w:rsidR="00000000" w:rsidRPr="00000000">
              <w:rPr>
                <w:rtl w:val="0"/>
              </w:rPr>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9">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A">
            <w:pPr>
              <w:spacing w:after="0" w:before="240" w:line="240" w:lineRule="auto"/>
              <w:rPr/>
            </w:pP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B">
            <w:pPr>
              <w:spacing w:after="0" w:before="240" w:line="240" w:lineRule="auto"/>
              <w:rPr/>
            </w:pPr>
            <w:r w:rsidDel="00000000" w:rsidR="00000000" w:rsidRPr="00000000">
              <w:rPr>
                <w:rFonts w:ascii="Times New Roman" w:cs="Times New Roman" w:eastAsia="Times New Roman" w:hAnsi="Times New Roman"/>
                <w:sz w:val="20"/>
                <w:szCs w:val="20"/>
                <w:rtl w:val="0"/>
              </w:rPr>
              <w:t xml:space="preserve">Obfuscating; Third-Party Intermediaries, Jurisdictional Arbitrage/Triangulation</w:t>
            </w:r>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C">
            <w:pPr>
              <w:spacing w:after="0" w:before="240" w:line="240" w:lineRule="auto"/>
              <w:rPr/>
            </w:pPr>
            <w:r w:rsidDel="00000000" w:rsidR="00000000" w:rsidRPr="00000000">
              <w:rPr>
                <w:rFonts w:ascii="Times New Roman" w:cs="Times New Roman" w:eastAsia="Times New Roman" w:hAnsi="Times New Roman"/>
                <w:sz w:val="20"/>
                <w:szCs w:val="20"/>
                <w:rtl w:val="0"/>
              </w:rPr>
              <w:t xml:space="preserve">119. In its 2012 final report, the Panel highlighted examples of attempts by the Islamic Republic of Iran to take advantage of the European Union (EU) internal market to shift goods from one member State of the Union to another before export, in an effort to disguise the ultimate end user abroad. The Panel was informed of an example in which a freight forwarder shipped prohibited items within the EU and arranged for documentation to be altered before the items were exported outside the EU</w:t>
            </w:r>
            <w:r w:rsidDel="00000000" w:rsidR="00000000" w:rsidRPr="00000000">
              <w:rPr>
                <w:rtl w:val="0"/>
              </w:rPr>
            </w:r>
          </w:p>
          <w:p w:rsidR="00000000" w:rsidDel="00000000" w:rsidP="00000000" w:rsidRDefault="00000000" w:rsidRPr="00000000" w14:paraId="000001ED">
            <w:pPr>
              <w:spacing w:after="0" w:before="0" w:line="240" w:lineRule="auto"/>
              <w:rPr/>
            </w:pPr>
            <w:r w:rsidDel="00000000" w:rsidR="00000000" w:rsidRPr="00000000">
              <w:rPr>
                <w:rtl w:val="0"/>
              </w:rPr>
            </w:r>
          </w:p>
          <w:p w:rsidR="00000000" w:rsidDel="00000000" w:rsidP="00000000" w:rsidRDefault="00000000" w:rsidRPr="00000000" w14:paraId="000001EE">
            <w:pPr>
              <w:spacing w:after="0" w:before="0" w:line="240" w:lineRule="auto"/>
              <w:rPr/>
            </w:pPr>
            <w:r w:rsidDel="00000000" w:rsidR="00000000" w:rsidRPr="00000000">
              <w:rPr>
                <w:rFonts w:ascii="Times New Roman" w:cs="Times New Roman" w:eastAsia="Times New Roman" w:hAnsi="Times New Roman"/>
                <w:sz w:val="20"/>
                <w:szCs w:val="20"/>
                <w:rtl w:val="0"/>
              </w:rPr>
              <w:t xml:space="preserve">5 June 2013, S/2013/331</w:t>
            </w:r>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E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0">
            <w:pPr>
              <w:spacing w:before="240" w:lineRule="auto"/>
              <w:rPr>
                <w:rFonts w:ascii="Times New Roman" w:cs="Times New Roman" w:eastAsia="Times New Roman" w:hAnsi="Times New Roman"/>
                <w:sz w:val="20"/>
                <w:szCs w:val="20"/>
              </w:rPr>
            </w:pPr>
            <w:bookmarkStart w:colFirst="0" w:colLast="0" w:name="_rkr9rbmaukd1" w:id="113"/>
            <w:bookmarkEnd w:id="113"/>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1">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Investment ban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kgclfvf2tp4l" w:id="114"/>
            <w:bookmarkEnd w:id="11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o4s4a7ahdcp" w:id="115"/>
            <w:bookmarkEnd w:id="11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V47</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5">
            <w:pPr>
              <w:spacing w:before="240" w:lineRule="auto"/>
              <w:rPr>
                <w:rFonts w:ascii="Times New Roman" w:cs="Times New Roman" w:eastAsia="Times New Roman" w:hAnsi="Times New Roman"/>
                <w:sz w:val="20"/>
                <w:szCs w:val="20"/>
              </w:rPr>
            </w:pPr>
            <w:bookmarkStart w:colFirst="0" w:colLast="0" w:name="_o39xe8jw0rlz" w:id="116"/>
            <w:bookmarkEnd w:id="116"/>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6">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Facilitation of terrorism</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kbpfb8xfwd1" w:id="117"/>
            <w:bookmarkEnd w:id="11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nhxv64xwthm2" w:id="118"/>
            <w:bookmarkEnd w:id="11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V48</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A">
            <w:pPr>
              <w:spacing w:before="240" w:lineRule="auto"/>
              <w:rPr>
                <w:rFonts w:ascii="Times New Roman" w:cs="Times New Roman" w:eastAsia="Times New Roman" w:hAnsi="Times New Roman"/>
                <w:sz w:val="20"/>
                <w:szCs w:val="20"/>
              </w:rPr>
            </w:pPr>
            <w:bookmarkStart w:colFirst="0" w:colLast="0" w:name="_8qnwjjlwcq" w:id="119"/>
            <w:bookmarkEnd w:id="119"/>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port entry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oq3wxihwaaa5" w:id="120"/>
            <w:bookmarkEnd w:id="12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z01ot0m5gfxj" w:id="121"/>
            <w:bookmarkEnd w:id="12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V49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FF">
            <w:pPr>
              <w:spacing w:before="240" w:lineRule="auto"/>
              <w:rPr>
                <w:rFonts w:ascii="Times New Roman" w:cs="Times New Roman" w:eastAsia="Times New Roman" w:hAnsi="Times New Roman"/>
                <w:sz w:val="20"/>
                <w:szCs w:val="20"/>
              </w:rPr>
            </w:pPr>
            <w:bookmarkStart w:colFirst="0" w:colLast="0" w:name="_dobrh57ncwte" w:id="122"/>
            <w:bookmarkEnd w:id="12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Bunkering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toij77vw5be" w:id="123"/>
            <w:bookmarkEnd w:id="12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vbhyo7ukfb39" w:id="124"/>
            <w:bookmarkEnd w:id="12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4">
            <w:pPr>
              <w:spacing w:before="240" w:lineRule="auto"/>
              <w:rPr>
                <w:rFonts w:ascii="Times New Roman" w:cs="Times New Roman" w:eastAsia="Times New Roman" w:hAnsi="Times New Roman"/>
                <w:sz w:val="20"/>
                <w:szCs w:val="20"/>
              </w:rPr>
            </w:pPr>
            <w:bookmarkStart w:colFirst="0" w:colLast="0" w:name="_lfdzvfyud6ec" w:id="125"/>
            <w:bookmarkEnd w:id="12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Ship-to-ship transfers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q1cc2injt64l" w:id="126"/>
            <w:bookmarkEnd w:id="12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kwm3dab4bqu" w:id="127"/>
            <w:bookmarkEnd w:id="12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9">
            <w:pPr>
              <w:spacing w:before="240" w:lineRule="auto"/>
              <w:rPr>
                <w:rFonts w:ascii="Times New Roman" w:cs="Times New Roman" w:eastAsia="Times New Roman" w:hAnsi="Times New Roman"/>
                <w:sz w:val="20"/>
                <w:szCs w:val="20"/>
              </w:rPr>
            </w:pPr>
            <w:bookmarkStart w:colFirst="0" w:colLast="0" w:name="_8ayzuirlhbwt" w:id="128"/>
            <w:bookmarkEnd w:id="12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Aviation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bcmqm1iqz1i" w:id="129"/>
            <w:bookmarkEnd w:id="12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npxst28g8i9" w:id="130"/>
            <w:bookmarkEnd w:id="13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D">
            <w:pPr>
              <w:spacing w:before="240" w:lineRule="auto"/>
              <w:rPr>
                <w:rFonts w:ascii="Times New Roman" w:cs="Times New Roman" w:eastAsia="Times New Roman" w:hAnsi="Times New Roman"/>
                <w:sz w:val="20"/>
                <w:szCs w:val="20"/>
              </w:rPr>
            </w:pPr>
            <w:bookmarkStart w:colFirst="0" w:colLast="0" w:name="_312whvpk5o60" w:id="131"/>
            <w:bookmarkEnd w:id="131"/>
            <w:r w:rsidDel="00000000" w:rsidR="00000000" w:rsidRPr="00000000">
              <w:rPr>
                <w:rFonts w:ascii="Times New Roman" w:cs="Times New Roman" w:eastAsia="Times New Roman" w:hAnsi="Times New Roman"/>
                <w:sz w:val="20"/>
                <w:szCs w:val="20"/>
                <w:rtl w:val="0"/>
              </w:rPr>
              <w:t xml:space="preserve">V52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E">
            <w:pPr>
              <w:spacing w:before="240" w:lineRule="auto"/>
              <w:rPr>
                <w:rFonts w:ascii="Times New Roman" w:cs="Times New Roman" w:eastAsia="Times New Roman" w:hAnsi="Times New Roman"/>
                <w:sz w:val="20"/>
                <w:szCs w:val="20"/>
              </w:rPr>
            </w:pPr>
            <w:bookmarkStart w:colFirst="0" w:colLast="0" w:name="_8l78c7qvq8kn" w:id="132"/>
            <w:bookmarkEnd w:id="132"/>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0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Transportation vehicles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vb1lrefjqzy" w:id="133"/>
            <w:bookmarkEnd w:id="13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u8ut7uv6lt4b" w:id="134"/>
            <w:bookmarkEnd w:id="13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3">
            <w:pPr>
              <w:spacing w:before="240" w:lineRule="auto"/>
              <w:rPr>
                <w:rFonts w:ascii="Times New Roman" w:cs="Times New Roman" w:eastAsia="Times New Roman" w:hAnsi="Times New Roman"/>
                <w:sz w:val="20"/>
                <w:szCs w:val="20"/>
              </w:rPr>
            </w:pPr>
            <w:bookmarkStart w:colFirst="0" w:colLast="0" w:name="_ojuquyfwtz0q" w:id="135"/>
            <w:bookmarkEnd w:id="135"/>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4">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insurance and re-insurance</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idtohwbz0oov" w:id="136"/>
            <w:bookmarkEnd w:id="13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oav4le0dny8" w:id="137"/>
            <w:bookmarkEnd w:id="13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8">
            <w:pPr>
              <w:spacing w:before="240" w:lineRule="auto"/>
              <w:rPr>
                <w:rFonts w:ascii="Times New Roman" w:cs="Times New Roman" w:eastAsia="Times New Roman" w:hAnsi="Times New Roman"/>
                <w:sz w:val="20"/>
                <w:szCs w:val="20"/>
              </w:rPr>
            </w:pPr>
            <w:bookmarkStart w:colFirst="0" w:colLast="0" w:name="_30a3gytynn81" w:id="138"/>
            <w:bookmarkEnd w:id="138"/>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9">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Vessels / aircraft leasing, chartering and crew 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1o6vl7ylerp" w:id="139"/>
            <w:bookmarkEnd w:id="13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B">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1r2igfvswqm4" w:id="140"/>
            <w:bookmarkEnd w:id="14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D">
            <w:pPr>
              <w:spacing w:before="240" w:lineRule="auto"/>
              <w:rPr>
                <w:rFonts w:ascii="Times New Roman" w:cs="Times New Roman" w:eastAsia="Times New Roman" w:hAnsi="Times New Roman"/>
                <w:sz w:val="20"/>
                <w:szCs w:val="20"/>
              </w:rPr>
            </w:pPr>
            <w:bookmarkStart w:colFirst="0" w:colLast="0" w:name="_jqutxh5pjgor" w:id="141"/>
            <w:bookmarkEnd w:id="141"/>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E">
            <w:pPr>
              <w:spacing w:after="240" w:before="240" w:line="259"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Vessel registration, use and servicing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1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gps2csgc7c3" w:id="142"/>
            <w:bookmarkEnd w:id="14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0">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5ttyg2n8plq" w:id="143"/>
            <w:bookmarkEnd w:id="14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2">
            <w:pPr>
              <w:spacing w:before="240" w:lineRule="auto"/>
              <w:rPr>
                <w:rFonts w:ascii="Times New Roman" w:cs="Times New Roman" w:eastAsia="Times New Roman" w:hAnsi="Times New Roman"/>
                <w:sz w:val="20"/>
                <w:szCs w:val="20"/>
              </w:rPr>
            </w:pPr>
            <w:bookmarkStart w:colFirst="0" w:colLast="0" w:name="_podei97v9gk2" w:id="144"/>
            <w:bookmarkEnd w:id="144"/>
            <w:r w:rsidDel="00000000" w:rsidR="00000000" w:rsidRPr="00000000">
              <w:rPr>
                <w:rFonts w:ascii="Times New Roman" w:cs="Times New Roman" w:eastAsia="Times New Roman" w:hAnsi="Times New Roman"/>
                <w:sz w:val="20"/>
                <w:szCs w:val="20"/>
                <w:rtl w:val="0"/>
              </w:rPr>
              <w:t xml:space="preserve">Services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Aircraft servicing, maintenance, insurance and training</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4oz9gl6dnj5" w:id="145"/>
            <w:bookmarkEnd w:id="14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5">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yxxrisl18i8y" w:id="146"/>
            <w:bookmarkEnd w:id="146"/>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6">
            <w:pPr>
              <w:spacing w:before="240" w:lineRule="auto"/>
              <w:rPr>
                <w:rFonts w:ascii="Times New Roman" w:cs="Times New Roman" w:eastAsia="Times New Roman" w:hAnsi="Times New Roman"/>
                <w:sz w:val="20"/>
                <w:szCs w:val="20"/>
              </w:rPr>
            </w:pPr>
            <w:bookmarkStart w:colFirst="0" w:colLast="0" w:name="_k2pzxk49c2j9" w:id="147"/>
            <w:bookmarkEnd w:id="147"/>
            <w:r w:rsidDel="00000000" w:rsidR="00000000" w:rsidRPr="00000000">
              <w:rPr>
                <w:rFonts w:ascii="Times New Roman" w:cs="Times New Roman" w:eastAsia="Times New Roman" w:hAnsi="Times New Roman"/>
                <w:sz w:val="20"/>
                <w:szCs w:val="20"/>
                <w:rtl w:val="0"/>
              </w:rPr>
              <w:t xml:space="preserve">V57</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8">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Individual Travel Bans</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ghepn1i61fzw" w:id="148"/>
            <w:bookmarkEnd w:id="148"/>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A">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joi16gylww8w" w:id="149"/>
            <w:bookmarkEnd w:id="149"/>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V58</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D">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the number of diplomatic personnel</w:t>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2d8u0fx9ztb" w:id="150"/>
            <w:bookmarkEnd w:id="150"/>
            <w:r w:rsidDel="00000000" w:rsidR="00000000" w:rsidRPr="00000000">
              <w:rPr>
                <w:rtl w:val="0"/>
              </w:rPr>
            </w:r>
          </w:p>
        </w:tc>
        <w:tc>
          <w:tcPr>
            <w:tcBorders>
              <w:top w:color="000000" w:space="0" w:sz="8" w:val="single"/>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2F">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evyxtpchpga1" w:id="151"/>
            <w:bookmarkEnd w:id="15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0">
            <w:pPr>
              <w:spacing w:before="240" w:lineRule="auto"/>
              <w:rPr>
                <w:rFonts w:ascii="Times New Roman" w:cs="Times New Roman" w:eastAsia="Times New Roman" w:hAnsi="Times New Roman"/>
                <w:sz w:val="20"/>
                <w:szCs w:val="20"/>
              </w:rPr>
            </w:pPr>
            <w:bookmarkStart w:colFirst="0" w:colLast="0" w:name="_yhlomgnennk3" w:id="152"/>
            <w:bookmarkEnd w:id="152"/>
            <w:r w:rsidDel="00000000" w:rsidR="00000000" w:rsidRPr="00000000">
              <w:rPr>
                <w:rFonts w:ascii="Times New Roman" w:cs="Times New Roman" w:eastAsia="Times New Roman" w:hAnsi="Times New Roman"/>
                <w:sz w:val="20"/>
                <w:szCs w:val="20"/>
                <w:rtl w:val="0"/>
              </w:rPr>
              <w:t xml:space="preserve">V59</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1">
            <w:pPr>
              <w:spacing w:before="240" w:lineRule="auto"/>
              <w:rPr>
                <w:rFonts w:ascii="Times New Roman" w:cs="Times New Roman" w:eastAsia="Times New Roman" w:hAnsi="Times New Roman"/>
                <w:sz w:val="20"/>
                <w:szCs w:val="20"/>
              </w:rPr>
            </w:pPr>
            <w:bookmarkStart w:colFirst="0" w:colLast="0" w:name="_842g9sg5o4tm" w:id="153"/>
            <w:bookmarkEnd w:id="153"/>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2">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representation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cfqgsmp9ee4f" w:id="154"/>
            <w:bookmarkEnd w:id="154"/>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4">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ak36xxn78bzw" w:id="155"/>
            <w:bookmarkEnd w:id="155"/>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V60</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6">
            <w:pPr>
              <w:spacing w:before="240" w:lineRule="auto"/>
              <w:rPr>
                <w:rFonts w:ascii="Times New Roman" w:cs="Times New Roman" w:eastAsia="Times New Roman" w:hAnsi="Times New Roman"/>
                <w:sz w:val="20"/>
                <w:szCs w:val="20"/>
              </w:rPr>
            </w:pPr>
            <w:bookmarkStart w:colFirst="0" w:colLast="0" w:name="_hzyq7rxp7upw" w:id="156"/>
            <w:bookmarkEnd w:id="156"/>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7">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Suspension of formal scientific and technical cooperation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wve4fbmonhxy" w:id="157"/>
            <w:bookmarkEnd w:id="157"/>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9">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jisyovxxiph" w:id="158"/>
            <w:bookmarkEnd w:id="158"/>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A">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V61</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B">
            <w:pPr>
              <w:spacing w:before="240" w:lineRule="auto"/>
              <w:rPr>
                <w:rFonts w:ascii="Times New Roman" w:cs="Times New Roman" w:eastAsia="Times New Roman" w:hAnsi="Times New Roman"/>
                <w:sz w:val="20"/>
                <w:szCs w:val="20"/>
              </w:rPr>
            </w:pPr>
            <w:bookmarkStart w:colFirst="0" w:colLast="0" w:name="_t7ksvrivvsy" w:id="159"/>
            <w:bookmarkEnd w:id="159"/>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C">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bank accounts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kyibjank1yh" w:id="160"/>
            <w:bookmarkEnd w:id="160"/>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E">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bzx67gciho1l" w:id="161"/>
            <w:bookmarkEnd w:id="161"/>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3F">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V62</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0">
            <w:pPr>
              <w:spacing w:before="240" w:lineRule="auto"/>
              <w:rPr>
                <w:rFonts w:ascii="Times New Roman" w:cs="Times New Roman" w:eastAsia="Times New Roman" w:hAnsi="Times New Roman"/>
                <w:sz w:val="20"/>
                <w:szCs w:val="20"/>
              </w:rPr>
            </w:pPr>
            <w:bookmarkStart w:colFirst="0" w:colLast="0" w:name="_w37vq4f0eqns" w:id="162"/>
            <w:bookmarkEnd w:id="162"/>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1">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diplomatic activity</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peo9ehw4056" w:id="163"/>
            <w:bookmarkEnd w:id="163"/>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3">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3dsfidot8f0g" w:id="164"/>
            <w:bookmarkEnd w:id="164"/>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4">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V63</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5">
            <w:pPr>
              <w:spacing w:before="240" w:lineRule="auto"/>
              <w:rPr>
                <w:rFonts w:ascii="Times New Roman" w:cs="Times New Roman" w:eastAsia="Times New Roman" w:hAnsi="Times New Roman"/>
                <w:sz w:val="20"/>
                <w:szCs w:val="20"/>
              </w:rPr>
            </w:pPr>
            <w:bookmarkStart w:colFirst="0" w:colLast="0" w:name="_d87gaw9cw38x" w:id="165"/>
            <w:bookmarkEnd w:id="165"/>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6">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visas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x3blact3w7pr" w:id="166"/>
            <w:bookmarkEnd w:id="166"/>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8">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4gz365oussm8" w:id="167"/>
            <w:bookmarkEnd w:id="167"/>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9">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V64</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A">
            <w:pPr>
              <w:spacing w:before="240" w:lineRule="auto"/>
              <w:rPr>
                <w:rFonts w:ascii="Times New Roman" w:cs="Times New Roman" w:eastAsia="Times New Roman" w:hAnsi="Times New Roman"/>
                <w:sz w:val="20"/>
                <w:szCs w:val="20"/>
              </w:rPr>
            </w:pPr>
            <w:bookmarkStart w:colFirst="0" w:colLast="0" w:name="_7qexyn4nk2y7" w:id="168"/>
            <w:bookmarkEnd w:id="168"/>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B">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travel of governmental personnel</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C">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tbpu1mivouu0" w:id="169"/>
            <w:bookmarkEnd w:id="169"/>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D">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5wpdwh2espkw" w:id="170"/>
            <w:bookmarkEnd w:id="170"/>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E">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V65</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4F">
            <w:pPr>
              <w:spacing w:before="240" w:lineRule="auto"/>
              <w:rPr>
                <w:rFonts w:ascii="Times New Roman" w:cs="Times New Roman" w:eastAsia="Times New Roman" w:hAnsi="Times New Roman"/>
                <w:sz w:val="20"/>
                <w:szCs w:val="20"/>
              </w:rPr>
            </w:pPr>
            <w:bookmarkStart w:colFirst="0" w:colLast="0" w:name="_km1ddk38j20q" w:id="171"/>
            <w:bookmarkEnd w:id="171"/>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0">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Limit work authorizations</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1">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6jablplz4bmo" w:id="172"/>
            <w:bookmarkEnd w:id="172"/>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a9kirtwd8ka" w:id="173"/>
            <w:bookmarkEnd w:id="173"/>
            <w:r w:rsidDel="00000000" w:rsidR="00000000" w:rsidRPr="00000000">
              <w:rPr>
                <w:rtl w:val="0"/>
              </w:rPr>
            </w:r>
          </w:p>
        </w:tc>
      </w:tr>
      <w:tr>
        <w:trPr>
          <w:cantSplit w:val="0"/>
          <w:trHeight w:val="485" w:hRule="atLeast"/>
          <w:tblHeader w:val="0"/>
        </w:trPr>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3">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V66</w:t>
            </w:r>
          </w:p>
        </w:tc>
        <w:tc>
          <w:tcPr>
            <w:tcBorders>
              <w:top w:color="000000" w:space="0" w:sz="0" w:val="nil"/>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4">
            <w:pPr>
              <w:spacing w:before="240" w:lineRule="auto"/>
              <w:rPr>
                <w:rFonts w:ascii="Times New Roman" w:cs="Times New Roman" w:eastAsia="Times New Roman" w:hAnsi="Times New Roman"/>
                <w:sz w:val="20"/>
                <w:szCs w:val="20"/>
              </w:rPr>
            </w:pPr>
            <w:bookmarkStart w:colFirst="0" w:colLast="0" w:name="_7ktl0iel5mrg" w:id="174"/>
            <w:bookmarkEnd w:id="174"/>
            <w:r w:rsidDel="00000000" w:rsidR="00000000" w:rsidRPr="00000000">
              <w:rPr>
                <w:rFonts w:ascii="Times New Roman" w:cs="Times New Roman" w:eastAsia="Times New Roman" w:hAnsi="Times New Roman"/>
                <w:sz w:val="20"/>
                <w:szCs w:val="20"/>
                <w:rtl w:val="0"/>
              </w:rPr>
              <w:t xml:space="preserve">Other</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5">
            <w:pPr>
              <w:spacing w:before="240" w:lineRule="auto"/>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Mandatory repatriation</w:t>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6">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h4crfn9p0n0p" w:id="175"/>
            <w:bookmarkEnd w:id="175"/>
            <w:r w:rsidDel="00000000" w:rsidR="00000000" w:rsidRPr="00000000">
              <w:rPr>
                <w:rtl w:val="0"/>
              </w:rPr>
            </w:r>
          </w:p>
        </w:tc>
        <w:tc>
          <w:tcPr>
            <w:tcBorders>
              <w:top w:color="000000" w:space="0" w:sz="0" w:val="nil"/>
              <w:left w:color="000000" w:space="0" w:sz="0" w:val="nil"/>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257">
            <w:pPr>
              <w:keepNext w:val="0"/>
              <w:keepLines w:val="0"/>
              <w:widowControl w:val="1"/>
              <w:pBdr>
                <w:top w:space="0" w:sz="0" w:val="nil"/>
                <w:left w:space="0" w:sz="0" w:val="nil"/>
                <w:bottom w:space="0" w:sz="0" w:val="nil"/>
                <w:right w:space="0" w:sz="0" w:val="nil"/>
                <w:between w:space="0" w:sz="0" w:val="nil"/>
              </w:pBdr>
              <w:shd w:fill="auto" w:val="clear"/>
              <w:spacing w:after="0" w:before="240" w:line="276" w:lineRule="auto"/>
              <w:ind w:left="0" w:right="0" w:firstLine="0"/>
              <w:jc w:val="left"/>
              <w:rPr>
                <w:rFonts w:ascii="Times New Roman" w:cs="Times New Roman" w:eastAsia="Times New Roman" w:hAnsi="Times New Roman"/>
                <w:sz w:val="20"/>
                <w:szCs w:val="20"/>
              </w:rPr>
            </w:pPr>
            <w:bookmarkStart w:colFirst="0" w:colLast="0" w:name="_rv89zsj4zkeo" w:id="176"/>
            <w:bookmarkEnd w:id="176"/>
            <w:r w:rsidDel="00000000" w:rsidR="00000000" w:rsidRPr="00000000">
              <w:rPr>
                <w:rtl w:val="0"/>
              </w:rPr>
            </w:r>
          </w:p>
        </w:tc>
      </w:tr>
    </w:tbl>
    <w:p w:rsidR="00000000" w:rsidDel="00000000" w:rsidP="00000000" w:rsidRDefault="00000000" w:rsidRPr="00000000" w14:paraId="00000258">
      <w:pPr>
        <w:rPr>
          <w:rFonts w:ascii="Times New Roman" w:cs="Times New Roman" w:eastAsia="Times New Roman" w:hAnsi="Times New Roman"/>
          <w:b w:val="1"/>
          <w:bCs w:val="1"/>
          <w:sz w:val="20"/>
          <w:szCs w:val="20"/>
        </w:rPr>
      </w:pPr>
      <w:r w:rsidDel="00000000" w:rsidR="00000000" w:rsidRPr="00000000">
        <w:rPr>
          <w:rtl w:val="0"/>
        </w:rPr>
      </w:r>
    </w:p>
    <w:sectPr>
      <w:pgSz w:h="12240" w:w="15840" w:orient="landscape"/>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