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7raznzmcetfr" w:id="0"/>
      <w:bookmarkEnd w:id="0"/>
      <w:r w:rsidDel="00000000" w:rsidR="00000000" w:rsidRPr="00000000">
        <w:rPr>
          <w:rFonts w:ascii="Times New Roman" w:cs="Times New Roman" w:eastAsia="Times New Roman" w:hAnsi="Times New Roman"/>
          <w:sz w:val="20"/>
          <w:szCs w:val="20"/>
          <w:rtl w:val="0"/>
        </w:rPr>
        <w:t xml:space="preserve">Unique ID: </w:t>
        <w:tab/>
        <w:t xml:space="preserve">16.2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kxwle36dzg6t"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Côte d'Ivoire</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d5sg7ilsusjx"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rvah5oo7jvk6"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cw2s7fz38k9u"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Côte d'Ivoire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zhhu6o5ldggg"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15/12/2005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20/12/2010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n9i2x8sdhpnz"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gem3wbsv7i0j"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gjpsh85c9wox"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The Group noted previously that test flights of the FANCI Mil Mi-24 combat helicopter are a potential threat to peace and security. The Group further noted a case in which FANCI attempted to deploy the Mi-24 armed, and exposed the continued presence of foreign technicians who maintained the helicopter’s airworthiness, a violation of the embargo. On 20 November, the Group met with FANCI Chief of Staff General Mangou, who, after being provided by the Group with compelling evidence, admitted that foreign technicians assist with the Mi-24. General Mangou apologized for the trouble that the Group had encountered at the Groupement aérien de transport et de liaison (GATL) military air base during an inspection and, by telephone, with the Group present, ordered that the base be fully open for inspection in the future. 24. The Group understands that without test flights the Mi-24 will rapidly lose value. A solution is to arrange for such tests in an open, transparent and accountable manner, approved by the Security Council Committee, so that no threat to peace and security is posed. The Group recommends that testing be restricted to a flight range over the airport, and that all technical work occur only under UNOCI observation. To ensure safety and airworthiness, foreign technicians could be exempted individually when appropriate and accommodated in one place, such as the Hotel Ivoire, where they can be easily located. Such a procedure has also been agreed upon for the munitions for the Mi-24, which should all be stored in one easily verifiable location. The Group informed General Mangou that he must provide comprehensive lists of technicians working at GATL and seek exemption through the Security Council Committee for foreign or dual-nationality technicians involved with the Mi-24 helicopter and for test flights. FANCI failed to provide the Group with such a list; a test flight should not be permitted until such time as it has been furnished and transparency modalities have been agreed upon. B. Identity of Mil Mi-24 foreign technicians 25. The Group previously noted the identities of four technicians and one interpreter associated with the Mi-24 since 2005. The Governments of Belarus and Ukraine confirmed the identity of those individuals, as well as additional names that had been under investigation by the Group. Aleg Boyko and Ivan Bohach (interpreter), mentioned in an April 2005 UNOCI inspection report, are Belarus citizens who had worked for Belspetsvneshtechnika (BSVT) in Côte d’Ivoire until October 2004. Feodosiy Karlovskiy, Sergiy Romanchuk, Igor Burla, Vyacheslav Labuzov, Oleksandr Manzhulyev, Volodymyr Rodyn, Vasyl Kononenko and Yaroslav Narytnyk are Ukrainian citizens who arrived in Côte d’Ivoire in their private capacity between June and August 2003 and remained until May 2005. The Ukrainian Government could not exclude the possibility that Karlovskiy, Burla and Romanchuk, Mi-24 technicians from a disbanded military unit, did not remain in Côte d’Ivoire past May 2005. The Group previously identified Karlovskiy as the head Mi-24 technician in mid-2006 and interviewed him, under the name Vadim Feodosiy Karlovskiy, on 18 November at the Hotel Ivoire in Abidjan. The Group also noted the presence of another Mi-24 technician, who appeared in photograph 1 of S/2006/735 and was observed working on the Mi-24 by the Group on 30 May and 2 August 2006. The Group was informed by FANCI that three foreign technicians were retained to provide technical assistance for the Mi-24 but was not provided with names or contract details. C. Payment for foreign technicians and associated personnel of the Forces armées nationales de Côte d’Ivoire 26. Evidence obtained during the Group’s current mandate shows that a Belarus interpreter, Ivan Bohach, has been paid by R.M. Holdings. He was identified by UNOCI in April 2005 during an inspection of the Mi-24. R.M. Holdings provided 16 cheques worth approximately $770,000 (417 million CFA francs) to Bohach in August and September 2005 and from February to June 2006 (see annex V). This large amount does not appear to correspond to the salary or expenses of only one person. FANCI informed the Group that Bohach served as an interpreter for Slavic technicians, including those working on the Mi-24. 27. R.M. Holdings also provided a payment of approximately $18,000 (9.8 million CFA francs) to Dzmitry Lapko in August 2005 and paid for air tickets for Lapko and another individual, Aliaksandr Skavartsov, in September 2005. Lapko, a Belarusian citizen, worked for the FANCI ground-to-air artillery battalion in Abidjan starting in March 2005 (see annex VI). FANCI Chief of Staff General Mangou admitted to the Group that Mr. Lapko had worked on BMP-1s in 2005 but that the work ended because the funds ran out. The Group views the activities of this individual and payments to sustain his work as an embargo violation. The status of Mr. Skavartsov remains under investigation. The Group noted in S/2006/735 that non-aviation technicians working for FANCI lived in a residential house in Abidjan in 2005, according to an informant and diplomatic sources. Mikhail Kapylou paid the rent for that house and transferred just over $18,700 (10.1 million CFA francs) to the owner in August 2005. 28. R.M. Holdings further provided air tickets to the An-12 crews and payment of approximately $71,000 (38 million CFA francs) to the pilot-in-command of the aircraft in September 2005. R.M. Holdings also purchased air tickets for Mikhail Kapylou, Robert Montoya, Bahiro Denis Adou (a FACI Colonel), Bredou Angoua (also a FACI Colonel) and Zié André Gnato (Directeur de cabinet civil et militaire, Defence Ministry) between Abidjan and points in eastern Europe including Belarus and the Russian Federation, in August 2005. The Banque nationale d’investissement closed the R.M. Holdings account held at the bank in October 2006. D. R.M. Holdings, Montoya and Kapylou 29. The Group attempted to contact Mikhail Kapylou by telephone on numerous occasions and at his residence in Abidjan without success. The Group interviewed Robert Montoya in Lomé on 16 October 2006 (see annex VII). The Group requested that Mr. Montoya furnish information regarding transfers to and from the R.M. Holdings bank account noted in S/2006/735, for which Mr. Montoya and Mr. Kapylou were both signatories (see annex VIII). Mr. Montoya stated that Government of Côte d’Ivoire’s payments to R.M. Holdings in 2005 and 2006 recorded for Belarusian personnel or citing contract numbers were repayment for expenses or to fulfil contractual obligations incurred or concluded prior to the embargo. Mr. Montoya was unable to furnish evidence of expenses or contracts to support this claim. Mr. Montoya further informed the Group that R.M. Holdings made no payments to or for the benefit of foreign technicians working for FANCI after the embargo, including crews and technicians for the Mi-24 and An-12. On 16 November, however, Mr. Montoya’s lawyers noted that R.M. Holdings had paid the plane tickets for an An-12 crew in September 2005, which was at variance with Mr. Montoya’s previous statements to the Group. The Group has obtained further evidence of payments by R.M. Holdings for other plane tickets and expenses of An-12 crews, made to Ivan Bohach and Dzmitry Lapko. 30. The Government of Belarus and BSVT informed the Group that four payments from R.M. Holdings to BSVT in 2005 were in repayment for contracts concluded prior to the embargo. BSVT also noted a further two payments from Darkwood for similar reasons. Those contracts were No. 112/084/03-486 of 10 December 2003, with a Customs stamp of 15 October 2004 for Su-25 aircraft, and No. 112/084/03- 457C of 22 September 2003, with a Customs stamp of 11 October 2004 for ground equipment, Su-25 equipment and Mi-24 helicopter equipment. 31. The Government of Belarus informed the Group that Mikhail Kapylou is not an official representative of the Ministry of Defence or BSVT in Côte d’Ivoire, nor is Robert Montoya a BSVT representative for Côte d’Ivoire. The Group published the Belarus passport of Mr. Kapylou in S/2006/735, annex IV. The Group obtained a copy of an Ivorian diplomatic passport issued to Mr. Kapylou on 30 March 2005 describing him as “Conseiller technique au ministère de la defense” (see annex IX). This again shows the closeness of the relationship between R.M. Holdings and the Ivorian defence and security establishment and that Mr. Kapylou’s activities in Côte d’Ivoire constitute a violation of United Nations sanctions.</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2006, S/2006/964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Foreign nationals continue to play a role in maintaining the air assets of Côte d’Ivoire, especially its Mi-24P helicopter and its AN-12 transport aircraft. The Ivoirian authorities confirmed to the Group that eight Belarusian technicians and two Ukrainian nationals provide advice but claimed that they do not work on the aircraft and are attached to contracts arranged prior to the embargo. They also claimed that the AN-12 is not a military aircraft and is therefore not sanctioned. 51. The Group and UNOCI have observed those individuals working on both aircraft and have photographs and multiple reports to prove this. The AN-12 is also on lists provided to the Group by FACI and is registered to the military. It has been observed by UNOCI to fly on military and non-military missions. The efforts of the Ministry of Defence to maintain its air force has been described in depth in paragraphs 101 to 113 of its report (S/2005/699). The importation of AN-12 tyres described in case study three above is further evidence that that is a priority.</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March 2006, S/2006/204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The Group gathered credible information indicating that since the establishment of the sanctions regime by the Security Council in November 2004, members of the Defence and Security Forces of Côte d’Ivoire (FDS-CI) and the Defence and Security Forces of Forces nouvelles (FDS-FN) have been receiving training related to military activities delivered in other Member States, in violation of paragraph 7 of Security Council resolution 1572 (2004). 34. Pursuant to a request by the Group, the Moroccan Ministry of Defence confirmed such information. In particular, Moroccan authorities shared with the Group a list of 121 names, all members of FANCI, who, since 2002, have received military training in various centres of the Royal Moroccan Army. These training courses are ongoing, ranging in duration from five months to four years. Thirty-nine Ivorian military personnel are currently enrolled in these courses, 14 of whom will complete their training in 2010. Their curriculum includes officer training for staff positions in the Army headquarters, training for cadet officers and mechanics and training in ground-to-ground artillery, ground-to-air artillery, armoured weaponry, armoured vehicles mechanics, general weaponry, small calibre weaponry, ammunition and radio equipment operation. 35. The Group also has information that other members of the Ivorian security forces (both FDS-CI and FDS-FN) also undergo similar training in other countries, and it has submitted requests for detailed information to a number of Member States. The Experts count on the full cooperation of those States</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2008, S/2008/235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During the investigations undertaken on deliveries to Côte d’Ivoire by air, the Group identified import documents referring to the delivery from a supplier in the United States, on 21 February 2008, of items classified as “10.43 kg of dynamite/explosive”. After further verification of the airway bill and the associated customs documents, the Group determined that the consignee of these goods was a company involved in the oil exploration/production industry, Schlumberger OEL, using such equipment within the framework of its service delivered. 40. During its exchanges with the managers of this company, the Group explained the modalities with respect to the sanctions and advised the representatives that in the absence of an exemption, the present import and any other previous imports constituted violations of the sanctions regime. The Group requested all relevant technical details, including quantities, which the representatives of Schlumberger OEL did not provide. The Group was also informed that the same company imported these goods previously. In this specific case, the interlocutors refused to accept that the importation was a violation of the sanctions regime and pointed out that they had the requisite permission from the Ivorian Ministry of Mines, and that there were no export restrictions imposed by the United States authorities. The Group continues to investigate other service providers who might have imported similar materials. 41. The Group deems that such imports constitute a violation of paragraph 7 of resolution 1572 (2004), by which the Security Council prohibited the direct or indirect supply, sale or transfer of arms or any related materiel to Côte d’Ivoire.</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2008, S/2008/235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Air traffic statistics made available to the Group indicate that, since September 2008, the two helicopters have regularly transported Ivorian dignitaries, including the President of the Republic and military authorities. The helicopters have also made local flights around Abidjan Airbase, some of which occurred at night. 36. The Group was unable to obtain information as to the purpose of these night flights. The Group contacted Starlite Aviation, which owns the helicopters, to request information on the terms of use specified by the contract signed between Starlite Aviation and the Government of Côte d’Ivoire. Following this request, Starlite Aviation requested additional information regarding the scope of the embargo. The Group advised the company that the use of the aircraft for military purposes constitutes a violation of the embargo.</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8 April 2009, S/2009/188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previous Group requested that UNOCI conduct an investigation into arms trafficking in the Lac Buyo region of Côte d’Ivoire (see S/2008/598, paras. 99 and 100). Military observers and United Nations police visited the region at the end of 2008 and, having interviewed local communities in the immediate vicinity, reported that instances of arms trafficking appear to be relatively commonplace. Local reports suggest that arms are transferred across the border from Guinea close to the town of Touba (Côte d’Ivoire). Those weapons are subsequently transported by pirogue, southwards on the Sassandra River to Lac Buyo. Given that most trafficking is reported to occur at night, it is unlikely that anything short of a major surveillance operation is likely to detect significant evidence of illicit activity. Demand for weapons is reportedly high in the Lac Buyo area, owing not to the north-south conflict but to ethnic tensions which may also have an economic dimension.</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8 April 2009, S/2009/188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Since late March 2010, FDS-CI has been repairing its one Mi-24 helicopter gunship, which is parked at Abidjan Airbase. As noted in the Aviation section of the present report (see paras. 336-357 below), the rehabilitation of this aircraft has necessitated foreign technical assistance, which is a violation of the embargo. Following repair, the helicopter is now capable of flight. 61. The Group wishes to draw attention to the potential danger this aircraft poses to peace and security in Côte d’Ivoire. The hangar in which the aircraft is parked houses a store of functioning UB-32 rocket launchers, S-5 55 mm rockets, cannons and cannon ammunition. The helicopter could be armed and made combat-ready in a matter of hours. 62. Reactions by the Forces nouvelles to the rehabilitation of the aircraft4 suggest that there are growing fears the aircraft could again be used against military and civilian targets in the north of Côte d’Ivoire, echoing events on the ground in 2004. The rehabilitation of the Mi-24 must be viewed, therefore, as a significant threat to relations between the Government and the Forces nouvelles and, hence, as an impediment to a peaceful resolution of the crisis.</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Government of Morocco continues to violate the arms embargo by providing a range of military training to Ivorian personnel. Despite the findings of the previous Group of Experts (see S/2009/521, paras. 82-85), and a face-to-face meeting between the previous Group and the Permanent Mission of Morocco to the United Nations in October 2009, the Government of Morocco has made no attempt to halt this training. 65. On 29 March 2010, the Group wrote to the Permanent Mission of Morocco reiterating that the training of Ivorian military personnel violated the embargo and requesting further information on the specific types of training provided in 2010. The Government of Morocco replied, on 21 July 2010, that it continued to provide “classical military training” and would do so beyond 2010. 66. The Group concludes that the Government of Morocco knowingly violates the arms embargo and calls on it to discontinue, immediately, all military training of Ivorian personnel.</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The Group has identified the acquisition by the Ivorian defence and security forces of 184 trucks since 2004. Of these vehicles, around 80 per cent (143) have been imported since the beginning of 2009 (see paras. 417-424 of the Customs section below). 68. Although these trucks are of common civilian types, they are easily adaptable to military use. In fact, the majority of light vehicles used by both FDS-CI and the Forces nouvelles are civilian models. Many of them carry mounted heavy machine guns (see image below). New FDS-CI “civilian” truck with mounted machine gun in Abidjan, 23 June 2010 Source: Group of Experts on Côte d’Ivoire. Note: The truck is a civilian model Mazda BT-50. The weapon is a 12.7 x 108 mm heavy machine gun. 69. The vehicles (102 medium trucks and 81 pick-ups/4x4s) could provide mobility for more than 2,500 armed personnel and tens of heavy weapons. Given that troop mobility was a serious factor affecting the military capacity of the Government of Côte d’Ivoire during the 2002-2004 hostilities, the acquisition of trucks for FDS-CI represents a significant force multiplier in the event of a resumption of violent conflict (see S/2009/521, para. 72). 70. The Group considers the import of vehicles for military uses to be a breach of the embargo, for the reasons set out in paragraph 62 of the final report of the previous Group of Experts (S/2009/521). It calls on all foreign suppliers to cease direct or indirect sales of vehicles to Ivorian defence and security forces that have not been made the subject of exemption from the embargo by the Sanctions Committee.</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On 3 June 2010, UNOCI military observers in Gagnoa, southern Côte d’Ivoire, photographed a box of lachrymatory (tear gas) grenades, stored in the town Gendarmerie headquarters. Imports of this materiel require an embargo exemption from the Sanctions Committee (see annex IX). 80. The town of Gagnoa is significant in this context because it was the site of indiscriminate and lethal use of force by security forces against civilians in February 2010. The excuse provided by the security forces was a lack of appropriate riot- control equipment, including lachrymatory materiel. 81. As the image below indicates, the grenades are newly boxed and efforts have been made to remove the labels from boxes (possibly to conceal the origin of the materiel). Nonetheless, the labels provided sufficient information (see image below) to identify the address of the Senegalese producer/distributor, Établissements Fakih of rue Joseph Gomis, Dakar. Label on box of lachrymatory grenades in Gagnoa, 3 June 2010 Source: UNOCI Military Observer Team, Gagnoa. 82. On 4 June 2010, the Group wrote to Établissements Fakih, with a copy to the Permanent Mission of Senegal to the United Nations, and requested a list of all materiel sent to Côte d’Ivoire since November 2004. 83. Neither Etablissements Fakih nor the Senegalese authorities responded to the Group’s letter. The Group considers that the presence of boxes containing tear gas grenades is likely to be a breach of the embargo and encourages the Government of Senegal to ensure a full response to its requests for information</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342. The aircraft’s crew currently consist of three Ivorian pilots: two colonels and a young lieutenant. According to information gathered from Ivorian military officials, the Ivorian Air Force has the necessary technicians and pilots to maintain and fly the Mi-24. The two colonels are former pilots and the lieutenant, according to military officials, has recently followed a two-year pilot’s training course. 343. Given the statements by the Ivorian military officers and the fact that Côte d’Ivoire does not have Mi-24 training infrastructure, the Group strongly believes that this training has been provided in another country, in violation of the sanctions regime. Because it was unable to determine where this training took place, the Group addressed letters to a number of Member States with links to Côte d’Ivoire’s military, but has yet to receive answers.</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344. Given that the Mi-24 last flew on 26 October 2006, spare parts have certainly been necessary for its rehabilitation. Some of those parts may have been cannibalized from the two damaged and unserviceable Mi-24 helicopters, registrations TU-VHQ and TU-VHR, which are parked in the same hangar. 345. Nevertheless, cannibalization of unserviceable Mi-24 helicopters would only provide durable parts. A complete rehabilitation would necessitate the acquisition of perishable items. The Group firmly believes, therefore, that the Ivorian Air Force has imported spare parts in breach of the embargo</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As the Group noted in its midterm report, it has pursued numerous investigations into the import of vehicles destined for use by FDS-CI (see S/2010/179, paras. 126- 132). Since 2004, the total number of vehicles reported to have been sold to FDS-CI by various Abidjan-based companies is 184. The Group notes that the number of vehicles is large and that they therefore, could have a serious impact on increasing the mobility of Government troops (see paras. 67-70 of the Arms section above). 418. The Group obtained lists of these vehicles from the Abidjan-based firms, including the types of vehicles sold, their chassis numbers and dates of import into Côte d’Ivoire. The Group also obtained customs clearance certificates for the listed vehicles. Trucks imported for military uses in Yamoussoukro, 1 October 2009 Source: UNOCI Integrated Embargo Cell. 419. An analysis of those documents indicates that the Ivorian companies imported the vehicles with the direct purpose of supplying FDS-CI. This is in contrast to the importing companies’ claims that they import the vehicles for civilian use and only afterwards sell them to FDS-CI. 420. First, a number of the customs clearance certificates specify the Ministry of Defence as the recipient. This means that the vehicles were customs bonded upon arrival and then released directly to FDS-CI (technically the point of import). In these cases (see annex XVIII), there is direct evidence of imports destined directly for FDS-CI. 421. Second, some of the customs clearance certificates do not specify the Ministry of Defence as the recipient, but specify the importing company itself. However, the interval between the arrival of the vehicles in Côte d’Ivoire and their delivery to FDS-CI is often as little as 10 days. This suggests that the vehicles have not been imported for general sale to civilians, but for direct transfer to FDS-CI. 422. The Group concludes that the companies concerned import the vehicles for FDS-CI. The vehicles are, therefore, before their import, destined for the defence and security forces. Under these conditions, the Group considers the export of these vehicles to Côte d’Ivoire to be in violation of the sanctions regime.</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The Group attempted to inspect the Republican Guard base in Abidjan in January, May and June 2009, but was refused access on all three occasions. The Republican Guard also denied access to UNOCI inspection teams on three further occasions in 2009, despite having received notification 72 hours prior to inspection. 51. The refusal of the Republican Guard to allow either the Group or UNOCI access contravenes paragraph 5 of Security Council resolution 1842 (2008), by which the Council reiterated its demand that the Ivorian parties to the Ouagadougou Political Agreement, particularly the Ivorian authorities, provide unhindered access to equipment, sites and installations and in which the Council made specific reference to those under the control of Republican Guard units</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During the course of its mandate, the Group noted a number of transport vehicles in use with the Ivorian military that appeared to be relatively new. The Group notes that vehicles used to transport troops and military equipment are a force multiplier (see para. 62 above) and it considers that their import into Côte d’Ivoire for these purposes constitutes a breach of the embargo on related materiel. 73. The Group identified several vehicles of Japanese manufacture that it suspected might have been exported to Côte d’Ivoire since the imposition of the embargo. After having requested a list of exports to Côte d’Ivoire from the relevant manufacturers, the Group received a response from Isuzu Motors, Japan. The response included a sales list provided by the Société africaine de représentations industrielles (SARI),6 the distributor of Isuzu vehicles in Côte d’Ivoire. This list indicated that the Ministry of Defence of Côte d’Ivoire had purchased one Isuzu NKR light truck and one Isuzu TF pick-up truck7 in January 2007 and May 2009, respectively. 74. SARI informed Isuzu Japan that, at the time of purchase, the Ministry of Defence had claimed the vehicles were to be used “exclusively to transport staff to ensure a smooth electoral process” and that they would not be used for military purposes. The Group notes that it is not possible to verify the precise uses to which the military of Côte d’Ivoire puts the vehicles, but deems their acquisition a breach of the embargo on arms and related materiel.</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Several Member States provide training to Ivorian military personnel. During the course of its mandate, the Group met one Ivorian officer who was returning from a training course in Morocco. The Group maintains that foreign provision of military training to the Ivorian defence and security forces, if it includes instruction of a military nature, constitutes a breach of the sanctions regime. The Group raised this issue during its meeting with the Minister of Defence of Côte d’Ivoire on 13 August 2009. The Minister confirmed to the Group that Ivorian military personnel regularly visit Morocco for training. 83. The previous Group of Experts requested information from Morocco on the training of Ivorian military personnel, and received a response that confirmed that Morocco was training 39 Ivorian military personnel and that training would be completed in 2010 (S/2008/235, para. 34). According to a list provided by Morocco (see annex III), the training includes various military courses, including instruction on military communications, ammunition and armoured warfare. The Group concludes that the continued Moroccan training of Ivorian personnel is a clear breach of the sanctions regime.</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Group found numerous 12-gauge shotgun cartridges circulating among the civilian population of northern Côte d’Ivoire. Of the first samples it obtained, the manufacturer’s logo was only faintly visible owing to wear. As the Group noted in its midterm report (S/2009/188, para. 47), it interpreted these markings as “Darma, Mali” and sent a letter to the Government of Mali requesting information on any manufacturers of that name operating in the country and their possible sales to Côte d’Ivoire. 103. The Group has subsequently viewed many newly manufactured examples of the ammunition in question (see figure III). It now understands that the ammunition is marked “Carma” (rather than “Darma”), which is an abbreviation of “cartoucherie du Mali”, an ammunition manufacturer in the Niamakoro district of Bamako. Mali informed the Group that it was unable to identify the wrongly supplied “Darma” name in its records, but added that the cartoucherie du Mali only manufactures shotgun ammunition and exports to only one international client: Drissa Ouedrago, who is based in Bobo-Dioulasso, Burkina Faso. Figure III Markings on a 12-gauge shotgun cartridge (CARMA, MALI) Source: Group of Experts on Côte d’Ivoire. 104. The Group spoke to Mr. Ouedrago, who stated that he did not export cartridges to Côte d’Ivoire, but that Ivorian civilian parties continued to visit him in Bobo- Dioulasso and Ouagadougou, Burkina Faso, to purchase ammunition. The Group notes that these Ivorian parties (and possibly Mr. Ouedrago) are in breach of the embargo, which the Group explained to Mr. Ouedrago.</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Of the Kalashnikov-pattern weapons that the Forces nouvelles present for inspection, the serial numbers of the vast majority (more than 90 per cent) have been deliberately erased by grinding. By contrast, the Group’s inspections of Kalashnikov-pattern weapons in the possession of Government-controlled FDS-CI forces reveal that, in almost all cases, the serial numbers remain intact. 129. The serial numbers of other types of weapon in Forces nouvelles inventories have not been removed. During inspections, the Group found no evidence of serial number tampering involving pre-embargo SIG-540 series assault rifles, MAS-49/56 rifles or MAT-49 sub-machine guns. It also observed pre-embargo, Bulgarian- manufactured ARM assault rifles (a Kalashnikov variant) whose serial numbers remained intact. These ARM weapons were shipped in large numbers12 to the Government of Côte d’Ivoire during the crisis (2002-2004), prior to the embargo. Together, these observations indicate that the removal of serial numbers has been highly selective, focusing only on the Kalashnikov-pattern weapons held by the Forces nouvelles and disregarding weapons that were known to be present in Côte d’Ivoire prior to the embargo. 130. The Kalashnikov-pattern weapons with missing serial numbers are of various origins and ages. They include Russian manufactured AK-47 and AKM weapons, which date from the 1950s to the 1990s. They also include various models of Chinese Type-56 assault rifle. In many cases, these weapons are sufficiently old, and may have passed through such a number of hands, to make tracing their transfer histories unfeasible. For these reasons, even had the serial numbers on the weapons remained intact, the Group would probably not have contacted their manufacturers in an attempt to trace them. The deliberate removal of the serial numbers on Forces nouvelles weapons is, in most cases, unnecessary. 131. A second unusual feature is the thoroughness with which the serial numbers have been removed. Kalashnikov-pattern weapons most commonly feature a serial number on the left-hand side of the receiver. The last four digits of this number are usually repeated on the bolt carrier,13 which is part of the weapon’s internal mechanism. This partial repeat of the serial number helps to prevent the moving parts of one weapon being confused with those of another. It cannot be used to trace a weapon in manufacturing or transfer records. Despite this, the partial serial numbers on the bolt carriers of Forces nouvelles Kalashnikov-pattern weapons have also been removed, an unnecessary activity if it was intended to render the weapons untraceable (see figure IV). Figure IV Serial numbers (upper) and bolt carrier numbers (lower) removed by grinding Source: Group of Experts on Côte d’Ivoire. 132. The deliberate and thorough removal of serial numbers and associated marks clearly indicates that either the Forces nouvelles, or the supplier of the weapons, did not want them to be traced. The Forces nouvelles would have nothing to gain by removing serial numbers from pre-embargo weapons that it had acquired during the crisis. The fact that the serial numbers have not been removed from known pre-embargo weapons supports this observatio</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142. This repackaging is systematic. Many of the cocoa bags are themselves packed with small, black plastic bags containing ammunition. These bags contain regular quantities of ammunition: 20 cartridges in each plastic bag in the case of 7.62 x 39 mm munitions. This suggests that the ammunition has been decanted from its original, standard 20-cartridge cartons17 into plastic bags. Systematic re-packing of this kind, and the fact that the ammunition in each bag is homogenous, suggests that the ammunition has been transferred from boxes to bags directly. The source of the ammunition, therefore, is almost certainly a single supplier rather than multiple, disparate sources. For example, if the ammunition had been acquired from numerous suppliers and then bagged, each bag would contain many different types of ammunition. That is not the case. 143. The Group concludes, as it did in the case of assault rifle transfers, that the ammunition has been repacked by, or at the behest of, a State. If the Forces nouvelles had acquired the ammunition from a number of non-State sources, there would be little incentive for any (and certainly not all) such parties to remove the ammunition from its original boxes and systematically re-pack it. The Group believes that only a State would be concerned that its own, legally acquired ammunition, subsequently transferred to the Forces nouvelles, might be traced back to it, if left stored in its original lot-marked boxes. 144. The Group estimates that the bags it observed in Korhogo and Odienné contained, roughly, between 70,000 and 100,000 cartridges.18 These bags represent only a small fraction of the suspect ammunition. The three types of 7.62 x 39 mm cartridges (the Sudanese and the two unknown types) are in widespread use by the Forces nouvelles and probably number in excess of 500,000 cartridges. Spot- checking of Forces nouvelles individual weapons by the Group (in and around Odienné, Séguéla, Korhogo and Ferkessédougou) revealed that these three types of cartridge comprise between 70 and 100 per cent of deployed 7.62 x 39 mm ammunition (see figure VIII). The Group has not observed ammunition of these types stored in boxes in any of the inspected locations.</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145. Two independent and reliable witnesses informed the Group of arms and ammunition transfers from the territory of Burkina Faso to various localities in Forces nouvelles-controlled northern Côte d’Ivoire. Together, these reports are consistent with the Group’s findings on assault rifles with effaced serial numbers and the bagged ammunition described above. 146. The first individual informed the Group that undisclosed parties, acting in support of the Forces nouvelles, had transported assault rifles and small-calibre GUINEA MALI BURKINA FASO Danane Man Boundiali Korhogo Ferkessédougou Corridor nord Yamoussoukro Duekoue Séguéla Daloa Touba Odienné Bouaké Suspect Ammunition Bagged: Loose: Transfers: COTE D’IVOIRE Banfora Bobo-Dioulasso Vavoua Ouangolodogou ammunition from southern Burkina Faso, by road, to Forces nouvelles units in the Ivorian towns of Ferkessédougou and Korhogo. These weapons were reportedly loaded in the Burkinabé town of Bobo-Dioulasso. The last date of transfer was given (in February 2009) as December 2008, but the Group has reason to believe that these transfers are ongoing (see below). 147. The second individual informed the Group that cattle trucks had been used to transport “AK-47” (Kalashnikov-pattern) weapons and ammunition from Burkina Faso to Ferkessédougou, and then to Forces nouvelles units in Korhogo, specifically the Compagnie territoriale de Korhogo. The serial numbers of the weapons had been removed prior to shipment and both weapons and ammunition were shipped in rice bags. 148. The same witness also provided the Group with a sample of the ammunition reported to have been transferred. The types of ammunition are listed in table 4 below. They include all of the types discovered by the Group in cocoa (not rice) bags;19 including Russian-manufactured ammunition, in addition to the Sudanese ammunition and the two types of unknown manufacture noted in paragraph 138 above.20</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464. Like the shipments identified by the previous Groups of Experts, the cartridges intercepted in 2007 had been shipped to Abidjan by express freight from the United States. In this case, the Abidjan postal address was fraudulent. However, the head of customs for Abidjan airport informed the Group that express freight companies are based in the airport and that customers arrive to recover their parcels after they have cleared customs. He noted that Customs has seized many false documents (including credit cards and national identity cards) that persons have presented in order to claim express freight anonymously. The Group believes that this method of shipping prohibited goods to Côte d’Ivoire is used relatively frequently. 465. Given the fact that the calibre of the ammunition cited above is relatively unusual in Côte d’Ivoire, and certainly among security forces in the country and region more generally, the Group believes that this shipment (and indeed those noted by previous Groups of Experts) was probably destined for a private individual rather than one of the parties to the conflict. The Group concludes that this shipment constitutes an attempted breach of the embargo on arms and related materiel.</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Obfuscating; Use of Shell Companies,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During the current mandate, the Group has obtained, after many requests in previous years, access to the lists of such imports for the year 2010 thanks to the collaboration of the new customs administration. 120. The list contains 170 registers of imports made by companies and individuals. Imported goods include a variety of explosives, arms, ammunition, bombs, grenades and other materiel. The list clearly shows that the sanctions regime was deliberately violated through Transit Interarmées. 121. Moreover, the list shows that Transit Interarmées operated beyond its mandate and acted as a forwarding agency for private companies and individuals. Further investigations by the Group will endeavour to discern to what ends the funds generated by those activities have been used.</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2011, S/2011/642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Until his arrest, Commander Anselme Seka Yapo was actively trading weapons and related military materiel destined for Guinea, using the same patterns and financial circuits as he did before April 2011 to violate the arms embargo in Côte d’Ivoire. The Group also documented Commander Seka Yapo’s attempt to circumvent the assets freeze imposed on him by the European Union, by making efforts to divert funds into the bank account of a company he managed (see annex 4). 32. The above-mentioned trafficking network repeatedly violated the sanctions regime by importing weapons, ammunition, aircraft parts and equipment for the Ivorian security forces and other entities. To this end, the network benefited from the complicity of numerous foreign companies specialized in the production of law enforcement equipment, weapons and related materiel. The Group has demonstrated that Commander Seka Yapo was involved in the acquisition of weapons, ammunition and equipment for the benefit of defence and security forces (see annex 5)</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Prior to the presidential elections of October 2010, the deliveries of lethal equipment for the Ivorian security forces accelerated. This was notably the case for the Centre de commandement des opérations de sécurité (CECOS),4 a unit fully equipped by Protec-SA, UAZ-CI and Darkwood Logistics with materiel imported in violation of the sanctions regime, which repeatedly participated in repression and human rights violations during the 2010/11 post-electoral crisis</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According to the Group’s information, weapons and related materiel entered Côte d’Ivoire directly until 2009, sometimes with the approval of the authorities of the country of origin. In 2009, Senegal started to be used as a transit country. The Group was able to document that authorities within Senegal authorized the transfer of weapons and related materiel to Côte d’Ivoire (see annex 6). As documented by the Group, a variety of weapons and related materiel purchased by Mr. Lafont and Mr. Montoya’s companies were introduced into Côte d’Ivoire by Sophia Airlines, whose owner is Louise Kodo (Frédéric Lafont’s wife).</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Messrs Lafont, Montoya and Kapylou have been and are involved, directly or indirectly, in a complex structure of companies based in Côte d’Ivoire, Tunisia and Latvia, which allowed them to violate consistently the sanctions regime imposed on Côte d’Ivoire. 39. According to the Group’s sources and documents, Protec-SA, a new company based in Côte d’Ivoire and owned by Mr. Lafont, which was created after Protec-CI and Protectas Sécurité were legally dismantled (although they kept operating), is a key component in the operating system of the above-mentioned mechanism. 40. Repeated violations of the sanctions regime have occurred using companies such as Protec-SA, Darkwood Logistics (see annex 9), which is based in Côte d’Ivoire and owned up to 90 per cent by Robert Montoya, and UAZ-CI (see annex 10), which is based in Côte d’Ivoire and owned by Atlantis Corporation. Atlantis Corporation is based in Latvia and managed by Taurenis Agris and Ilmars Blumbergs (see annex 11). Mikhail Kapylou is the Director of UAZ-CI. Protec-SA has been used as a platform by two companies owned and/or controlled by Robert Montoya, namely Darkwood Logistics and UAZ-CI. For instance, in the company UAZ-CI, Mr. Kapylou is listed as a shareholder (10 per cent of the company), but 90 per cent of the capital of UAZ-CI belongs to another company, Atlantis Corporation, which was represented at the signature of the statutes by Mr. Montoya. 41. Darkwood Logistics and UAZ-CI have consistently profited from the use of the infrastructure of Protec-SA. The official documents of these companies are very similar and frequently shared the P.O. box number 26 in Abidjan (registered to Mr. Lafont and his wife, Ms. Kodo). 42. During its mandate, the Group was able to document that the companies UAZ-CI and Bel Tech Export (based in Belarus) are trading partners (see annex 12). UAZ-CI also benefited from a direct authorization from the Ministry of Defence of Côte d’Ivoire to transport military equipment, in clear violation of the sanctions regime (see annex 13). 43. From 2006 to 2009, weapons and military materiel imported by the consortium of Mr. Montoya and Mr. Lafont could be defined as “less than lethal”,5 although they were clear embargo violations. The Group documented the sale of lethal weapons and associated ammunition from August 2009 onwards (see annexes 14-20).</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Charitable Funds and Donations,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As documented by the Group, in 2009 Serge Mel Meledje was appointed Managing Director of Darkwood Logistics and UAZ-CI (see annex 21); however, Mr. Meledje’s real role was to cash cheques issued by the Treasury, keeping a personal commission of 0.05 to 0.08 per cent of the amount of the cheques (see annex 22). Mr. Lafont continued to exert a strong role in the company, and the Group possesses evidence that Mr. Lafont continued to sign documents and collect cheques (see annex 8). His wife, Ms. Kodo, also collected cheques after 2009. In the Group’s view, this strategy underlines the links between Darkwood Logistics and UAZ-CI, as well as the intention of concealing the identity of the real proprietors of the companies involved, in violation of the sanctions regime. 46. The payments for the purchase of arms by the former Government of Côte d’Ivoire were made by the Agence Comptable Centrale des Dépôts (ACCD), in the form of cheques addressed to the company concerned, but also — according to the Treasury — payments were made through the funds of the Presidency (see sect. VIII below). The Group focused on the purchases by the Ministry of Defence, which were traceable at its accounts office, as well as at the Ministry of the Interior. Each of these services required the authorization of the Treasury. 47. The Group documented 23 cheques (paid between 26 October 2005 and 14 December 2010) issued by the Treasury to Darkwood Logistics, which were always cashed in person by Mr. Lafont. There was also a cheque cashed by Ms. Kodo on 2 July 2010. 48. Cheques issued to Protec-SA were generally cashed at the Société générale de banques en Côte d’Ivoire (SGBCI), Agency Vridi in Abidjan (account No. 011646281746) and at Bank of Africa, IA Plateau in Abidjan (account No. 010040803237000078). 49. According to the Group’s information, in 2009 the largest payments were made to the company Protec-CI, and cheques issued by the Treasury were cashed at SGBCI (Protec-CI account No. 01164158401703). The significant amounts of funds generated by the activities of these companies resulted in problems for the disposal of cash. According to the Group’s sources, Mr. Lafont travelled frequently to Tunis to deposit into local bank institutions the cash amounts collected during his activities connected to Côte d’Ivoire.</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Group met Mr. Lafont at the end of 2011. Presented with evidence of his involvement in numerous violations of the sanctions regime, Mr. Lafont admitted to having imported non-lethal, less-than-lethal and lethal materiel (only pistols, revolvers, shotguns and associated ammunition) into Côte d’Ivoire. Information gathered by the Group contradicts his statement and demonstrates, in fact, that he participated in the sale to Côte d’Ivoire of thousands of H.Gr 84 fragmentation grenades and a large amount of lethal materiel from 2009 to late 2010. The Group is also of the view that Mr. Lafont sold Glock and Taurus pistols to civilians in Côte d’Ivoire (see annexes 6 and 26). The Group was not able to trace the Taurus or Glock pistols, as the companies have not yet replied to the requests for information.</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Group documented the fact that the Dakar-based Etablissements Fakih served as an intermediary for exporting the following weapons and related materiel to Côte d’Ivoire, in violation of the arms embargo: tear gas ammunition, sold by Nobel Sport and SAE Alsetex (both based in France); launchers for less-than-lethal ammunition and associated ammunition, sold by SAE Alsetex (GC27 and GC54 pistols); 9 mm calibre pistols and 357 magnum calibre revolvers manufactured by Taurus (based in Brazil) and associated ammunition; and rifles and 12-gauge shotguns manufactured by Hatsan (based in Turkey), also with associated ammunition. According to the Group’s information, Sophia Airlines transported these materials from Dakar to Abidjan</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The Group of Experts was able to document the failed attempt by the company UAZ-CI (owned by Mr. Kapylou) to import a Turmo 4C engine for Puma helicopters. The Ivorian air force owns two IAR 330 Puma helicopters, registered TU-VHI and TU-VHM (see S/2006/735, paras. 87-90 and annex 39 below). The transaction was never finalized, as the company Mat Aviation (based in France) refused to proceed with the sale; nevertheless the Group documented a transfer of EUR 180,000 from UAZ-CI as a deposit of 50 per cent of the total amount, dated 27 November 2008, to the company Atlantis (based in Tunisia and owned by Mr. Lafont and Mr. Montoya) for Mat Aviation. However, the remaining balance of EUR 180,000 was never paid, and the deal was not completed. 68. In February 2010, the Group found that the company UAZ-CI violated the sanctions regime by importing into Côte d’Ivoire an engine of the same type for the Puma helicopters of the Ivorian security forces. The company Aérostock (based in France) sold the engine as unserviceable on 10 February 2010 (see annex 40) to the company Aéro Maroc Trading (based in Morocco), where Henri Sernin was employed. The latter sold the engine to UAZ-CI, which finally sold it to the Ivorian air force as a serviceable engine. Together with Ms. Kodo, Mr. Sernin owned the company Buffalo Express International (see annex 38). This company is registered both in Côte d’Ivoire and in Tunisia (where it shares the same address with SGP International).</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Group notes with concern that immediately after the Ivorian presidential elections of 2010, a large amount of ammunition for assault rifles, fragmentation grenades, 120 mm mortar shells and pistols was delivered to the Security Operations Command Centre (CECOS) in flagrant violation of the sanctions regime, as described in the document below dated 1 November 2010. The delivery reportedly took place via air transport, and the Group, at the time of writing the present report, was still investigating the matter in order to identify those involved. Security Operations Command Centre (CECOS) Ministry of Defence Abidjan, 1 November 2010 Summary of deliveries made as at 1 November 2010 (CFA francs) FACT PRO No. 005 bis LK/13-11-2009 Description Quantity Equipment Unit price excluding tax Total price 50 Taurus 9 mm automatic pistols 595 000 29 750 000 1 500 Boxes of ammunition (50 rounds each) 40 000 60 000 000 200 Cases of 1320 7.62 mm cartridges 660 000 132 000 000 450 Boxes of 25 7.62 mm cartridges 25 000 11 250 000 6 000 150 dB HGR 84 noisemaker grenades 58 000 348 000 000 3 000 56 mm MP7 tear gas hand grenades 49 500 148 500 000 2 850 38 mm launcher grenades 48 500 138 225 000 1 400 Lethal defensive grenades 149 000 208 600 000 Description Quantity Equipment Unit price excluding tax Total price 2 Grenade launchers 995 000 1 990 000 400 000 5.56 mm cartridges 800 320 000 000 50 120 mm mortars 157 000 7 850 000 5 000 39 x 7.62 mm cartridges 395 1 975 000 450 M26 defensive grenades 149 000 67 050 000 15 GP380 VHF 639 000 9 585 000 55 GP340 VHF 495 000 27 225 000 1 Transport: Air freight 150 000 000 150 000 000 Delivered: Abidjan, excluding tax, duty and all local taxes Total excluding tax 1 662 000 000 The Group notes that the reference number on the document (FACT PRO No. 005 bis LK/13-11-2009) is consistent with previous reference numbers used by Darkwood Logistics in similar shipments.</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Use of Shell Companies,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The Group documented the import, in violation of the sanctions regime, of two types of fragmentation grenades: M26A9 (manufactured by Denel in South Africa) and H.Gr 84 (referred to in the evidence as “grenades defensives explosives HE M26A9 et grenades H.Gr 84 fulgurantes”). According to the documentation, Darkwood Logistics had the capacity to deliver 3,000 H.Gr 84 fragmentation grenades in a short period of time. The Group cannot exclude the possibility that this lethal materiel was already in the subregion (see annex 19). 72. The H.Gr 84 grenades are manufactured by the Austrian company Rheinmetall Waffe Munition Arges GmbH. However, the Group determined that the H.Gr 84 grenades that entered Côte d’Ivoire were counterfeited copies (see annex 42). Numerous sources informed the Group that these two types of fragmentation grenades (the M26A9 and the H.Gr 84 copies) were widely distributed to pro-Gbagbo militias during the 2010/11 post-electoral crisis. These grenades were used by CECOS and Republican Guard units against civilians in Abidjan during the crisis; according to UNOCI, 154 individuals wounded by grenades were treated at the Mission’s medical facilities from 15 December 2010 to 15 May 2011, of whom 5 died. 73. With a view to tracing the H.Gr 84 fragmentation grenades, the Group contacted the manufacturing company Arges in Austria and sent pictures of the material identified in Abidjan. A representative of Arges informed the Group that the grenades found in Côte d’Ivoire were not manufactured by the Austrian company. The Group determined that Yugoimport10 (based in Serbia) manufactured a copy of the H.Gr 84 with the name of M84. At the time of writing of the present report, Yugoimport had not yet provided the information requested by the Group concerning the fragmentation grenade. 74. Data related to the above-mentioned grenades are provided in the table below: Date Provider Materiel Quantity Recipient H.Gr 84 1 000 GendarmerieUnknown. Possible follow-up of the shipment on 22 February 2009 Darkwood Logistics HE M26A9 500 Ordered on 21 October 2009 (order mentions 3,000 grenades available in 48 hours) Darkwood Logistics H.Gr 84 6 000 Police Delivered on 13 November 2009 Darkwood Logistics H.Gr 84 1 008 Gendarmerie Ordered on 30 June 2010 Protec-SA H.Gr 84 1 000 Force spéciale de sécurisation du processus électoral de Guinée Received on 9 August 2010 (Order of payment dated 22 September 2010) Darkwood Logistics H.Gr 84 70 Police H.Gr 84 6 000 M 26 défensives (Note: probably referring to M26A9) 450 Summary of shipments dated 1 November 2010 Darkwood Logistics Grenades “deadly” 1 400 CECOS</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The Group documented repeated violations of the sanctions regime by Mr. Lafont and Mr. Montoya’s companies, notably the import of Cougar tear gas grenade launchers (56 mm calibre) and associated ammunition and other tear gas grenades (manufactured by SAE Alsetex and Nobel Sport, both based in France), as well as GC27 and GC54 pistols and associated ammunition (manufactured by Nobel Sport). In fact, on 5 December 2010, according to the 15 March 2011 Human Rights Watch report and other confirmed sources, uniformed security forces fired shots into the air in the Abobo Kennedy neighbourhood and then fired tear gas canisters towards the houses. The tear gas forced some families outdoors, and security forces opened fire on civilians.</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Under/over invoicing,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According to documents from Transit interarmées, the customs agency of the Ministry of Defence and the Ministry of the Interior of Côte d’Ivoire, since 2004 Mr. Lafont has repeatedly violated the sanctions regime by providing the Ivorian security forces with communications equipment, which was delivered by Soicex Electronique (based in France). The delivered equipment was manufactured by Motorola (based in the United States), Barret Communication (based in Australia) and Danimex (based in Denmark). The Group documented two pro forma proposals prepared by the company Protec-CI, dated 31 August and 10 November 2007 respectively. The Group also documented the payment allocation of the above- mentioned transaction signed by Joseph Kobe Guiguy (Director of Finance and Materiel, Ministry of the Interior) in the amount of CFAF 142,680,450 (see annex 43). 77. It is worth noting that Mr. Lafont was also the representative of several French companies in Côte d’Ivoire, including Soicex Electronique (see annex 44), of which he was the exclusive representative for Côte d’Ivoire. Mr. Lafont also explained to the Group that he represented Alsetex, Nobel Sport and Mag Force (established in France), which specializes in the supply of military equipment, and that he had signed contracts with the Ivorian army, the gendarmerie, the police and CECOS. According to Mr. Lafont, he was introduced to Robert Franquetti, Director of Mag Force in late 2008 in Paris by Mr. Montoya. The business transaction was as follows: the goods were sold at cost and the extra revenues were shared among Messrs Franquetti, Montoya and Lafont.</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Prior to the presidential elections of 2010, Mr. Lafont also violated the sanctions regime by organizing a training course for CECOS. Jean-Gregoire Charaux, a former lieutenant colonel from the French gendarmerie, led the training. Information collected by the Group also indicates that Mr. Charaux was the manager of the company BGSP, a branch of Apex Holding CI, which is a branch of Apex Holding SIA, chaired by Commander Anselme Seka Yapo.</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Group is in possession of documentation indicating that three attempts were made by former President Gbagbo’s authorities to purchase arms in exchange for oil and cocoa. 93. On many occasions in March 2011, Commander Seka Yapo offered to Mr. Blumbergs up to 300,000 metric tons of cocoa and an undetermined amount of brut oil in exchange for arms. The Group cannot yet confirm if the arms deals were successful, but remains confident that investigations can be launched based on this material (see annex 45). 94. The Group also obtained a document dated 6 July 2010 detailing a request from the Ministry of Economy and Finance to the Ivorian oil company Société nationale d’opérations pétrolières de la Côte d’Ivoire (PETROCI) to authorize payments to a company for the purchase of agricultural material, assigning $14 million of the State’s 2010 budget for the purpose (see annex 46). The Group is in possession of documents dated 7 July and 24 August 2010 in which PETROCI authorized two payments of $6.2 million and $7.14 million, respectively, as part of the transaction (see annex 47). 95. In this particular case, the Group was informed by the current authorities at the General Treasury that it was totally unconventional for the State-owned oil company to purchase agricultural products, when normally all official issues related to this economic sector are within the remit of the Ministry of Agriculture. The Group cannot rule out that the real purpose of this transaction was, in fact, the purchase of military materiel in violation of the sanctions regime. The Group considers this case an important example of how easily funds can be diverted in the Ivorian financial system for any purpose.</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April 2012, S/2012/196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Between November 2011 and January 2012, SOFEXI (Groupe Marck) provided a significant number of combat uniforms, additional military clothing and tactical equipment (see annex), for a value of more than 6 million euros, to the Ivorian security forces without following the exemption procedure nor the notification procedure to the Committee. 22. According to the information provided to the Group by the Ivorian Transit interarmées,1 Groupe Marck provided the Ivorian security forces with similar materiel from 2004 to 2010, thus breaching the sanctions regime. In 2009, the Group noted that the Forces nouvelles were equipped with uniforms manufactured by Groupe Marck (see S/2009/521); the manufacturer informed the Group that the uniforms (twill F1 “lizard” camouflage) had been supplied to the Ministries of Defence of Burkina Faso and Benin. This is another potential case of transfer of materiel under embargo from Burkina Faso to Côte d’Ivoire.</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October 2012, S/2012/766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At the beginning of 2006, there was a serious deterioration of the peace process for several months. From 15 to 20 January 2006, the Young Patriots organized violent demonstrations in Abidjan and in western areas of the country ostensibly to protest against a communiqué issued by the International Working Group at its third meeting held in Abidjan on 15 January 2006. The demonstrations represented a breach of Security Council resolution 1643 (2005), as well as the Presidential decree of 12 December 2005 banning any street demonstrations. The virulent anti-United Nations propaganda and incitement to violence, especially on the Radio télévision ivoirienne (RTI) and local radio networks resulted in the extensive looting and destruction of assets and property of United Nations and humanitarian agencies in the western towns of Daloa, San Pedro and most seriously in Guiglo. In Guiglo, mobs incited by hate media attacked UNOCI troops, forcing them to use their rules of engagement, which led to the death of five persons and UNOCI’s temporary withdrawal from Guiglo and other camps in the west, which were then looted. The Secretary-General has written to President Gbagbo, requesting the Ivorian authorities to reimburse the United Nations for the resulting damage, estimated at $3.6 million.</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the night of 17 January 2006 the Bangladesh Battalion 2 (Banbat- 2) camp in Guiglo was besieged by hostile crowds incited by hate media and militia leaders from at least four groups, resulting in Banbat-2 resorting to their rules of engagement which led to the death of five persons and 38 injured. Rapidly after this incident Banbat-2 withdrew to the Zone of Confidence for safety. The camp was then looted, thousands of rounds of ammunition taken and all the buildings there destroyed. The lost ammunition was imported into Côte d’Ivoire for UNOCI but not marked with distinguishing features to track use or loss. It is now reportedly in FANCI and militia possession. Item No. Description Lost 1. A002 7.62x39mm Ball Rifle Clip/CTN (Yugo) 720 2. A005 7.62x39mm API Rif/LMG T-56 (Chn) 140 3. D021 Arges -84 Gren (Comp) BD 81 4. P004 26mm Sig Red T-57 (Chn) 15 5. A001 7.62x25mm Ball Pistol T-51 &amp; 54 CTN 544 6. A005 7.62x39mm API Rif/LMG T-56 (Chn) 122 7. A027 7.62x54mm TR HMG T-53 &amp; 57 CTN 120 8. A028 7.62x54mm API HMG T-53 &amp; 57 CTN 120 9. B054 82mm Mor Smk WP T-53 Comp (Chn) 2 10. P004 26mm Sig Red T-57 (Chn) 11 11. P005 26mm Sig Green T-57 (Chn) 12 12. NIV Flare 26mm Sig White T-57 24</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During the disarmament process in Guiglo in late July 2006, UNOCI observed militia leader Dennis Maho telling supporters of LIMA FS who had arrived from Toulépleu that they could not disarm as they were “Liberians and not Ivorians”, suggesting that this unit retains Liberians in violation of the United Nations embargo. LIMA FS is led by Toulépleu Sous-Prefet Militaire, Lt Jean Oulai Delafosse. 59. The Group believes two incidents of potential recruitment are credible. The first involved the arrest in Grand Gedeh County of a 19-year old male Liberian, Nyema Caven, on 9 November 2005 by the Liberian authorities. According to his testimony he had been offered a US$250 monthly contract by the Forces nouvelles in Danané in January 2005 and was offered a second contract of US$350 that August to travel with five other colleagues back to Liberia to recruit for the Forces nouvelles. They crossed into Liberia with four firearms and two knives. Nyema had not been involved in the Liberian DDR process and fought with a Liberian, General Dust-to-Dust, in Côte d’Ivoire in 2002-2003. Although arrested and taken to Nimba County, Nyema later escaped custody. When asked by the Group about recruitment of Liberians, the Forces nouvelles political leader Guillaume Soro on 9 August 2006 denied that this was true and said that Liberians were expelled from their ranks in 2003. 60. A second incident occurred in late July 2006, when four ex-combatants based in Zwedru left their homes and have allegedly been recruited for US$400 to go to Côte d’Ivoire to “disrupt elections”. According to these allegations, they would head for the Kanhoubli forestry camp near the Liberian border and near Toulépleu to meet an Ivorian code named “rebel father”. The Group checked the border post for names and Beninbat in Toulépleu visited the forestry camp on 1 August 2006 with no tangible result. However, UNMIL and UNOCI intend to remain vigilant.</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This helicopter is currently based at the FACI GATL (Groupement aérien de transport et de liaison) military airbase in Abidjan, and performs flight tests on one day per month. This includes a flight test at the airbase and within an area not to exceed Grand Bassam, a locality neighbouring Abidjan. The Group of Experts has noted that these flight tests have assisted FACI in maintaining the helicopter at a fully airworthy status, with the tests on 31 May and 2 August 2006 (delayed from 25 July) including high speed overflights of the airbase and co-joining Abidjan International Airport following maintenance in June to correct problems of the aircraft’s inflight stability. 67. The Group believes such tests of the Mi-24 should be discontinued as preparation and maintenance of the aircraft for the tests is an embargo violation and the flights themselves deepen mistrust among the parties. 68. The status and intended use of the Mi-24 helicopter are also obscured by FACI’s unwillingness to provide UNOCI unhindered access to all parts of GATL hangar number four, which houses the helicopter, its spare parts and assorted aircraft munitions</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In 2006 this trade pattern continues although the amount of Ivorian cocoa smuggled to Ghana appears to have declined. The Ghana Cocoa Board in a July 2006 letter to the Group reported that it had allocated 12 four-by-four vehicles to the Ghana Armed Forces, and continued to pay monthly allowances to support anti- smuggling operations aimed at stopping inferior beans from coming into Ghana. The Cocoa Board also stated that increased Ghanaian yields over the last four years were mainly due to improved crop husbandry practices and crop-spraying</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dyh9w2a2k9os"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5se0rv5senxr"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5erkzgyljji"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gcv1d8pnew0n"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z7n9eqls3uw"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4zog406rx9"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kak2h4h897yt"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tateyq5rsb"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qwvp7qt8hc2"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o4yz3f1ei0ff"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7wtasvozy0j"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2tksuh01tqk"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tutm2iwqyymf"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mtnpg7m8k4c"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xqf20bknnfh"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9pv5ypub8z6k"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dk94h7ma99j"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qra6vt3m8o"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bookmarkStart w:colFirst="0" w:colLast="0" w:name="_c8ng62nmohbe"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Group joined the embargo cell in an aerial survey over Séguéla in November 2006. During the overflight, continued activity was observed, and a new diamond pit under intensive mining was discovered. 44. To identify additional persons involved in the illicit export of Ivorian rough diamonds, the Group again interviewed the main dealers in Séguéla (see S/2006/735) on 17 November and identified two additional associates of Bamako-based Siaka Coulibaly, Oumar Diakite and Mohamed Diallo. Malian nationals and long-time residents of Séguéla, admitted working for him in the past; a third individual, Abdoulaye Camara (identified as Abdul Kamara in S/2006/735, para. 148), is also of Malian nationality (born 1958) and reportedly works for Siaka Coulibaly. The Group visited him in his office, which had diamond-buying evaluation equipment ready for business.</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December 2006, S/2006/964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All the individuals interviewed in Séguéla and Tortiya unanimously acknowledged that most of the diamonds mined in Côte d’Ivoire are sent to Mali, but did not give details on the identity of the exporters or buyers. The Group was unable to pursue investigations in this direction owing to the limited duration of its mandate</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October 2007, S/2007/611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Until the galamsey are fully registered there can be no assurances that illegally mined foreign diamonds are not entering the system of Ghana and subsequently sent to the international trading centres. Another consequence is that Ghana will not be able in the future to produce reliable production statistics gathered at the source of mining. The Group can only conclude that to date, Ghana has not made significant progress on these important issues. 64. The vulnerability and weakness of Ghana’s rough diamonds supply chain is further reinforced in the judicial investigation by the Belgian Federal Police in Antwerp on the company Peri Diamonds. This company was recently indicted by a Belgian prosecutor and the evidence demonstrates how Ivorian rough diamonds were imported into the Antwerp market through Ghana, in violation of the diamond embargo. The investigation also proves how it was possible to finance and purchase illicit Ivorian diamonds worth millions of United States dollars outside the control mechanisms put in place through the centralized financial bank system of Ghana.</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2008, S/2008/235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Mali was highlighted in previous reports of the Group of Experts on Côte d’Ivoire as one of the probable major exit points for Ivorian diamonds in violation of the sanctions regime. The country itself has very little production of rough diamonds, although the Malian authorities could neither provide the Group with any production data nor detail any measures to monitor their production. The Government of Mali has not taken any specific measures to prevent diamonds of foreign origin from entering the country, in spite of the specific United Nations sanctions and the requirements of compliance by Member States, as specified in Security Council resolution 1643 (2005), and reiterated in subsequent resolutions.</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2008, S/2008/235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Group collected information that led it to identify certain individuals linked to illicit trade in rough diamonds and observed their activities in the major diamond-trading centre of Antwerp in order to establish the nexus between these individuals and certain dealers. During these investigations, the Group uncovered an intent to violate Security Council sanctions on Ivorian diamonds. Diamonds, allegedly of Ivorian origin, were offered for sale to a certain dealer in Antwerp. Correspondence was exchanged but the diamonds were not physically brought to Antwerp, and ultimately the deal fell through. The Group is still investigating the case to determine whether the diamonds left Ivorian soil. This case is mentioned to illustrate the availability of Ivorian diamonds and the willingness of individuals to sell them, despite the sanctions. The visits to Belgium were arranged on short notice, but nevertheless, the Group received full cooperation from the Belgian Government and the official bodies of the diamond industry.</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April 2008, S/2008/235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The Group also learned that Séguéla remains a focus for diamond trading in western Côte d’Ivoire, where diamonds are sorted and auctioned to diamond buyers resident in the town of Séguéla. During this process, sorters exclude stones that can yield FCFA 500,000 ($1,000) or more per stone from regular assortments. These exclusive stones are then sold separately. 80. Various sources confirm that diamonds from Côte d’Ivoire continue to be exported to international markets in violation of the embargo. GVC offices in Séguéla, for instance, explained to the Group that diamond traders take into consideration the risks of exporting embargoed Ivorian diamonds — and hence the greater costs borne by exporters — by asking lower prices. According to GVC offices, Ivorian rough diamonds in Séguéla currently yield from FCFA 35,000 to FCFA 60,000 ($70-120) per carat, which is significantly lower than international market rates.</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8 April 2009, S/2009/188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The Group subsequently conducted investigations into the activities of the exporting company Kalagna SARL, based in Bamako, and its director, Moussa Coulibaly. The Group was successful in identifying the associates of this company, who played a major role in helping the company to export the diamonds. All the parties to the concerned transaction were also interviewed. 145. Mr. Coulibaly confirmed that it was his intention to export the goods to Antwerp. He first made contact with a middleman, Francis Sabatié, a French national, in Bamako, who introduced him to a financier. The financier for the purchase of diamonds was a certain Nicolae Buzea, Director-General of an engineering company, Intercomex, located in Prahova, Romania. Mr. Buzea corroborated this fact. When interviewed by the Group, Mr. Sabatié explained that he, with the help of business associates, had contacted the company Diamaxx in Antwerp and proposed the sale of the diamonds to Diamaxx. 146. According to Mr. Coulibaly, the first attempt to export the diamonds to Belgium through Casablanca was made in November 2007 by handing over the parcel to the commander of a Royal Air Maroc flight, with accompanying customs documents. The parcel reached Morocco but the Customs authorities there returned it to Mali, as there was no accompanying Kimberley Process certificate. 147. Diamaxx reportedly had initially expressed interest in purchasing the diamonds but subsequently backed out when, following enquiries of the Ministry of Economy in Belgium on 6 December 2007, the company realized that imports from Mali were not legally permissible, as the country was not a participant in the Kimberley Process. 148. Despite the negative response from Diamaxx, Mr. Coulibaly and Mr. Sabatié continued their attempts to export the diamonds to Europe. Mr. Coulibaly therefore got in touch with Boubacar Camara, who has a licence to export valuables from Mali. Mr. Coulibaly first presented the diamonds to the geological section of the Ministry of Mines for an official certification that the rough stones were genuine diamonds. Realizing the necessity to certify the origin of the diamonds and considering that Mali is not a participant in the Kimberley Process, Mr. Coulibaly and Mr. Camara proceeded to fabricate a document to support their origin by reproducing the entire text of the certificate issued by the Ministry of Mines and adding the origin of the stones as Kenieba, a region in the south of Mali. Mr. Camara himself signed the document. The intention was to export the stones to France, and it was this attempt to export them that resulted in the seizure of the parcel in December 2007 by Customs officials in Bamako. 149. All the individuals involved in this transaction recognized the easy availability in Mali of rough diamonds of different origin. They also acknowledged that the consignment of rough diamonds originated from Séguéla, Côte d’Ivoire.</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2008, S/2008/598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264. The Group noted that Malian and Guinean individuals are involved in operating the diamond mining fields of Séguéla. For example, one the main financiers of mining operations, Baro Arasa, is a Malian national. The Guinean workforce is also established and well organized. Guineans in Séguéla operate under the leadership of Balde Mamadou, the Vice President of the “Guinean Community” organization. 265. The same individuals noted by previous Groups of Experts continue to participate in the rough diamond commerce in Séguéla, including Siaka Coulibaly, Abdul Kamara and Sekou Sidibie (see S/2006/735, paras. 140-149, and S/2006/964, para. 44).</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295. In order for business to continue despite the political problems in Côte d’Ivoire, Sogenem’s business structure had to adapt to circumvent the ban on Ivorian rough diamond exports. In response, Sogenem’s owner, Peter Van Wassenhove, registered a company called Peri Diamonds in Accra, Ghana. This company was founded on the same business model as Sogenem. The Accra-based company purchased rough diamonds from various brokers in Ghana, but continued to purchase Ivorian rough diamonds from the same sources it had purchased from before the division of Côte d’Ivoire. The continued relationships between Peri Diamonds (Ghana) and Sogenem’s former network of Ivorian sellers are evidenced in telephone calls and the frequent visits of Sogenem’s former Ivorian interlocutors to the new offices of Peri Diamonds (Ghana) in Accra</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145. Sekou Sidibe. Born 25 December 1959 and of Ivorian nationality (see annex VIII). He is known widely as “Sekou Niangadu” or “Petit Sekou,” and considered as one of the main dealers in Séguéla. The Group interviewed Mr. Sidibe in Séguéla where he admitted that he still buys rough diamonds on the local market but fewer than before the conflict. Sidibe told the Group that he keeps “stocks” of these diamonds in a safe in Abidjan but was not willing to arrange an inspection of the stock by the Group. He told the Group that prior to the conflict he had shipped diamonds exclusively to Belgium. 146. During a visit to Belgium in April 2006, the Group was briefed by the Federal Police diamond squad in Antwerp about an investigation into illicit imports of Ivorian diamonds to Belgium. The Federal Police know Mr. Sidibe as a close contact of various Antwerp-based diamond companies. 147. Morie Kallon. Born 10 April 1961 and of Belgian nationality since 1997 although born in Sierra Leone (Kenema). Mr. Kallon lives in a house in Séguéla but his wife and children live in Belgium (Antwerp). During the interview with the Group he admitted that he had dealt in diamonds prior to the conflict and had worked with several diamond companies based in Antwerp. Mr. Kallon informed the Group that in 2005 he was questioned by the Federal Police in Belgium concerning a criminal investigation linked to an Antwerp diamond company. Several relatives of his are known as couriers of rough diamonds between Africa and Belgium. 148. Abdul Kamara. No further details. The Group twice visited Kamara’s office in Séguéla but was not successful in interviewing him. During the second visit some maintenance staff were cleaning the office and the Group was able to see the inside of the office. The office was fully installed and equipped to purchase diamonds and had several chairs waiting for potential clients. 149. Except for Abdul Kamara, all the above-mentioned individuals admitted to the Group that they were fully aware of the Security Council diamond sanction on Côte d’Ivoire and that it was illegal to export diamonds. The Group believes that it has credible evidence that Siaka Coulibaly and Sekou Sibide are violating the sanctions on the export of Ivorian rough diamonds. These two individuals are still connected with two Belgian brokers who specialized in Ivorian diamonds prior to the conflict and relocated their buying offices to Ghana in 2003. The identities of these two Belgian individuals are known to the Group but not reported because of an ongoing judicial investigation in Belgium concerning their possible violation of Security Council resolution 1643 (2005).</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2006, S/2006/735</w:t>
            </w:r>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before="240" w:lineRule="auto"/>
              <w:rPr>
                <w:rFonts w:ascii="Times New Roman" w:cs="Times New Roman" w:eastAsia="Times New Roman" w:hAnsi="Times New Roman"/>
                <w:sz w:val="20"/>
                <w:szCs w:val="20"/>
              </w:rPr>
            </w:pPr>
            <w:bookmarkStart w:colFirst="0" w:colLast="0" w:name="_n1kbtnacgngn"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f9o9ba86iqq"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bjgcpc2hw8"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bookmarkStart w:colFirst="0" w:colLast="0" w:name="_rvqxm4pipggh"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jnocoytuwzb"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us8zaw910r"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bookmarkStart w:colFirst="0" w:colLast="0" w:name="_be3fu9v3g26g"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h72hbf6kwo"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wlnwok21tt"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bookmarkStart w:colFirst="0" w:colLast="0" w:name="_smdlqn8vvtfn"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c60oikvls1r"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y58af9cj6wo"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bookmarkStart w:colFirst="0" w:colLast="0" w:name="_6vgmaqvmhyfc"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chzg7m18vx6"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4o9ofumi08o"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bookmarkStart w:colFirst="0" w:colLast="0" w:name="_imldllecryp6"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wwpjdg0tvuv"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zpeost9zj0b"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bookmarkStart w:colFirst="0" w:colLast="0" w:name="_4sypls15drhh"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lfjrtcfn14p"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dzorh1z01bt"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5bxjh6715g81"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9ws00980c43"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u7y5lrof1fy"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bookmarkStart w:colFirst="0" w:colLast="0" w:name="_aj31q3u92jt3"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eidmumlgi9"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l1dfdb0840c"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bookmarkStart w:colFirst="0" w:colLast="0" w:name="_yts1bvv8dofr"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1lppzl5ngfa"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1vomsfwd0xj"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bookmarkStart w:colFirst="0" w:colLast="0" w:name="_wiohajiki547"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awxvu7d5pq"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obl7wz7hg33"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bookmarkStart w:colFirst="0" w:colLast="0" w:name="_ikltnkjz653"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bookmarkStart w:colFirst="0" w:colLast="0" w:name="_ehd7fkykgaba"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ldg8lcxfz7"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sr524jnryys"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sz w:val="20"/>
                <w:szCs w:val="20"/>
              </w:rPr>
            </w:pPr>
            <w:bookmarkStart w:colFirst="0" w:colLast="0" w:name="_5ef5h2zdlmmc"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ijg7eay4fgq"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dn5jnxorb7x"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before="240" w:lineRule="auto"/>
              <w:rPr>
                <w:rFonts w:ascii="Times New Roman" w:cs="Times New Roman" w:eastAsia="Times New Roman" w:hAnsi="Times New Roman"/>
                <w:sz w:val="20"/>
                <w:szCs w:val="20"/>
              </w:rPr>
            </w:pPr>
            <w:bookmarkStart w:colFirst="0" w:colLast="0" w:name="_r2kor05uzzkm"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r1m4pt15ulj"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j689kn4nglo"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before="240" w:lineRule="auto"/>
              <w:rPr>
                <w:rFonts w:ascii="Times New Roman" w:cs="Times New Roman" w:eastAsia="Times New Roman" w:hAnsi="Times New Roman"/>
                <w:sz w:val="20"/>
                <w:szCs w:val="20"/>
              </w:rPr>
            </w:pPr>
            <w:bookmarkStart w:colFirst="0" w:colLast="0" w:name="_mxxf6yfz8pbq"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zt5gxzbrct"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ic4c8jfmgx9"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before="240" w:lineRule="auto"/>
              <w:rPr>
                <w:rFonts w:ascii="Times New Roman" w:cs="Times New Roman" w:eastAsia="Times New Roman" w:hAnsi="Times New Roman"/>
                <w:sz w:val="20"/>
                <w:szCs w:val="20"/>
              </w:rPr>
            </w:pPr>
            <w:bookmarkStart w:colFirst="0" w:colLast="0" w:name="_elycogb5g7ci"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w3mkyx7uex"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vywhyiczj28"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before="240" w:lineRule="auto"/>
              <w:rPr>
                <w:rFonts w:ascii="Times New Roman" w:cs="Times New Roman" w:eastAsia="Times New Roman" w:hAnsi="Times New Roman"/>
                <w:sz w:val="20"/>
                <w:szCs w:val="20"/>
              </w:rPr>
            </w:pPr>
            <w:bookmarkStart w:colFirst="0" w:colLast="0" w:name="_i8lwwfq0r9a9"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mvqgqi3vzj"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vbaeepvdzvx"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before="240" w:lineRule="auto"/>
              <w:rPr>
                <w:rFonts w:ascii="Times New Roman" w:cs="Times New Roman" w:eastAsia="Times New Roman" w:hAnsi="Times New Roman"/>
                <w:sz w:val="20"/>
                <w:szCs w:val="20"/>
              </w:rPr>
            </w:pPr>
            <w:bookmarkStart w:colFirst="0" w:colLast="0" w:name="_kvy34xys571l"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yldj62ue63e"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wgmey4gt31"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before="240" w:lineRule="auto"/>
              <w:rPr>
                <w:rFonts w:ascii="Times New Roman" w:cs="Times New Roman" w:eastAsia="Times New Roman" w:hAnsi="Times New Roman"/>
                <w:sz w:val="20"/>
                <w:szCs w:val="20"/>
              </w:rPr>
            </w:pPr>
            <w:bookmarkStart w:colFirst="0" w:colLast="0" w:name="_v5sj48gwutpc"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kjroceh72z"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4qcxk3tyk5u"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before="240" w:lineRule="auto"/>
              <w:rPr>
                <w:rFonts w:ascii="Times New Roman" w:cs="Times New Roman" w:eastAsia="Times New Roman" w:hAnsi="Times New Roman"/>
                <w:sz w:val="20"/>
                <w:szCs w:val="20"/>
              </w:rPr>
            </w:pPr>
            <w:bookmarkStart w:colFirst="0" w:colLast="0" w:name="_crx4188g9sy3"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sr9xi8rgr0x"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58n3xpznzco"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before="240" w:lineRule="auto"/>
              <w:rPr>
                <w:rFonts w:ascii="Times New Roman" w:cs="Times New Roman" w:eastAsia="Times New Roman" w:hAnsi="Times New Roman"/>
                <w:sz w:val="20"/>
                <w:szCs w:val="20"/>
              </w:rPr>
            </w:pPr>
            <w:bookmarkStart w:colFirst="0" w:colLast="0" w:name="_6nuu9vyo6qri"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b4en61h2l47"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mdxoqgdv1zn"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before="240" w:lineRule="auto"/>
              <w:rPr>
                <w:rFonts w:ascii="Times New Roman" w:cs="Times New Roman" w:eastAsia="Times New Roman" w:hAnsi="Times New Roman"/>
                <w:sz w:val="20"/>
                <w:szCs w:val="20"/>
              </w:rPr>
            </w:pPr>
            <w:bookmarkStart w:colFirst="0" w:colLast="0" w:name="_xjacvoz8lxy"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ezufscunq0f"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pyra4zdmuvk"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before="240" w:lineRule="auto"/>
              <w:rPr>
                <w:rFonts w:ascii="Times New Roman" w:cs="Times New Roman" w:eastAsia="Times New Roman" w:hAnsi="Times New Roman"/>
                <w:sz w:val="20"/>
                <w:szCs w:val="20"/>
              </w:rPr>
            </w:pPr>
            <w:bookmarkStart w:colFirst="0" w:colLast="0" w:name="_tqffhbh0k7pm"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zr0vcz3qn7j"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kch3xf3ghoq"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before="240" w:lineRule="auto"/>
              <w:rPr>
                <w:rFonts w:ascii="Times New Roman" w:cs="Times New Roman" w:eastAsia="Times New Roman" w:hAnsi="Times New Roman"/>
                <w:sz w:val="20"/>
                <w:szCs w:val="20"/>
              </w:rPr>
            </w:pPr>
            <w:bookmarkStart w:colFirst="0" w:colLast="0" w:name="_njk2ynlawxuh"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mdpsh3acph8"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psytzn64qrw"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before="240" w:lineRule="auto"/>
              <w:rPr>
                <w:rFonts w:ascii="Times New Roman" w:cs="Times New Roman" w:eastAsia="Times New Roman" w:hAnsi="Times New Roman"/>
                <w:sz w:val="20"/>
                <w:szCs w:val="20"/>
              </w:rPr>
            </w:pPr>
            <w:bookmarkStart w:colFirst="0" w:colLast="0" w:name="_72z47hos9df0"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czmuwb13tfq"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uiscmu9i1z5"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before="240" w:lineRule="auto"/>
              <w:rPr>
                <w:rFonts w:ascii="Times New Roman" w:cs="Times New Roman" w:eastAsia="Times New Roman" w:hAnsi="Times New Roman"/>
                <w:sz w:val="20"/>
                <w:szCs w:val="20"/>
              </w:rPr>
            </w:pPr>
            <w:bookmarkStart w:colFirst="0" w:colLast="0" w:name="_dzp9hm55i6gz"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ph6o5sp4o2"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8lfoapezrto"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rPr>
                <w:rFonts w:ascii="Times New Roman" w:cs="Times New Roman" w:eastAsia="Times New Roman" w:hAnsi="Times New Roman"/>
                <w:sz w:val="20"/>
                <w:szCs w:val="20"/>
              </w:rPr>
            </w:pPr>
            <w:bookmarkStart w:colFirst="0" w:colLast="0" w:name="_hb5hm26ma3wu"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before="240" w:lineRule="auto"/>
              <w:rPr>
                <w:rFonts w:ascii="Times New Roman" w:cs="Times New Roman" w:eastAsia="Times New Roman" w:hAnsi="Times New Roman"/>
                <w:sz w:val="20"/>
                <w:szCs w:val="20"/>
              </w:rPr>
            </w:pPr>
            <w:bookmarkStart w:colFirst="0" w:colLast="0" w:name="_vdiw5fbyep1y"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Group was particularly interested in the royalties to be paid to Mr. Blé, the author of a book entitled “Ma part de vérité”, which was sold in Côte d’Ivoire. The experts were able to obtain a copy of the contract signed between Société nouvelle de presse et d’édition de Côte d’Ivoire (SNEPCI), the State-owned publisher of the work, and Mr. Blé. According to this contract, the “author undertakes to bear the cost (50 per cent upon placing the order, 50 per cent upon delivery) of publishing and producing this work”. Mr. Blé put about 7 million CFA francs towards the publication of the work. As stipulated in the contract, the royalties would amount to 65 per cent of gross sales. In this connection, a check for 11,244,316 CFA francs has already been remitted to Mr. Blé; this amount corresponds to sales in 2006 (see annex IV). Sales revenue for Mr. Blé’s book came to about 15 million CFA francs for the period from 1 January to 1 September 2007. 59. In a meeting with the experts, the Director-General of SNEPCI confirmed that Mr. Blé had been given a check at a public ceremony held on 4 September 2007. Mr. Blé said that he intended to donate his 2006 royalties to disadvantaged youth under a project coordinated by an entity with which he claims to be closely associated. 60. The experts believe that the act of a State-owned entity publicly handing a check to a person targeted by Security Council sanctions is a violation of the provisions of paragraph 11 of resolution 1572 (2004).</w:t>
            </w: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October 2007, S/2007/611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The previous Group of Experts reported (S/2008/598, paras. 176-177) that in February 2006, Brahima Traoré, a reported confident of Martin Kouakou Fofié, withdrew FCFA 66 million from Mr. Fofié’s bank account at the Ouagadougou branch of the Société générale de banques du Burkina. The present Group visited the Ministry of Foreign Affairs of Burkina Faso to clarify outstanding questions concerning the withdrawal of funds. 114. The Ministry of Foreign Affairs presented the Group with a report on the Fofié-Traoré case, which indicated that Mr. Fofié had opened the bank account using a forged Burkinabé national identity card and forged certificate of Burkinabé nationality.</w:t>
            </w:r>
            <w:r w:rsidDel="00000000" w:rsidR="00000000" w:rsidRPr="00000000">
              <w:rPr>
                <w:rtl w:val="0"/>
              </w:rPr>
            </w:r>
          </w:p>
          <w:p w:rsidR="00000000" w:rsidDel="00000000" w:rsidP="00000000" w:rsidRDefault="00000000" w:rsidRPr="00000000" w14:paraId="00000243">
            <w:pPr>
              <w:spacing w:after="0" w:before="0" w:line="240" w:lineRule="auto"/>
              <w:rPr/>
            </w:pP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Fonts w:ascii="Times New Roman" w:cs="Times New Roman" w:eastAsia="Times New Roman" w:hAnsi="Times New Roman"/>
                <w:sz w:val="20"/>
                <w:szCs w:val="20"/>
                <w:rtl w:val="0"/>
              </w:rPr>
              <w:t xml:space="preserve">8 April 2009, S/2009/188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The Group is now in possession of information concerning an account held by Martin Kouakou Fofié at SGBB, in Ouagadougou. Subsequent to an admission by Mr. Fofié that he had established an account at SGBB in Ouagadougou (S/2006/735, para. 183), the Group undertook to make direct contact with the aforesaid bank. During the course of its investigations, the Group determined that a certain Martin Kouakou Fofié opened account No. 1143800060144 on 22 March 2005. After being presented with the documents pertinent to the opening of the account, the Group determined that the information given by the account holder was consistent with the  vital statistics of the sanctioned individual Martin Kouakou Fofié, with the exception that he had declared that he was a national of Burkina Faso. The Group acknowledges that the sanctions against Mr. Fofié became effective as of 7 February 2006 in accordance with resolutions 1572 (2004) and 1643 (2005). Two cash withdrawals against cheques totalling 66 million CFAF (approximately €100,600) were effected: one for 15,600,000 CFAF on 9 February 2006 and the second for 50,400,000 CFAF on 10 February 2006 (see annex VII). These withdrawals occurred within 72 hours of the publication of Mr. Fofie’s name, on 7 February 2006, in the list of persons subject to the United Nations assets freeze.2 Therefore, the Group is of the opinion that these withdrawals constitute a clear violation of the assets freeze. 177. The Group noted that, according to documents obtained from the bank, in both cases the payee was a certain Brahima Traoré, an Ivorian national, holder of identity card No. 980860100615 dated 19 August 1998, issued at Korhogo. The Group determined that there was a certain Brahima Traoré, corporal of the Forces nouvelles, who was reportedly close to Mr. Fofié, and subsequently determined that this individual had died in a vehicle accident on 15 July 2008. In the course of the investigation conducted in Burkina Faso by the Group, the Government authorities confirmed that the identity documents provided by Mr. Fofié when opening the bank account were fraudulent. In further discussions with the authorities of Burkina Faso, the Group was advised that the certificate of nationality was non-existent and that the identity card was false, likely obtained through fraudulent means (see annex VIII).</w:t>
            </w:r>
            <w:r w:rsidDel="00000000" w:rsidR="00000000" w:rsidRPr="00000000">
              <w:rPr>
                <w:rtl w:val="0"/>
              </w:rPr>
            </w:r>
          </w:p>
          <w:p w:rsidR="00000000" w:rsidDel="00000000" w:rsidP="00000000" w:rsidRDefault="00000000" w:rsidRPr="00000000" w14:paraId="0000024A">
            <w:pPr>
              <w:spacing w:after="0" w:before="0" w:line="240" w:lineRule="auto"/>
              <w:rPr/>
            </w:pP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2008, S/2008/598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In continuation of the Group’s investigation, new information was uncovered revealing the existence of two previously unidentified bank accounts in the name of Martin Kouakou Fofié, at the Ecobank branches of Ouagadougou and Bobo Dioulasso. The Group notes that the identity information used to open the account at the Ouagadougou bank is identical to that used to open the account at SGBB, which has been determined to be fraudulent. The identity documents used to open the Bobo Dioulasso account present the account holder as Martin Kouakou Fofié, an Ivorian national. Activity at the Ouagadougou branch revealed one withdrawal of 6.5 million CFAF on 26 August 2006 (see annex IX), while no activity beyond the opening deposit was evident in respect of withdrawals in the second account in the Bobo Dioulasso branch. 179. The Group considers the withdrawal of the amount of 6.5 million CFAF from the Ecobank branch in Ouagadougou on 26 August 2006 to be another violation by Mr. Fofié of the assets freeze</w:t>
            </w:r>
            <w:r w:rsidDel="00000000" w:rsidR="00000000" w:rsidRPr="00000000">
              <w:rPr>
                <w:rtl w:val="0"/>
              </w:rPr>
            </w:r>
          </w:p>
          <w:p w:rsidR="00000000" w:rsidDel="00000000" w:rsidP="00000000" w:rsidRDefault="00000000" w:rsidRPr="00000000" w14:paraId="00000251">
            <w:pPr>
              <w:spacing w:after="0" w:before="0" w:line="240" w:lineRule="auto"/>
              <w:rPr/>
            </w:pPr>
            <w:r w:rsidDel="00000000" w:rsidR="00000000" w:rsidRPr="00000000">
              <w:rPr>
                <w:rtl w:val="0"/>
              </w:rPr>
            </w:r>
          </w:p>
          <w:p w:rsidR="00000000" w:rsidDel="00000000" w:rsidP="00000000" w:rsidRDefault="00000000" w:rsidRPr="00000000" w14:paraId="00000252">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2008, S/2008/598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182. It is pertinent to highlight here that Mr. Fofié has, for the first time, admitted to the existence of two personal accounts in Côte d’Ivoire, which had not come to the Group’s knowledge earlier, despite enquiries to the aforementioned banks (see S/2006/735, para. 179) and two meetings with Mr. Fofié in 2006 and 2007</w:t>
            </w:r>
            <w:r w:rsidDel="00000000" w:rsidR="00000000" w:rsidRPr="00000000">
              <w:rPr>
                <w:rtl w:val="0"/>
              </w:rPr>
            </w:r>
          </w:p>
          <w:p w:rsidR="00000000" w:rsidDel="00000000" w:rsidP="00000000" w:rsidRDefault="00000000" w:rsidRPr="00000000" w14:paraId="00000258">
            <w:pPr>
              <w:spacing w:after="0" w:before="0" w:line="240" w:lineRule="auto"/>
              <w:rPr/>
            </w:pPr>
            <w:r w:rsidDel="00000000" w:rsidR="00000000" w:rsidRPr="00000000">
              <w:rPr>
                <w:rtl w:val="0"/>
              </w:rPr>
            </w:r>
          </w:p>
          <w:p w:rsidR="00000000" w:rsidDel="00000000" w:rsidP="00000000" w:rsidRDefault="00000000" w:rsidRPr="00000000" w14:paraId="00000259">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2008, S/2008/598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As a zone commander based in Korhogo, Mr. Fofié benefits from various income related to the administration of his sector, including revenue from businesses, public services and transport. 431. In addition, Mr. Fofié has developed interests in various economic sectors, including real estate (see table 14), mining, telecommunications and trade in commodities and fuel. Member States, however, have not taken any additional effective measures to enforce the sanctions regime imposed on Mr. Fofié. Table 14 Estimated annual revenue of Martin Kouakou Fofié from real estate, hotels, bars and diamonds (in CFA francs) Source of revenue Quantity Monthly revenue Annual income Houses (rental) 12 600 000 86 400 000 Hotels (Le Relaxe) 1 2 000 000 24 000 000 Bars (Biato, Bolambar, name not known) 3 2 000 000 72 000 000 Companies (Cobagiex-Sécurité) 1 2 000 000 24 000 000 Diamonds (Tortiya mines) — — 217 500 000 Total 423 900 000 Source: Group of Experts. Note: Mr. Fofié receives between CFAF 600,000 and 2,000,000 per month from each business or property. 432. The Tongon mine, which is situated some 65 km north of Korhogo, is expected to start gold production in the last quarter of 2010. This operation has the potential to generate considerable income for the Korhogo region (Zone 10). The Group believes Mr. Fofié’s finances will benefit from this activity, as he taxes a broad range of activities in Zone 10, including mining and road commerce</w:t>
            </w:r>
            <w:r w:rsidDel="00000000" w:rsidR="00000000" w:rsidRPr="00000000">
              <w:rPr>
                <w:rtl w:val="0"/>
              </w:rPr>
            </w:r>
          </w:p>
          <w:p w:rsidR="00000000" w:rsidDel="00000000" w:rsidP="00000000" w:rsidRDefault="00000000" w:rsidRPr="00000000" w14:paraId="0000025F">
            <w:pPr>
              <w:spacing w:after="0" w:before="0" w:line="240" w:lineRule="auto"/>
              <w:rPr/>
            </w:pPr>
            <w:r w:rsidDel="00000000" w:rsidR="00000000" w:rsidRPr="00000000">
              <w:rPr>
                <w:rtl w:val="0"/>
              </w:rPr>
            </w:r>
          </w:p>
          <w:p w:rsidR="00000000" w:rsidDel="00000000" w:rsidP="00000000" w:rsidRDefault="00000000" w:rsidRPr="00000000" w14:paraId="0000026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April 2011, S/2011/271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483. As noted in paragraphs 193 to 196 above, the Group suspects that Forces nouvelles zone commanders retain a proportion of the taxes levied on commerce in the north of Côte d’Ivoire. The Group also notes the “privatization” of military forces by a number of zone commanders, in particular Mr. Fofié, who commands zone 10. Although the Group cannot establish a direct link between taxes levied by the Forces nouvelles and the private acquisition of revenues by Mr. Fofié, the Group notes that Mr. Fofié’s name is stamped on tax receipts issued to truck drivers in Korhogo (see figure XX). Figure XX Tax receipt bearing the stamped name of Martin Kouakou Fofié, Korhogo Source: Group of Experts on Côte d’Ivoire. 484. Zone 10 forces under the command of Mr. Fofié have recently expended considerable funds on the acquisition of communications equipment, military uniforms and vehicles, estimated by the Group to total CFA francs 225 million (around US$ 450,000). 485. The Group believes that Mr. Fofié’s position as the commander of zone 10 places him in a position to generate substantial incomes in contravention of the provisions of paragraph 11 of Security Council resolution 1572 (2004)</w:t>
            </w:r>
            <w:r w:rsidDel="00000000" w:rsidR="00000000" w:rsidRPr="00000000">
              <w:rPr>
                <w:rtl w:val="0"/>
              </w:rPr>
            </w:r>
          </w:p>
          <w:p w:rsidR="00000000" w:rsidDel="00000000" w:rsidP="00000000" w:rsidRDefault="00000000" w:rsidRPr="00000000" w14:paraId="00000266">
            <w:pPr>
              <w:spacing w:after="0" w:before="0" w:line="240" w:lineRule="auto"/>
              <w:rPr/>
            </w:pPr>
            <w:r w:rsidDel="00000000" w:rsidR="00000000" w:rsidRPr="00000000">
              <w:rPr>
                <w:rtl w:val="0"/>
              </w:rPr>
            </w:r>
          </w:p>
          <w:p w:rsidR="00000000" w:rsidDel="00000000" w:rsidP="00000000" w:rsidRDefault="00000000" w:rsidRPr="00000000" w14:paraId="0000026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487. However, on 22 April 2009, the Ivorian newspaper Fraternité Matin, which is part of the SNEPCI group, published an article that stated it would compensate Mr. Goudé for his book, regardless of the individual sanctions imposed on him by Council resolution 1572 (2004). Specifically, the newspaper stated “we must pay our authors their rights. The law requires it; our conscience recommended us”. 488. The Group notes that any payment made to Mr. Blé constitutes a violation of paragraph 11 of resolution 1572 (2004). The Group believes that SNEPCI should be held accountable for any such violation</w:t>
            </w:r>
            <w:r w:rsidDel="00000000" w:rsidR="00000000" w:rsidRPr="00000000">
              <w:rPr>
                <w:rtl w:val="0"/>
              </w:rPr>
            </w:r>
          </w:p>
          <w:p w:rsidR="00000000" w:rsidDel="00000000" w:rsidP="00000000" w:rsidRDefault="00000000" w:rsidRPr="00000000" w14:paraId="0000026D">
            <w:pPr>
              <w:spacing w:after="0" w:before="0" w:line="240" w:lineRule="auto"/>
              <w:rPr/>
            </w:pPr>
            <w:r w:rsidDel="00000000" w:rsidR="00000000" w:rsidRPr="00000000">
              <w:rPr>
                <w:rtl w:val="0"/>
              </w:rPr>
            </w:r>
          </w:p>
          <w:p w:rsidR="00000000" w:rsidDel="00000000" w:rsidP="00000000" w:rsidRDefault="00000000" w:rsidRPr="00000000" w14:paraId="0000026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2009, S/2009/521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before="240" w:lineRule="auto"/>
              <w:rPr>
                <w:rFonts w:ascii="Times New Roman" w:cs="Times New Roman" w:eastAsia="Times New Roman" w:hAnsi="Times New Roman"/>
                <w:sz w:val="20"/>
                <w:szCs w:val="20"/>
              </w:rPr>
            </w:pPr>
            <w:bookmarkStart w:colFirst="0" w:colLast="0" w:name="_jmzigfotpcvo"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2m74b379y"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zfhsfld8cpz"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before="240" w:lineRule="auto"/>
              <w:rPr>
                <w:rFonts w:ascii="Times New Roman" w:cs="Times New Roman" w:eastAsia="Times New Roman" w:hAnsi="Times New Roman"/>
                <w:sz w:val="20"/>
                <w:szCs w:val="20"/>
              </w:rPr>
            </w:pPr>
            <w:bookmarkStart w:colFirst="0" w:colLast="0" w:name="_hd09ggh0gp3b"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o9hep89be5"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2auxgr6kvcd"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before="240" w:lineRule="auto"/>
              <w:rPr>
                <w:rFonts w:ascii="Times New Roman" w:cs="Times New Roman" w:eastAsia="Times New Roman" w:hAnsi="Times New Roman"/>
                <w:sz w:val="20"/>
                <w:szCs w:val="20"/>
              </w:rPr>
            </w:pPr>
            <w:bookmarkStart w:colFirst="0" w:colLast="0" w:name="_rrpfw1pxl5vp"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zkuxu3mbhm"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or7b01u4jjl"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before="240" w:lineRule="auto"/>
              <w:rPr>
                <w:rFonts w:ascii="Times New Roman" w:cs="Times New Roman" w:eastAsia="Times New Roman" w:hAnsi="Times New Roman"/>
                <w:sz w:val="20"/>
                <w:szCs w:val="20"/>
              </w:rPr>
            </w:pPr>
            <w:bookmarkStart w:colFirst="0" w:colLast="0" w:name="_ufh5t6apwe0x"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1214ov6mhqx"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3qnxp39ru6e"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before="240" w:lineRule="auto"/>
              <w:rPr>
                <w:rFonts w:ascii="Times New Roman" w:cs="Times New Roman" w:eastAsia="Times New Roman" w:hAnsi="Times New Roman"/>
                <w:sz w:val="20"/>
                <w:szCs w:val="20"/>
              </w:rPr>
            </w:pPr>
            <w:bookmarkStart w:colFirst="0" w:colLast="0" w:name="_7zba8l58jmsa"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06auurxcwsd"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kmszudkiv45"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before="240" w:lineRule="auto"/>
              <w:rPr>
                <w:rFonts w:ascii="Times New Roman" w:cs="Times New Roman" w:eastAsia="Times New Roman" w:hAnsi="Times New Roman"/>
                <w:sz w:val="20"/>
                <w:szCs w:val="20"/>
              </w:rPr>
            </w:pPr>
            <w:bookmarkStart w:colFirst="0" w:colLast="0" w:name="_m547r0ywf2x6"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anvza1ffn05"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chacyst0o3y"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before="240" w:lineRule="auto"/>
              <w:rPr>
                <w:rFonts w:ascii="Times New Roman" w:cs="Times New Roman" w:eastAsia="Times New Roman" w:hAnsi="Times New Roman"/>
                <w:sz w:val="20"/>
                <w:szCs w:val="20"/>
              </w:rPr>
            </w:pPr>
            <w:bookmarkStart w:colFirst="0" w:colLast="0" w:name="_uoo5ha88ouh5"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463y06rzlgc"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840xxcpinb"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before="240" w:lineRule="auto"/>
              <w:rPr>
                <w:rFonts w:ascii="Times New Roman" w:cs="Times New Roman" w:eastAsia="Times New Roman" w:hAnsi="Times New Roman"/>
                <w:sz w:val="20"/>
                <w:szCs w:val="20"/>
              </w:rPr>
            </w:pPr>
            <w:bookmarkStart w:colFirst="0" w:colLast="0" w:name="_ai3w7zd1icjf"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vgcuvxjqe1w"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gu72jhnxhg"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before="240" w:lineRule="auto"/>
              <w:rPr>
                <w:rFonts w:ascii="Times New Roman" w:cs="Times New Roman" w:eastAsia="Times New Roman" w:hAnsi="Times New Roman"/>
                <w:sz w:val="20"/>
                <w:szCs w:val="20"/>
              </w:rPr>
            </w:pPr>
            <w:bookmarkStart w:colFirst="0" w:colLast="0" w:name="_juebrv54a722"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xsvld1yg6gn"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dixbjb2x4m9"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before="240" w:lineRule="auto"/>
              <w:rPr>
                <w:rFonts w:ascii="Times New Roman" w:cs="Times New Roman" w:eastAsia="Times New Roman" w:hAnsi="Times New Roman"/>
                <w:sz w:val="20"/>
                <w:szCs w:val="20"/>
              </w:rPr>
            </w:pPr>
            <w:bookmarkStart w:colFirst="0" w:colLast="0" w:name="_2fy780sxll35" w:id="136"/>
            <w:bookmarkEnd w:id="136"/>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before="240" w:lineRule="auto"/>
              <w:rPr>
                <w:rFonts w:ascii="Times New Roman" w:cs="Times New Roman" w:eastAsia="Times New Roman" w:hAnsi="Times New Roman"/>
                <w:sz w:val="20"/>
                <w:szCs w:val="20"/>
              </w:rPr>
            </w:pPr>
            <w:bookmarkStart w:colFirst="0" w:colLast="0" w:name="_3v2ndv6i6ibz"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v5mw5kb0615"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w6naigzwop9"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before="240" w:lineRule="auto"/>
              <w:rPr>
                <w:rFonts w:ascii="Times New Roman" w:cs="Times New Roman" w:eastAsia="Times New Roman" w:hAnsi="Times New Roman"/>
                <w:sz w:val="20"/>
                <w:szCs w:val="20"/>
              </w:rPr>
            </w:pPr>
            <w:bookmarkStart w:colFirst="0" w:colLast="0" w:name="_wy177yie09rx"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5871p14wss"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foyy3chpc5x"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before="240" w:lineRule="auto"/>
              <w:rPr>
                <w:rFonts w:ascii="Times New Roman" w:cs="Times New Roman" w:eastAsia="Times New Roman" w:hAnsi="Times New Roman"/>
                <w:sz w:val="20"/>
                <w:szCs w:val="20"/>
              </w:rPr>
            </w:pPr>
            <w:bookmarkStart w:colFirst="0" w:colLast="0" w:name="_k2f9n7h5orh3"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7aeas8l2ito"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xfbqv23dfx"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before="240" w:lineRule="auto"/>
              <w:rPr>
                <w:rFonts w:ascii="Times New Roman" w:cs="Times New Roman" w:eastAsia="Times New Roman" w:hAnsi="Times New Roman"/>
                <w:sz w:val="20"/>
                <w:szCs w:val="20"/>
              </w:rPr>
            </w:pPr>
            <w:bookmarkStart w:colFirst="0" w:colLast="0" w:name="_a3ktzh92h5lg"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4vo0gmgc4h"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hbw6hr799cm"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before="240" w:lineRule="auto"/>
              <w:rPr>
                <w:rFonts w:ascii="Times New Roman" w:cs="Times New Roman" w:eastAsia="Times New Roman" w:hAnsi="Times New Roman"/>
                <w:sz w:val="20"/>
                <w:szCs w:val="20"/>
              </w:rPr>
            </w:pPr>
            <w:bookmarkStart w:colFirst="0" w:colLast="0" w:name="_pq2rtve5r4j8"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1m29wsram47"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gnfrysvfe6z"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before="240" w:lineRule="auto"/>
              <w:rPr>
                <w:rFonts w:ascii="Times New Roman" w:cs="Times New Roman" w:eastAsia="Times New Roman" w:hAnsi="Times New Roman"/>
                <w:sz w:val="20"/>
                <w:szCs w:val="20"/>
              </w:rPr>
            </w:pPr>
            <w:bookmarkStart w:colFirst="0" w:colLast="0" w:name="_wuhupiwmkxdt" w:id="152"/>
            <w:bookmarkEnd w:id="15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oq29hh81g48" w:id="153"/>
            <w:bookmarkEnd w:id="15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bp2o5o3zwb"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1q1wo58bta"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5rcawusklzi"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before="240" w:lineRule="auto"/>
              <w:rPr>
                <w:rFonts w:ascii="Times New Roman" w:cs="Times New Roman" w:eastAsia="Times New Roman" w:hAnsi="Times New Roman"/>
                <w:sz w:val="20"/>
                <w:szCs w:val="20"/>
              </w:rPr>
            </w:pPr>
            <w:bookmarkStart w:colFirst="0" w:colLast="0" w:name="_upxu6lig8275"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before="240" w:lineRule="auto"/>
              <w:rPr>
                <w:rFonts w:ascii="Times New Roman" w:cs="Times New Roman" w:eastAsia="Times New Roman" w:hAnsi="Times New Roman"/>
                <w:sz w:val="20"/>
                <w:szCs w:val="20"/>
              </w:rPr>
            </w:pPr>
            <w:bookmarkStart w:colFirst="0" w:colLast="0" w:name="_zh5hw1tham7z"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ivv9nhctciw"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xazjz255n55"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before="240" w:lineRule="auto"/>
              <w:rPr>
                <w:rFonts w:ascii="Times New Roman" w:cs="Times New Roman" w:eastAsia="Times New Roman" w:hAnsi="Times New Roman"/>
                <w:sz w:val="20"/>
                <w:szCs w:val="20"/>
              </w:rPr>
            </w:pPr>
            <w:bookmarkStart w:colFirst="0" w:colLast="0" w:name="_mq1c2b1mem9p"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scrbbtill2e"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bmlleglpve7"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before="240" w:lineRule="auto"/>
              <w:rPr>
                <w:rFonts w:ascii="Times New Roman" w:cs="Times New Roman" w:eastAsia="Times New Roman" w:hAnsi="Times New Roman"/>
                <w:sz w:val="20"/>
                <w:szCs w:val="20"/>
              </w:rPr>
            </w:pPr>
            <w:bookmarkStart w:colFirst="0" w:colLast="0" w:name="_g62omhc1s3hk"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v49n7gtvb1"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2britx9fxe2"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before="240" w:lineRule="auto"/>
              <w:rPr>
                <w:rFonts w:ascii="Times New Roman" w:cs="Times New Roman" w:eastAsia="Times New Roman" w:hAnsi="Times New Roman"/>
                <w:sz w:val="20"/>
                <w:szCs w:val="20"/>
              </w:rPr>
            </w:pPr>
            <w:bookmarkStart w:colFirst="0" w:colLast="0" w:name="_7tk29qum9qxv"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694ore768k0"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7o993f766hu"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before="240" w:lineRule="auto"/>
              <w:rPr>
                <w:rFonts w:ascii="Times New Roman" w:cs="Times New Roman" w:eastAsia="Times New Roman" w:hAnsi="Times New Roman"/>
                <w:sz w:val="20"/>
                <w:szCs w:val="20"/>
              </w:rPr>
            </w:pPr>
            <w:bookmarkStart w:colFirst="0" w:colLast="0" w:name="_dowsfncd4e2l"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6m71xc5ai88"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7mhlv3v7mlo"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before="240" w:lineRule="auto"/>
              <w:rPr>
                <w:rFonts w:ascii="Times New Roman" w:cs="Times New Roman" w:eastAsia="Times New Roman" w:hAnsi="Times New Roman"/>
                <w:sz w:val="20"/>
                <w:szCs w:val="20"/>
              </w:rPr>
            </w:pPr>
            <w:bookmarkStart w:colFirst="0" w:colLast="0" w:name="_wlwo7ixjjkr7"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d5iz38dhk1z"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mncox8jxv27"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240" w:lineRule="auto"/>
              <w:rPr>
                <w:rFonts w:ascii="Times New Roman" w:cs="Times New Roman" w:eastAsia="Times New Roman" w:hAnsi="Times New Roman"/>
                <w:sz w:val="20"/>
                <w:szCs w:val="20"/>
              </w:rPr>
            </w:pPr>
            <w:bookmarkStart w:colFirst="0" w:colLast="0" w:name="_sigc6o1c5wqe"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tq3dvhogp25"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sxlh8f5al6"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bookmarkStart w:colFirst="0" w:colLast="0" w:name="_acg7wlbo0sn4"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93z97rns4ft"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r76vr7tk5zt" w:id="181"/>
            <w:bookmarkEnd w:id="181"/>
            <w:r w:rsidDel="00000000" w:rsidR="00000000" w:rsidRPr="00000000">
              <w:rPr>
                <w:rtl w:val="0"/>
              </w:rPr>
            </w:r>
          </w:p>
        </w:tc>
      </w:tr>
    </w:tbl>
    <w:p w:rsidR="00000000" w:rsidDel="00000000" w:rsidP="00000000" w:rsidRDefault="00000000" w:rsidRPr="00000000" w14:paraId="000002E7">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