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y5f93x1trdon" w:id="0"/>
      <w:bookmarkEnd w:id="0"/>
      <w:r w:rsidDel="00000000" w:rsidR="00000000" w:rsidRPr="00000000">
        <w:rPr>
          <w:rFonts w:ascii="Times New Roman" w:cs="Times New Roman" w:eastAsia="Times New Roman" w:hAnsi="Times New Roman"/>
          <w:sz w:val="20"/>
          <w:szCs w:val="20"/>
          <w:rtl w:val="0"/>
        </w:rPr>
        <w:t xml:space="preserve">Unique ID: </w:t>
        <w:tab/>
        <w:t xml:space="preserve">6.4</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zeqsk23d6avx"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Al-Qaida / ISIL / Associates</w:t>
        <w:tab/>
      </w:r>
      <w:r w:rsidDel="00000000" w:rsidR="00000000" w:rsidRPr="00000000">
        <w:rPr>
          <w:rFonts w:ascii="Times New Roman" w:cs="Times New Roman" w:eastAsia="Times New Roman" w:hAnsi="Times New Roman"/>
          <w:sz w:val="20"/>
          <w:szCs w:val="20"/>
          <w:rtl w:val="0"/>
        </w:rPr>
        <w:tab/>
        <w:t xml:space="preserve">Episode 4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xsgcqnrz0jes"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9n1r8h6mr7tq"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5t86jamr91c"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Al-Qaida / ISIL / Associates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ujts3btj92ba"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17/06/2011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24/09/2014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oobh8r7y2sim"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w7vn5lp8t02d"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ag6dmgev66l9"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z2v2x3nth5m0"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ex8888diavw0"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vj6nh6arva"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b8dy9b4uexxn"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Afghanistan and the border areas of its neighbours, particularly Pakistan, continue to experience violence from Al-Qaida and related listed groups. Gulbuddin Hekmatyar (QI.H.88.03) maintains a training capacity in Afghan refugee camps in Pakistan, and characteristically attempts to assert his relevance to the political future of Afghanistan by attacking the State. The Islamic Movement of Uzbekistan has extended its reach into northern Afghanistan while still remaining active on the Pakistan side of the border. The IMU derivative, the Islamic Jihad Group (QE.I.119.05), has trained individuals from Afghanistan, Germany, Pakistan, Tajikistan, Turkey and Uzbekistan, as well as elsewhere, though many have been killed or captured. Jaish-i-Mohammed (QE.J.19.01) operates against sectarian targets in Pakistan but has also supplied fighters and suicide bombers for deployment by other associates in Afghanistan, as have IMU and Lashkar-e-Tayyiba (QE.L.118.05). The Tehrik-e Taliban Pakistan under the leadership of Hakimullah Mehsud continues to launch violent attacks against Pakistan,50 and arms, training and materiel for attacks are sourced on both sides of the border</w:t>
            </w: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Fonts w:ascii="Times New Roman" w:cs="Times New Roman" w:eastAsia="Times New Roman" w:hAnsi="Times New Roman"/>
                <w:sz w:val="20"/>
                <w:szCs w:val="20"/>
                <w:rtl w:val="0"/>
              </w:rPr>
              <w:t xml:space="preserve">1 October 2012, S/2012/729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In the Sahel the arms embargo has likewise had little measurable effect. Al-Qaida in the Islamic Maghreb has become a regional threat targeting local security forces and civilians, including foreigners. Civil strife in Libya has led to many more arms, including man-portable air defence systems, coming on to the market,51 though the Team has received only one report of a missile being fired at an Algerian helicopter. From July 2011 to February 2012 the Algerian authorities seized hundreds of small arms, thousands of rounds of ammunition, more than a ton of explosives and other materiel such as communication equipment. Some of these weapons were believed destined for Mokhtar Belmokhtar (QI.B.136.03). Also of concern is the security of nuclear and chemical materials in Libya, which has already attracted attention from specialized international agencies and Member States.</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Fonts w:ascii="Times New Roman" w:cs="Times New Roman" w:eastAsia="Times New Roman" w:hAnsi="Times New Roman"/>
                <w:sz w:val="20"/>
                <w:szCs w:val="20"/>
                <w:rtl w:val="0"/>
              </w:rPr>
              <w:t xml:space="preserve">1 October 2012, S/2012/729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As for advanced weapon systems, in February 2012 the authorities seized dozens of anti-aircraft missiles near the border between Algeria and Libya; similar missiles have been confiscated in Chad and the Niger, and, around the end of 2011, the authorities captured approximately 200 anti-tank missiles, again on the border between Algeria and Libya. It is likely that many more missiles are out of State control. In June 2011, security forces in the Niger intercepted a convoy heading to northern Mali with 640 kg of Semtex originating from Libya and destined for AQIM.</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Fonts w:ascii="Times New Roman" w:cs="Times New Roman" w:eastAsia="Times New Roman" w:hAnsi="Times New Roman"/>
                <w:sz w:val="20"/>
                <w:szCs w:val="20"/>
                <w:rtl w:val="0"/>
              </w:rPr>
              <w:t xml:space="preserve">1 October 2012, S/2012/729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In Yemen, Al-Qaida in the Arabian Peninsula has had no difficulty in finding weapons as the country is awash with small arms. In the civil unrest during 2011 and 2012, AQAP was able to capture heavy weapons and even tanks, though their value is limited to the local conflict. The consequences of the Libyan crisis have also been seen in the Horn of Africa, but inversely several States have reported that the flow of arms from Libya to Somalia through Eritrea declined dramatically as the previous Libyan regime crumbled. Nonetheless, Al-Shabaab claimed in March 2012 that it had fired a surface-to-air missile against a military helicopter in Lower Shabelle region52 and, despite set-backs, it has managed to keep an irregular army in the field for over six years. Member States in the region have also drawn attention to Al-Shabaab’s control and use of harbours and airports to violate the arms embargo.</w:t>
            </w: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Fonts w:ascii="Times New Roman" w:cs="Times New Roman" w:eastAsia="Times New Roman" w:hAnsi="Times New Roman"/>
                <w:sz w:val="20"/>
                <w:szCs w:val="20"/>
                <w:rtl w:val="0"/>
              </w:rPr>
              <w:t xml:space="preserve">1 October 2012, S/2012/729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For example, Ansar al-Shari'a (listed as AQAP) managed to capture tanks and other heavy weapons from the Yemeni armed forces, and AQIM has received weapons looted from Libyan Government stockpiles.</w:t>
            </w: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December 2012, S/2012/968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Light weapons are widely available in many parts of the world, and Al-Qaida and its affiliates can gain access to them with relative ease, depending on the location. Gaining access to and supplying ammunition for heavy weapons are more difficult. However, knowledge of improvised explosives has spread among Al-Qaida’s associates, and increasingly sophisticated improvised explosive devices, along with simple devices constructed with relative ease, demonstrate the challenge of enforcing the arms embargo. Technical skills and methods are increasingly leaping from one Al-Qaida affiliate to others, supporting a level of innovation that increases the threat. Explosives experts to train the trainers are one of the remaining assets that the central Al-Qaida leadership can leverage to support its associates and affiliates.</w:t>
            </w: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August 2013, S/2013/467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A major development since the Monitoring Team’s last report has been the discovery of the scale of the AQIM arsenal in northern Mali, where a significant array of weapons and explosives were discovered in the Adrar des Ifoghas mountains. Some of this had come from smuggling networks, funded by AQIM revenue derived from kidnapping; some had come from Qhadafi-era stockpiles in Libya, increasingly a source of commercial revenue for non-State actors in Libya seeking to monetize military assets. Civil and commercial explosives and ingredients, along with military-grade materiel, have been made available. Porous local borders have made trafficking easy. Meanwhile, the use of suicide bombers (as evidenced by the range of suicide belts found) introduces another dynamic into terrorism in the Sahel region.</w:t>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August 2013, S/2013/467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A high-confidence judgement is that ISIL and ANF are very well -armed groups, primarily as a result of operating in a conflict zone awash with conventional weapons. ISIL is particularly well-armed given its access to extensive supplies of heavy weapons seized from the Government of Iraq. It also has fighters with experience in conventional warfare who are well-versed on a range of weapons systems, including the use of tanks and artillery.56 The arms and ammunition come from stored materials that date back to the 1980s and 1990s, along with more recent supplies. Most supplies have either been seized from the armed forces of Iraq or (to a lesser extent) the Syrian Arab Republic, or have been smuggled to ISIL and ANF, primarily by routes that run through Turkey.57</w:t>
            </w: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November 2014, S/2014/815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Both ISIL and ANF have seized military assets from conventional armies. The scale of these seizures can be grasped by noting that ISIL, in June 2014, captured vehicles, weapons and ammunition sufficient to arm and equip more than three Iraqi conventional army divisions.61 These arms were seized from Iraqi Government stocks mainly in Anbar and Salah al-Din provinces but also in Mosul, Kirkuk and Diyala.62 This followed on from an estimated 30 per cent of soldiers and volunteers deserting their positions and abandoning their weapons. 63 A large proportion of ISIL-seized Iraqi army equipment (although significantly smaller than initial seizures in June 2014)64 has been captured since June 2014. 40. Several Member States have reported that arms dispatched into the Syrian Arab Republic by actors in the region and beyond have ended up in the hands of ISIL and ANF. There are also allegations that both groups appear to have captured or diverted arms from or traded for arms with other armed opposition groups. 65 There is always a risk that weapons supplied for one purpose may be stolen or diverted for another.66 This means effective end-user controls, along with Member State records of lost or stolen materials, remain important in limiting inadvertent supplies to Al-Qaida associates. Identification data have reportedly already been removed from some weapons captured in the Syrian Arab Republic. 67</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November 2014, S/2014/815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240" w:lineRule="auto"/>
              <w:rPr>
                <w:rFonts w:ascii="Times New Roman" w:cs="Times New Roman" w:eastAsia="Times New Roman" w:hAnsi="Times New Roman"/>
                <w:sz w:val="20"/>
                <w:szCs w:val="20"/>
              </w:rPr>
            </w:pPr>
            <w:bookmarkStart w:colFirst="0" w:colLast="0" w:name="_5pabbjmnz0nq" w:id="13"/>
            <w:bookmarkEnd w:id="1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01r4u9h6jfj" w:id="14"/>
            <w:bookmarkEnd w:id="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9rt4c4bw981" w:id="15"/>
            <w:bookmarkEnd w:id="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Rule="auto"/>
              <w:rPr>
                <w:rFonts w:ascii="Times New Roman" w:cs="Times New Roman" w:eastAsia="Times New Roman" w:hAnsi="Times New Roman"/>
                <w:sz w:val="20"/>
                <w:szCs w:val="20"/>
              </w:rPr>
            </w:pPr>
            <w:bookmarkStart w:colFirst="0" w:colLast="0" w:name="_p7k03zgtr9jw" w:id="16"/>
            <w:bookmarkEnd w:id="1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7qtiha04syz" w:id="17"/>
            <w:bookmarkEnd w:id="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affhdssfgnt" w:id="18"/>
            <w:bookmarkEnd w:id="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Rule="auto"/>
              <w:rPr>
                <w:rFonts w:ascii="Times New Roman" w:cs="Times New Roman" w:eastAsia="Times New Roman" w:hAnsi="Times New Roman"/>
                <w:sz w:val="20"/>
                <w:szCs w:val="20"/>
              </w:rPr>
            </w:pPr>
            <w:bookmarkStart w:colFirst="0" w:colLast="0" w:name="_mx4hjyltr4zy"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ksfx96cpea2"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tpo5ch3suoj"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240" w:lineRule="auto"/>
              <w:rPr>
                <w:rFonts w:ascii="Times New Roman" w:cs="Times New Roman" w:eastAsia="Times New Roman" w:hAnsi="Times New Roman"/>
                <w:sz w:val="20"/>
                <w:szCs w:val="20"/>
              </w:rPr>
            </w:pPr>
            <w:bookmarkStart w:colFirst="0" w:colLast="0" w:name="_ooxf01ile79t"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2m9nyr76w93"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auudyfpfvls" w:id="24"/>
            <w:bookmarkEnd w:id="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rFonts w:ascii="Times New Roman" w:cs="Times New Roman" w:eastAsia="Times New Roman" w:hAnsi="Times New Roman"/>
                <w:sz w:val="20"/>
                <w:szCs w:val="20"/>
              </w:rPr>
            </w:pPr>
            <w:bookmarkStart w:colFirst="0" w:colLast="0" w:name="_9h5j9k2ovq6t"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3kr731jfmt9"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9md3pgmke80" w:id="27"/>
            <w:bookmarkEnd w:id="27"/>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rFonts w:ascii="Times New Roman" w:cs="Times New Roman" w:eastAsia="Times New Roman" w:hAnsi="Times New Roman"/>
                <w:sz w:val="20"/>
                <w:szCs w:val="20"/>
              </w:rPr>
            </w:pPr>
            <w:bookmarkStart w:colFirst="0" w:colLast="0" w:name="_z1v1mxwglqt5"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rp8ujuayfbf"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bawvn3xz5so" w:id="30"/>
            <w:bookmarkEnd w:id="30"/>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sz w:val="20"/>
                <w:szCs w:val="20"/>
              </w:rPr>
            </w:pPr>
            <w:bookmarkStart w:colFirst="0" w:colLast="0" w:name="_8f3jbcc3wgh5"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qscqjf40x85"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077zjw38hrb"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sz w:val="20"/>
                <w:szCs w:val="20"/>
              </w:rPr>
            </w:pPr>
            <w:bookmarkStart w:colFirst="0" w:colLast="0" w:name="_7b57d0gaf107"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b8aw11etkl9"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xn74i2xbinq"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sz w:val="20"/>
                <w:szCs w:val="20"/>
              </w:rPr>
            </w:pPr>
            <w:bookmarkStart w:colFirst="0" w:colLast="0" w:name="_g5a56qnj25ny"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s73sb4003xu"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3aj886b6m2o"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sz w:val="20"/>
                <w:szCs w:val="20"/>
              </w:rPr>
            </w:pPr>
            <w:bookmarkStart w:colFirst="0" w:colLast="0" w:name="_ue4juiv599z4"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uuug8k1sfq0"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jygrnbaohnu"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0"/>
                <w:szCs w:val="20"/>
              </w:rPr>
            </w:pPr>
            <w:bookmarkStart w:colFirst="0" w:colLast="0" w:name="_gkg6hrmz232m"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g7qonbkocfr"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dyf8ydugms5"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bookmarkStart w:colFirst="0" w:colLast="0" w:name="_nwmcaqfqmi78"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0pbnk7pwm6r" w:id="47"/>
            <w:bookmarkEnd w:id="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vt5jw3vzzwq" w:id="48"/>
            <w:bookmarkEnd w:id="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bookmarkStart w:colFirst="0" w:colLast="0" w:name="_wz7no9i526s" w:id="49"/>
            <w:bookmarkEnd w:id="4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hl9qmeqqrg6" w:id="50"/>
            <w:bookmarkEnd w:id="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q1jznpit678" w:id="51"/>
            <w:bookmarkEnd w:id="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bookmarkStart w:colFirst="0" w:colLast="0" w:name="_j9ae6kycknc4" w:id="52"/>
            <w:bookmarkEnd w:id="5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g2w8cbdildd" w:id="53"/>
            <w:bookmarkEnd w:id="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618gnn7xpiy" w:id="54"/>
            <w:bookmarkEnd w:id="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bookmarkStart w:colFirst="0" w:colLast="0" w:name="_pqkhm28lk9qi"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puycds0t65m"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gm416kcsaoq"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bookmarkStart w:colFirst="0" w:colLast="0" w:name="_sa6ipio1bqac"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911jzxyj0t8"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8c8yu7nz4yf"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hdi187zgk1dl" w:id="61"/>
            <w:bookmarkEnd w:id="61"/>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bookmarkStart w:colFirst="0" w:colLast="0" w:name="_psq7eafel3xi"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khaao6a58ds"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s66r8isxxp4"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bookmarkStart w:colFirst="0" w:colLast="0" w:name="_8hu51flqpj3p"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xqxuxjyca8"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c65glg11vsc"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bookmarkStart w:colFirst="0" w:colLast="0" w:name="_mz0qoblhe6ez"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6qsgkdpzgcd"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w3z716vt4am"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bookmarkStart w:colFirst="0" w:colLast="0" w:name="_4v6cwo8f8x82"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unp8439vcp"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grkeue6uju8"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bookmarkStart w:colFirst="0" w:colLast="0" w:name="_3pwmaejyhoct"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8t2fza2tapv"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pey7x5lg5d9"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bookmarkStart w:colFirst="0" w:colLast="0" w:name="_v8rvry5bpopa"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sll4ye0yt00"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lb386i3gxc0"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bookmarkStart w:colFirst="0" w:colLast="0" w:name="_rwdxrk9wydab"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4ptl23lb5o0"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ywdrhz6w3z1"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bookmarkStart w:colFirst="0" w:colLast="0" w:name="_rb1nciqeyrrp"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jgutpuvb8rw"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o6yg5gr35ui"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bookmarkStart w:colFirst="0" w:colLast="0" w:name="_qsnyoyh9hwvs"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2bcdzl5pn3r"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bekhgvhxt9j"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bookmarkStart w:colFirst="0" w:colLast="0" w:name="_77h4x8fphi81" w:id="89"/>
            <w:bookmarkEnd w:id="8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vl9qy9pgpgn"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e03h7f46qor"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bookmarkStart w:colFirst="0" w:colLast="0" w:name="_lst4ajly9hp8"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6o2ppjqn61p"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efma9y5e584"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bookmarkStart w:colFirst="0" w:colLast="0" w:name="_d4motcm5y0ze"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816wwxbv7jr"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6y4h937erpg"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bookmarkStart w:colFirst="0" w:colLast="0" w:name="_dihbwl98pf7x"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bcohnecsdre"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qn3z290obf"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bookmarkStart w:colFirst="0" w:colLast="0" w:name="_z9s61rrfehj0"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s6c1mdgtrpz"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sewvnuhzkh4"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bookmarkStart w:colFirst="0" w:colLast="0" w:name="_esnatzyfj2yy" w:id="104"/>
            <w:bookmarkEnd w:id="10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se17pfjkx0b"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j33en80d0ss" w:id="106"/>
            <w:bookmarkEnd w:id="106"/>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82y35w721rtm" w:id="107"/>
            <w:bookmarkEnd w:id="107"/>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ytkzx5dtkqbb" w:id="108"/>
            <w:bookmarkEnd w:id="10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Al-Qaida and its affiliates continue to exploit formal and informal financial systems to move funds across borders and to fund their activities. A recent typology study conducted jointly by FATF and the Intergovernmental Action Group against Money Laundering in West Africa on terrorist financing in West Africa23 confirms that terrorists and terrorist groups continue to use both legal and illicit means to raise and move funds. In the Middle East and North Africa, the typologies report issued by the Middle East and North Africa Financial Action Task Force in May 2013 shows the abuse of banking institutions for the outward transfer of funds. 24 This is a departure from the findings of an earlier report issued in 2010 where the cross- border physical transportation of funds was the preferred method for moving funds.</w:t>
            </w: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tl w:val="0"/>
              </w:rPr>
            </w:r>
          </w:p>
          <w:p w:rsidR="00000000" w:rsidDel="00000000" w:rsidP="00000000" w:rsidRDefault="00000000" w:rsidRPr="00000000" w14:paraId="00000115">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One particular aspect of the assets freeze that deserves more attention is kidnapping for ransom. A number of hefty ransom payments to Al-Qaida and its affiliates in recent years have made kidnapping a core Al-Qaida tactic. A letter between the leaders of AQAP and AQIM in 2012 urged kidnapping, calling the tactic a “profitable trade and a precious treasure” and an audio recording released in October 2012 revealed Al-Zawahiri inciting militants worldwide to kidnap westerners. 36. Africa and the Asia-Pacific region accounted for 53 per cent of kidnappings recorded worldwide in 2012, an increase from 18 per cent in 2004. The Middle East accounted for 19 per cent of kidnappings recorded worldwide in 2012, an increase from 4 per cent in 2008.25 Meanwhile, an estimated $120 million in ransom payments was paid to terrorist groups between 2004 and 2012, according to the United States. According to another Member State, AQAP alone received $20 million between 2011 and 2013. Yemeni officials told the Team that around 30 per cent of kidnappings in Yemen were committed by AQAP. A total of 1,283 kidnappings motivated by terrorism were reported in 2012, and a single hostage could deliver a seven-figure ransom into the hands of terrorists. AQIM, with an estimated $15 million annual budget, received $5.4 million on average per hostage in 2012, an increase of nearly $1 million from 2011.26 Each ransom payment encourages further kidnappings, creating a vicious cycle of encouragement as well as funding for Al-Qaida and its affiliates. 37. Governments worldwide have condemned ransom payments to terrorist groups. At its summit in 2013, the Group of Eight declared its “unequivocal rejection” of terrorist funding through ransom payments. The Al-Qaida sanctions regime confirms that ransoms should not be paid to listed groups or individuals. When a ransom is paid, the insurance sector, private companies and risk consultancies may be involved in providing the funds or facilitating payments. The kidnap and ransom insurance market, worth $250 million in 2006, doubled in size by 2011.27 38. It is reasonable for families and companies to want to protect individuals at risk from, or subject to, kidnapping. The majority of kidnappings are criminal in nature rather than being motivated by terrorism. The presence of an insurance and risk advisory market in this space is helpful when it provides expert advice and support for those working on behalf of kidnapped victims. Ransom payments to listed groups or individuals, however, would be a breach of the Al-Qaida sanctions. The Team will continue to promote a better understanding of the assets freeze obligations within the Al-Qaida sanctions regime, with a particular focus on outreach to relevant business sectors that deal with kidnapping for ransom in 2014.</w:t>
            </w:r>
            <w:r w:rsidDel="00000000" w:rsidR="00000000" w:rsidRPr="00000000">
              <w:rPr>
                <w:rtl w:val="0"/>
              </w:rPr>
            </w:r>
          </w:p>
          <w:p w:rsidR="00000000" w:rsidDel="00000000" w:rsidP="00000000" w:rsidRDefault="00000000" w:rsidRPr="00000000" w14:paraId="0000011B">
            <w:pPr>
              <w:spacing w:after="0" w:before="0" w:line="240" w:lineRule="auto"/>
              <w:rPr/>
            </w:pPr>
            <w:r w:rsidDel="00000000" w:rsidR="00000000" w:rsidRPr="00000000">
              <w:rPr>
                <w:rtl w:val="0"/>
              </w:rPr>
            </w:r>
          </w:p>
          <w:p w:rsidR="00000000" w:rsidDel="00000000" w:rsidP="00000000" w:rsidRDefault="00000000" w:rsidRPr="00000000" w14:paraId="0000011C">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January 2014, S/2014/41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Discussions with law enforcement officers have shown that terrorists in some countries have funded their attacks from legitimate sources, including by self- funding, 33 by using funds collected from family members, 34 through using social benefits, including disability and unemployment benefits, and by diverting education grants. Furthermore, individuals have used their personal bank accounts to support terrorist activity overseas.35 The abuse of non-profit organizations to finance terrorism also remains common, although there is some evidence that this has declined since 2008 as regulations have been tightened.3</w:t>
            </w:r>
            <w:r w:rsidDel="00000000" w:rsidR="00000000" w:rsidRPr="00000000">
              <w:rPr>
                <w:rtl w:val="0"/>
              </w:rPr>
            </w:r>
          </w:p>
          <w:p w:rsidR="00000000" w:rsidDel="00000000" w:rsidP="00000000" w:rsidRDefault="00000000" w:rsidRPr="00000000" w14:paraId="00000122">
            <w:pPr>
              <w:spacing w:after="0" w:before="0" w:line="240" w:lineRule="auto"/>
              <w:rPr/>
            </w:pPr>
            <w:r w:rsidDel="00000000" w:rsidR="00000000" w:rsidRPr="00000000">
              <w:rPr>
                <w:rtl w:val="0"/>
              </w:rPr>
            </w:r>
          </w:p>
          <w:p w:rsidR="00000000" w:rsidDel="00000000" w:rsidP="00000000" w:rsidRDefault="00000000" w:rsidRPr="00000000" w14:paraId="00000123">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December 2012, S/2012/968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Increasingly terrorists are raising money through criminal activity. According to some calculations, 34 per cent of terrorist financing related disclosures since 2008 could also be linked to money-laundering offences.37 Investigations have also found connections between terrorist financing and human trafficking, credit or debit card fraud and travel document fraud. The narcotics trade has become an important source of funding for AQIM and its associates in West Africa where traffickers pay terrorists to ensure the safe passage of cocaine to European markets.38 In recent years, kidnapping for ransom has also emerged as a significant source of terrorist financing. The United States Government estimates that terrorist organizations have raised approximately $120 million from ransom payments since 2004.3</w:t>
            </w: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tl w:val="0"/>
              </w:rPr>
            </w:r>
          </w:p>
          <w:p w:rsidR="00000000" w:rsidDel="00000000" w:rsidP="00000000" w:rsidRDefault="00000000" w:rsidRPr="00000000" w14:paraId="0000012A">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December 2012, S/2012/968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In its fifteenth report,37 the Team highlighted the vast sums that listed terrorist groups have raised through an essential fundraising tactic for Al -Qaida and its associates: kidnapping for ransom. Since then, in its resolution 2133 (2014), the Security Council has condemned kidnapping by terrorist groups for any purpose, including raising funds or gaining political concessions. Several months later, the Council of the European Union adopted conclusions in which it also condemned kidnapping for ransom by terrorist groups and rejected the payment of ransoms to such groups.38 More than 90 per cent of global terrorist kidnapping cases involve kidnappings of nationals of the same country as the kidnappers , yet they tend to attract less attention than high-profile international cases. While international hostages may generate multi-million-dollar ransoms — one Member State estimates a current average of $2.7 million per hostage — ransoms are also being paid for non-international hostages. For hostages and their families, the experience of being kidnapped is highly stressful, frightening and difficult to handle. 50. International efforts notwithstanding, the use of kidnapping for ransom as a tactic continues to grow, as does the revenue generated therefrom by groups associated with Al-Qaida. A Member State has informed the Team that Al-Qaida in the Islamic Maghreb has received $75 million from ransoms over the past four years. According to another Member State, Al-Qaida in the Arabian Peninsula, Al-Qaida in the Islamic Maghreb, Boko Haram and Al-Shabaab “have collected tens of millions of dollars in ransoms in the past several years”.39 Furthermore, one Member State estimates that, between 2008 and August 2014, the Abu Sayyaf Group participated in kidnappings where about $1.5 million in ransoms was collected, with approximately half that amount collected in 2012 and 2013. 40 A substantial proportion of the income was reportedly taken by intermediaries, who play a significant role in such cases. 51. Boko Haram, Ansarul Muslimina Fi Biladis Sudan (Ansaru) (QE.A.142.14), ISIL, the Al-Nusrah Front and Tehrik-e Taliban Pakistan, among other groups, have also employed this lucrative tactic. One Member State estimates tha t ISIL alone has received between $35 million and $45 million in the past year, a substantial yield. The volume of ISIL-related cases (with tragic outcomes in some instances) demonstrates the enduring appeal to groups of kidnapping as a tactic, both to rai se funds and to make political demands. Iraq led the world in terrorist kidnapping for ransom incidents from 2004 to 2007, so the particular use of the method by ISIL and (to a lesser extent) the Al-Nusrah Front should not be too surprising.</w:t>
            </w: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tl w:val="0"/>
              </w:rPr>
            </w:r>
          </w:p>
          <w:p w:rsidR="00000000" w:rsidDel="00000000" w:rsidP="00000000" w:rsidRDefault="00000000" w:rsidRPr="00000000" w14:paraId="00000131">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Al-Qaida and its affiliates, and individual financiers associated with them, continue to exploit formal and informal financial systems in order to move funds across borders and to fund their activities. Kidnapping for ransom outside the European Union remains a particular challenge, and Ansaru, Al-Shabaab and Tehrik-e Taliban Pakistan continue to kidnap in pursuit of revenue as well as publicity. Kidnapping for ransom deserves closer attention, first because of the revenue it generates for terrorists,18 and second because it can also implicate Member States or financial institutions in the financing of terrorism (and potentially in non-compliance with the Al-Qaida sanctions regime).</w:t>
            </w: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tl w:val="0"/>
              </w:rPr>
            </w:r>
          </w:p>
          <w:p w:rsidR="00000000" w:rsidDel="00000000" w:rsidP="00000000" w:rsidRDefault="00000000" w:rsidRPr="00000000" w14:paraId="00000138">
            <w:pPr>
              <w:spacing w:after="0" w:before="0" w:line="240" w:lineRule="auto"/>
              <w:rPr/>
            </w:pPr>
            <w:r w:rsidDel="00000000" w:rsidR="00000000" w:rsidRPr="00000000">
              <w:rPr>
                <w:rFonts w:ascii="Times New Roman" w:cs="Times New Roman" w:eastAsia="Times New Roman" w:hAnsi="Times New Roman"/>
                <w:sz w:val="20"/>
                <w:szCs w:val="20"/>
                <w:rtl w:val="0"/>
              </w:rPr>
              <w:t xml:space="preserve">2 August 2013, S/2013/467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Other funding sources remain important, including the proceeds of organized transnational criminal activities such as smuggling and human trafficking.19 Within Europe, social benefit fraud, credit card misuse, loan applications and defaults remain a problem, along with extortion.20 While the Security Council has confirmed that the financial sanctions also apply to the provision of Internet hosting and related services, terrorists and terrorist groups are able to make extensive use of Internet services. The online sale of propaganda materials and subscription fees to some Internet sites has been identified by the European Police Office as another source of funding.</w:t>
            </w: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tl w:val="0"/>
              </w:rPr>
            </w:r>
          </w:p>
          <w:p w:rsidR="00000000" w:rsidDel="00000000" w:rsidP="00000000" w:rsidRDefault="00000000" w:rsidRPr="00000000" w14:paraId="0000013F">
            <w:pPr>
              <w:spacing w:after="0" w:before="0" w:line="240" w:lineRule="auto"/>
              <w:rPr/>
            </w:pPr>
            <w:r w:rsidDel="00000000" w:rsidR="00000000" w:rsidRPr="00000000">
              <w:rPr>
                <w:rFonts w:ascii="Times New Roman" w:cs="Times New Roman" w:eastAsia="Times New Roman" w:hAnsi="Times New Roman"/>
                <w:sz w:val="20"/>
                <w:szCs w:val="20"/>
                <w:rtl w:val="0"/>
              </w:rPr>
              <w:t xml:space="preserve">2 August 2013, S/2013/467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ISIL operates within the territory of two Member States that have major energy resources and has control over a number of oil fields as well as related infrastructure. The Monitoring Team has reached out to various oil industry representatives and experts and has discussed these issues with a range of Member States in September and October 2014 in addition to reviewing information in the public domain. The situation on the ground is fluid, thus relia ble estimates are hard to establish. Meanwhile air strikes against ISIL that commenced on 8 August 2014 and continue at the time of writing mean that any estimates could become outdated very quickly. Furthermore, ISIL is likely to be adapting its methods a nd tactics in response to the air strikes. Estimates in the public domain and those provided by Member States have varied and are dependent on various underlying assumptions. What is clear, however, is that ISIL production from oil fields in Iraq and the S yrian Arab Republic is nowhere near the production capacity of those oil fields. 58. According to a number of sources, the most significant source of continuing revenue for ISIL comes from oil sales and its ability to leverage established smuggling networks. A 2008 report referred to commodity “smuggling” between Iraq and the Syrian Arab Republic as “long-standing” and “vital to the welfare and prosperity of the populations of western Iraq and eastern Syria since the two states were formed”.102 Several regional Member States confirmed the long-standing nature of commodity smuggling networks. 59. One Member State estimates that ISIL is able to produce approximately 47,000 barrels per day from oil fields under its control in northern Iraq and the Syrian Arab Republic, with most of the output coming from fields in the Syrian Arab Republic. Most of that country’s pre-war crude oil production capacity comes from oil fields in the territory under ISIL control,103 whereas the majority of Iraq’s crude oil production comes from fields in the south that are not under ISIL control. 104 Estimates in the press have included even higher per-day production,105 while the International Energy Agency provided a lower estimate in October. 106 60. ISIL extracts crude oil from the oil fields under its control and sells it to smuggling networks and middlemen. Estimates of the price that ISIL is able to reap per barrel at the wellhead vary. What is clear is that ISIL has to settle for a price that is significantly marked down from international prices and fluctuates according to local as well as global market conditions. On the basis of various sources, the Monitoring Team believes that a range of $18 to $35 per barrel is credible. 107 However, as the price of crude oil declines,108 the amount that ISIL is able to obtain may decline as well. Using the range of $18 to $35 per barrel and the Member State estimated production of 47,000 barrels per day, ISIL’s estimated potential revenue from crude oil ranges from $846,000 to $1,645,000 per day. 61. However, this estimate does not take into account any potential production costs or any crude oil that is utilized by ISIL for its own operations. ISIL needs crude oil itself, if only for essential logistics and in support of its terrorist campaign. It is also unclear how much crude oil is provided or sold to the population living within ISIL territory. Furthermore, the air campaign could be affecting the amount of money ISIL is able to raise through smuggling. 62. Member State estimates of ISIL income generation from oil smuggling vary. For example, one Member State indicated a range of $250,000 to $1.5 million earned per day from crude oil sales, while another Member State informed the Monitoring Team that ISIL is able to generate about $411,000 per day from oil smuggling after accounting for internal consumption. The variety of Member State estimates illustrates the uncertainty and fluidity of the state of affairs on the ground in ISIL-controlled territory. 63. It appears that some employees at the fields ma y have stayed on at their original worksites or have been relocated to other sites to run the fields (perhaps through threats and intimidation), as actual members of ISIL are unlikely to have the technical expertise.109 It is, however, unclear how many have stayed on, how many have fled and how much they are getting paid, if anything. 110 64. The Monitoring Team has received information that crude oil and refined products sold by ISIL are being smuggled using barges, large groupings of barrels and small-diameter piping typically used in irrigation.111 Other methods such as mules and agricultural equipment have also been reported. 112 However, according to multiple sources, the predominant method for smuggling crude oil appears to be the use of tanker trucks. It has been reported that there are an estimated 210 tanker trucks being used to smuggle ISIL-sourced oil,113 although the exact number is unknown. Many such trucks are not actually operated by ISIL but by private middlemen,114 making precise enumeration even more challenging. It is important to note that the trucks that carry crude oil from ISIL-controlled territory often return with refined product.115 65. Sanctions measures cannot prevent this trade entirely. Smuggling networks are long-established, borders and road routes are porous (or are actively being fought over), and where there is a profit incentive, illicit trade invariably follows. The Monitoring Team has, however, identified disrupting the tanker trucks available to ISIL and its allied smuggling networks as a point of vulnerability. 66. ISIL had established some refining capability in the Syrian Arab Republic and has processed crude oil through mobile refineries into diesel and other refined products.116 ISIL needs refined products for its own operations and for other internal uses. However, modular refineries have been targeted by coalition air strikes,117 and it is unclear how much of the refining capability of ISIL remains. As the ability of ISIL to refine crude oil declines, it is possible that it will try to “import” more refined product. This would make ISIL more dependent on being able to import at scale: once again, tanker trucks become a valuable resource. Enhanced sanctions targeting tanker trucks frequenting ISIL-controlled territory will not prevent smuggling networks from illicitly transporting and trading oil and refined oil products, but they may increase the frictional cost to ISIL and smugglers, driving up costs and reducing supply. 67. Oil wells are not the only source of product for ISIL. While I SIL has no direct control over major pipelines that it could use to export crude oil, it has seized parts of the pipeline network in the region.118 Of crucial importance here is the stored crude oil that sits within the pipeline network and storage facilitie s under ISIL control. One Member State indicated that ISIL had recovered an estimated 2.5 to 3 million barrels of oil from storage facilities and pipelines in territory under its control. 119 This is a substantial reserve and could be used for some time.</w:t>
            </w: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tl w:val="0"/>
              </w:rPr>
            </w:r>
          </w:p>
          <w:p w:rsidR="00000000" w:rsidDel="00000000" w:rsidP="00000000" w:rsidRDefault="00000000" w:rsidRPr="00000000" w14:paraId="00000146">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November 2014, S/2014/815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ISIL promotes a propaganda of virtue but practices vice. Extortion and theft are two major sources of financing for ISIL. Despite its propaganda of service delivery, ISIL is deceptive about the scale of its extortion and robbery.120 69. One example comes from Mosul, where ISIL was extorting funds from citizens and businesses long before it seized control of the city. 121 According to a Member State, ISIL raises as much as several million dollars per month through extortion. 122 This extortion takes place among residents of all religions and affiliations, demonstrating that ISIL exploits all the civilians that come under its temporary control. According to a Member State, all businesses in territory under ISIL control, whether Sunni-owned or otherwise, are “taxed” in an organized and consistent manner. Similarly, according to another Member State, “[i]n Iraq and Syria, ISIL extracts payments from those who pass through, conduct business in, or simply live in the territory where it operates”.123 70. Minority groups have, however, been a particular target of ISIL. 124 For example, it has been widely reported that ISIL presented Christians in Mosul with three choices: to convert, to pay a tax called jizya, or face death.125 Christians in ISIL-controlled areas in the Syrian Arab Republic were also ordered to pay jizya.126 The targeting of certain groups is not a new tactic for ISIL; a study of the finances of AQI in Anbar province in 2005 and 2006 based on seized financial records found that the group raised funds by targeting those it deemed to be “apostates”. 127 71. Extortion and looting contribute to continuing revenue, but ISIL also has significant control of assets through its occupation of territory. There have been numerous reports that ISIL has seized vast amounts of assets from the Mosul branch of the Central Bank of Iraq. Moreover, it is impossible to accurately estimate the value of possessions that ISIL has stolen from the people in territory under its control.128 ISIL could also attempt to sell items seized from factories in industries including construction, textiles and electrical equipment. 129 AQI similarly raised substantial revenue in earlier years through the sale of stolen goods such as construction equipment, generators and electrical cables.130 If ISIL sought to sell the goods and valuables it has looted, or other assets that have fallen under its control (for example, luxury vehicles, weapons or consumer goods) it could generate further income.</w:t>
            </w: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tl w:val="0"/>
              </w:rPr>
            </w:r>
          </w:p>
          <w:p w:rsidR="00000000" w:rsidDel="00000000" w:rsidP="00000000" w:rsidRDefault="00000000" w:rsidRPr="00000000" w14:paraId="0000014D">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November 2014, S/2014/815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On the issue of antiquities looting, the Monitoring Team has consulted with the United Nations Educational, Scientific and Cultural Organization (UNESCO), the World Customs Organization (WCO) and relevant academic and other experts.131 Open-source reporting also indicates that ISIL has been generating income by plundering antiquities in Iraq and the Syrian Arab Republic. 132 There is evidence that ISIL encourages the looting and subsequent smuggling of Iraqi and Syrian antiquities, especially from archaeological sites. ISIL earns reven ue by taxing the looters. The looting has become more systematic and organized. For example, it has been reported that ISIL has become more involved in the digging and uses contractors with bulldozers to dig at the sites.133 Excavated objects are then sold to local dealers. Already in January 2014, the Directorate General of Museums and Antiquities of the Syrian Arab Republic reported that 300 people were digging at the important Dura Europos site.134 73. This is a growing but not a new risk.135 Antiquities have been plundered in Iraq before, and were the cause of a specific Security Council response in 2003. Resolution 1483 (2003) includes a provision requiring Member States to take measures facilitating the return of Iraqi cultural property illegally removed fr om Iraq since 1990, “including by establishing a prohibition on trade in or transfer of such items and items with respect to which reasonable suspicion exists that they have been illegally removed”.136 Although the looting and sale of antiquities is a known risk, it is very difficult to reliably estimate the amount of money that ISIL raises through this activity, and the Monitoring Team has not received officially confirmed information pointing to a particular sale that was clearly ISIL -related. Furthermore, there is a risk that local dealers will stockpile the artefacts until the world is no longer focused on this issue. On this basis, the Monitoring Team recommends a preventative approach.</w:t>
            </w: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tl w:val="0"/>
              </w:rPr>
            </w:r>
          </w:p>
          <w:p w:rsidR="00000000" w:rsidDel="00000000" w:rsidP="00000000" w:rsidRDefault="00000000" w:rsidRPr="00000000" w14:paraId="00000154">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November 2014, S/2014/815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Ransom payments have continued to be a significant source of financing for ISIL, which is notorious for its kidnappings. The use of this tactic, 137 along with brutal murders and the cynical filming of hostages, echoes the tactics used by AQI. The majority of victims are, as always, local residents along with a smaller group of foreign humanitarians and journalists. As reported by the Monitoring Team in its sixteenth report (see S/2014/770, para. 51), based on information provided by a Member State, ISIL has raised an estimated $35 million to $45 million in a 12-month period (approximately $96,000 to $123,000 per day) from ransom payments. While this high level of fundraising from kidnapping for ransom is not likely to be sustainable, and the income stream may have become less critical to ISIL, it points to the pressing need for effective enforcement of the sanctions ban on ransom payments to listed groups like ISIL.</w:t>
            </w: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tl w:val="0"/>
              </w:rPr>
            </w:r>
          </w:p>
          <w:p w:rsidR="00000000" w:rsidDel="00000000" w:rsidP="00000000" w:rsidRDefault="00000000" w:rsidRPr="00000000" w14:paraId="0000015B">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November 2014, S/2014/815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ISIL originally benefitted significantly from private donations from supporters, primarily from within the region. These donations continue to be one revenue stream for ISIL, as Security Council and individual Member State sanctions listings demonstrate.138 According to these listings and media reports,139 ISIL has received several million dollars from wealthy private donors and fundraising initiatives. 76. Meanwhile individuals have been listed on the Al-Qaida Sanctions List for directly funding or facilitating the flow of private donations from countries in the region to ISIL and ANF.140 Based on the information from these cases, fundraising activities occur in the region and cash is moved physically across borders. 141 Fundraising also takes place through a range of communication mediums, including social media,142 Twitter,143 and websites used for fundraising campaigns. There is also evidence of funding collected under the auspices of charity and diverted to the terrorist groups.144</w:t>
            </w: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tl w:val="0"/>
              </w:rPr>
            </w:r>
          </w:p>
          <w:p w:rsidR="00000000" w:rsidDel="00000000" w:rsidP="00000000" w:rsidRDefault="00000000" w:rsidRPr="00000000" w14:paraId="00000162">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November 2014, S/2014/815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There have been reports that ISIL is trafficking women and children in local markets.147 ISIL even boasted about this activity in its English-language magazine Dabiq.148 That ISIL chooses to engage in human trafficking — essentially slavery — underscores its complete absence of morality.</w:t>
            </w: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tl w:val="0"/>
              </w:rPr>
            </w:r>
          </w:p>
          <w:p w:rsidR="00000000" w:rsidDel="00000000" w:rsidP="00000000" w:rsidRDefault="00000000" w:rsidRPr="00000000" w14:paraId="00000169">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November 2014, S/2014/815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finances of ANF are much more opaque than those of ISIL and there is very little information available in open sources. According to three Member States, ANF is dependent on donations from private financiers from the wider region. ANF has received several million dollars from private wealthy donors and fundraising initiatives. Other sources of income include kidnapping for ransom, as previously reported (see S/2014/770), some extortion close to the borders of the Syrian Arab Republic with Turkey and Jordan, as well as weapons sales to other groups in the Syrian Arab Republic.152</w:t>
            </w: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tl w:val="0"/>
              </w:rPr>
            </w:r>
          </w:p>
          <w:p w:rsidR="00000000" w:rsidDel="00000000" w:rsidP="00000000" w:rsidRDefault="00000000" w:rsidRPr="00000000" w14:paraId="00000170">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November 2014, S/2014/815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bookmarkStart w:colFirst="0" w:colLast="0" w:name="_i79t136jfeql"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bsh224e8lia"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nrcc91c9735"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bookmarkStart w:colFirst="0" w:colLast="0" w:name="_dywpfdd56f5i"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bzug94pxr8g"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2hb3qng97n"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bookmarkStart w:colFirst="0" w:colLast="0" w:name="_fdlwcijpmjga"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aoyur9q24g8"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g41g9qshnmg"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bookmarkStart w:colFirst="0" w:colLast="0" w:name="_5anmgoc2x1uv"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8nd26xix3xk"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8bk8673a2zg"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bookmarkStart w:colFirst="0" w:colLast="0" w:name="_wcedigt7yilt"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45t7d8uj0kj"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4421jjtum3j"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bookmarkStart w:colFirst="0" w:colLast="0" w:name="_u3v8gdyedng6"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9urpy4yflbs"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kjeu4wmx6j"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sz w:val="20"/>
                <w:szCs w:val="20"/>
              </w:rPr>
            </w:pPr>
            <w:bookmarkStart w:colFirst="0" w:colLast="0" w:name="_m1cjoxu091ow"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1hufwn9fp0q"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nwsnko6epku"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sz w:val="20"/>
                <w:szCs w:val="20"/>
              </w:rPr>
            </w:pPr>
            <w:bookmarkStart w:colFirst="0" w:colLast="0" w:name="_i79ces0aiax"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d42cyjr09te"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bdy8us9ji"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0"/>
                <w:szCs w:val="20"/>
              </w:rPr>
            </w:pPr>
            <w:bookmarkStart w:colFirst="0" w:colLast="0" w:name="_tvfmpwi5lcp2"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3thqw3fsav4"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64vxlt41341"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bookmarkStart w:colFirst="0" w:colLast="0" w:name="_oghmrwo0zalm" w:id="136"/>
            <w:bookmarkEnd w:id="136"/>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bookmarkStart w:colFirst="0" w:colLast="0" w:name="_o6uysgb74r19"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l89u88k6md9"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ou58wxu31ah"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bookmarkStart w:colFirst="0" w:colLast="0" w:name="_4z4lj861bg1r"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3gu8ce5lbf8"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r1o7awyb3s5"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0"/>
                <w:szCs w:val="20"/>
              </w:rPr>
            </w:pPr>
            <w:bookmarkStart w:colFirst="0" w:colLast="0" w:name="_mpu7ixavc459"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ulmckyqiu9a"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o5uibhtzsj7"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0"/>
                <w:szCs w:val="20"/>
              </w:rPr>
            </w:pPr>
            <w:bookmarkStart w:colFirst="0" w:colLast="0" w:name="_6qsiimvw14xb"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a2vhpyemrh2"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hjm3lhyquwu"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0"/>
                <w:szCs w:val="20"/>
              </w:rPr>
            </w:pPr>
            <w:bookmarkStart w:colFirst="0" w:colLast="0" w:name="_tud1q7i3atay"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t6t3hlow5gy"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vvbd051d1i4"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before="240" w:lineRule="auto"/>
              <w:rPr>
                <w:rFonts w:ascii="Times New Roman" w:cs="Times New Roman" w:eastAsia="Times New Roman" w:hAnsi="Times New Roman"/>
                <w:sz w:val="20"/>
                <w:szCs w:val="20"/>
              </w:rPr>
            </w:pPr>
            <w:bookmarkStart w:colFirst="0" w:colLast="0" w:name="_7yv5fzlnevrz" w:id="152"/>
            <w:bookmarkEnd w:id="152"/>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It is difficult to measure the effectiveness of the travel ban measure. States are not obliged to report to the Committee when they have prevented a listed person crossing their borders, and the Committee has received no reports from Member States over the last eight years that they have done so. Although the Team has learned of cases where a listed individual has been turned back at an international border, or has managed to cross with a travel document that does not exactly match the List entry, these cases are very few. It is clear, however, that some listed parties have not travelled because of the ban, and that others have had to assume a false identity to do so.</w:t>
            </w: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December 2012, S/2012/968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The travel ban is a crucial and a powerful tool in combating Al-Qaida terrorism globally. Terrorists have shown a great degree of ingenuity in attempting to cross national borders undetected. Conscious of the risk, most listed individuals remain in their current locations or move internationally by avoiding official border-crossing points. The increasing regionalization of Al-Qaida affiliates often means that terrorists move within a limited zone of porous borders (as in much of the Sahel).</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August 2013, S/2013/467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jeokkzehff" w:id="153"/>
            <w:bookmarkEnd w:id="153"/>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naf3ww42prc"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bookmarkStart w:colFirst="0" w:colLast="0" w:name="_j6i6oai4uo8i" w:id="155"/>
            <w:bookmarkEnd w:id="155"/>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before="240" w:lineRule="auto"/>
              <w:rPr>
                <w:rFonts w:ascii="Times New Roman" w:cs="Times New Roman" w:eastAsia="Times New Roman" w:hAnsi="Times New Roman"/>
                <w:sz w:val="20"/>
                <w:szCs w:val="20"/>
              </w:rPr>
            </w:pPr>
            <w:bookmarkStart w:colFirst="0" w:colLast="0" w:name="_8treir3rkpfw" w:id="156"/>
            <w:bookmarkEnd w:id="15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4w2zegii9zd" w:id="157"/>
            <w:bookmarkEnd w:id="1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o3ex6womsz5"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sz w:val="20"/>
                <w:szCs w:val="20"/>
              </w:rPr>
            </w:pPr>
            <w:bookmarkStart w:colFirst="0" w:colLast="0" w:name="_1h7kd7kq6fry"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co5s1cw0rtb"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v32c0ej6q1z"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0"/>
                <w:szCs w:val="20"/>
              </w:rPr>
            </w:pPr>
            <w:bookmarkStart w:colFirst="0" w:colLast="0" w:name="_dflmu9h1l4ds"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z3wsrgry28"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cpao7hhtket"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bookmarkStart w:colFirst="0" w:colLast="0" w:name="_ued0d6mxgm9m"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nfod5xgwvy"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gc9v2ypd4uz"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bookmarkStart w:colFirst="0" w:colLast="0" w:name="_b47k798hujo5"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ojxod2f307g"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2d80agh4chn"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bookmarkStart w:colFirst="0" w:colLast="0" w:name="_lhq715f4ibzq"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6t58bp6acgr"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r2x5xm60gmv"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before="240" w:lineRule="auto"/>
              <w:rPr>
                <w:rFonts w:ascii="Times New Roman" w:cs="Times New Roman" w:eastAsia="Times New Roman" w:hAnsi="Times New Roman"/>
                <w:sz w:val="20"/>
                <w:szCs w:val="20"/>
              </w:rPr>
            </w:pPr>
            <w:bookmarkStart w:colFirst="0" w:colLast="0" w:name="_yfyo94zabeai"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zpl7p3ykttv"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n6ul6yhijsi"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before="240" w:lineRule="auto"/>
              <w:rPr>
                <w:rFonts w:ascii="Times New Roman" w:cs="Times New Roman" w:eastAsia="Times New Roman" w:hAnsi="Times New Roman"/>
                <w:sz w:val="20"/>
                <w:szCs w:val="20"/>
              </w:rPr>
            </w:pPr>
            <w:bookmarkStart w:colFirst="0" w:colLast="0" w:name="_qrto00gzixxq"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5z1tyywk7xv"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ca4uo1vffw" w:id="179"/>
            <w:bookmarkEnd w:id="179"/>
            <w:r w:rsidDel="00000000" w:rsidR="00000000" w:rsidRPr="00000000">
              <w:rPr>
                <w:rtl w:val="0"/>
              </w:rPr>
            </w:r>
          </w:p>
        </w:tc>
      </w:tr>
    </w:tbl>
    <w:p w:rsidR="00000000" w:rsidDel="00000000" w:rsidP="00000000" w:rsidRDefault="00000000" w:rsidRPr="00000000" w14:paraId="000001F2">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