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20clbhe91ffw" w:id="0"/>
      <w:bookmarkEnd w:id="0"/>
      <w:r w:rsidDel="00000000" w:rsidR="00000000" w:rsidRPr="00000000">
        <w:rPr>
          <w:rFonts w:ascii="Times New Roman" w:cs="Times New Roman" w:eastAsia="Times New Roman" w:hAnsi="Times New Roman"/>
          <w:sz w:val="20"/>
          <w:szCs w:val="20"/>
          <w:rtl w:val="0"/>
        </w:rPr>
        <w:t xml:space="preserve">Unique ID: </w:t>
        <w:tab/>
        <w:t xml:space="preserve">9.2</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49a42c6x6uj6"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South Sudan</w:t>
        <w:tab/>
      </w:r>
      <w:r w:rsidDel="00000000" w:rsidR="00000000" w:rsidRPr="00000000">
        <w:rPr>
          <w:rFonts w:ascii="Times New Roman" w:cs="Times New Roman" w:eastAsia="Times New Roman" w:hAnsi="Times New Roman"/>
          <w:sz w:val="20"/>
          <w:szCs w:val="20"/>
          <w:rtl w:val="0"/>
        </w:rPr>
        <w:tab/>
        <w:t xml:space="preserve">Episode 2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lrretmgsnszs"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q36fl2wqbm9o"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55f06mpxf1w3"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South Sudan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ft0yzuzhqs9a"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13/07/2018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Ongoing (31/12/2025)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kmaxt9y4kc92"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sylry3kkxz5b"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eg5eaz9oejty"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The Panel notes that both South Sudan and the Sudan have agreed to the deployment of Sudanese Armed Forces personnel in Unity State, as announced by the two Governments on 7 June 2018. This deployment, aimed at protecting oilfields and oil production, falls under the South Sudan/Sudan “joint oil protection force”. The Panel received documents, dated in the latter half of June 2018, detailing that arrangement, including an agreement that the “escort team” for fast-track facilitation of petroleum-related materials at the border shall not exceed one platoon fro m both sides.44 The Panel confirmed that Sudanese Armed Forces had been deployed in South Sudan since the agreement was reached.45</w:t>
            </w: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November 2018, S/2018/1049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During the reporting period, the Panel verified the presence of armed personnel of the Uganda People’s Defence Forces inside the territory of South Sudan, notably in Central and Eastern Equatoria.46</w:t>
            </w:r>
            <w:r w:rsidDel="00000000" w:rsidR="00000000" w:rsidRPr="00000000">
              <w:rPr>
                <w:rtl w:val="0"/>
              </w:rPr>
            </w:r>
          </w:p>
          <w:p w:rsidR="00000000" w:rsidDel="00000000" w:rsidP="00000000" w:rsidRDefault="00000000" w:rsidRPr="00000000" w14:paraId="00000032">
            <w:pPr>
              <w:spacing w:after="0" w:before="0" w:line="240" w:lineRule="auto"/>
              <w:rPr/>
            </w:pP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November 2018, S/2018/1049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56. As the Panel previously reported (see S/2019/301), the leadership of both SPLA-IO and the SSPDF have continued to exploit and trade in timber in areas under their control in the former Central Equatoria and Eastern Equatoria States. Rather than participating in the cantonment or barracking process, as required under the Revitalized Agreement on the Resolution of the Conflict in South Sudan, the armed groups have continued to generate revenues through the illegal harvest, sale and taxation of teak and mahogany. Furthermore, the activities of the armed groups have displaced local communities, some of which have fled to Uganda.</w:t>
            </w:r>
            <w:r w:rsidDel="00000000" w:rsidR="00000000" w:rsidRPr="00000000">
              <w:rPr>
                <w:rtl w:val="0"/>
              </w:rPr>
            </w:r>
          </w:p>
          <w:p w:rsidR="00000000" w:rsidDel="00000000" w:rsidP="00000000" w:rsidRDefault="00000000" w:rsidRPr="00000000" w14:paraId="00000039">
            <w:pPr>
              <w:spacing w:after="0" w:before="0" w:line="240" w:lineRule="auto"/>
              <w:rPr/>
            </w:pP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2019, S/2019/897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 Furthermore, during the reporting period, the Uganda People’s Defence Force (UPDF) has continued to enter the territory of South Sudan, including on 27 October when UPDF and SSPDF clashed in Magwe County, Eastern Equatoria (see annex XVII). Uganda has not requested any exemption from the Committee. This constitutes a violation of the arms embargo imposed by the Security Council in paragraph 4 of its resolution 2428 (2018), as renewed in paragraph 3 of its resolution 2521 (2020).</w:t>
            </w: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November 2020, S/2020/1141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 During a visit to Unity in February 2020, the Panel found evidence of SSPDF and SPLA-IO having carried out forced recruitment of children as young as 12 years old and young adults, between 18 and 27 years old, in Koch, Panyijiar, Rubkona and Mayendit Counties.14 The Panel corroborated information that the following commanders ordered and personally managed the forced recruitment: Brigadier General James Galiak Kai of SSPDF Division 4 controlled by Vice-President Taban Deng Gai in Kuerguini,15 and Major General Turuk Khor of SPLA-IO Division 4A in villages around Dingding, including Kuach and Juach, as well as in Nhialdu and Rubkona.16</w:t>
            </w: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April 2020, S/2020/342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39. The Panel found that, in the period from March to June 2019, the Director General of the Internal Security Bureau, Lieutenant General Kuc, violated the embargo on arms by obtaining three deliveries of weapons, mostly AK-47s, and related ammunition from the National Intelligence and Security Service of the Sudan, now known as the General Intelligence Service.45 40. The Panel further corroborated information that Green Flag Aviation Co. Ltd.,46 a Sudanese air transport services company based in Khartoum, delivered the weapons and ammunition to Juba and Wau, Western Bahr el-Ghazal, in an Antonov AN-74, with registration or tail number ST-BDT.47 According to information obtained by the Panel, the General Intelligence Service controls Green Flag Aviation.48 Furthermore, on the basis of corroborated evidence, the Panel found that Internal Security Bureau Lieutenant Colonel Jackson Garang Ajou, one of Lieutenant General Kuc’s trusted officials, supervised the shipments in Juba.49</w:t>
            </w:r>
            <w:r w:rsidDel="00000000" w:rsidR="00000000" w:rsidRPr="00000000">
              <w:rPr>
                <w:rtl w:val="0"/>
              </w:rPr>
            </w:r>
          </w:p>
          <w:p w:rsidR="00000000" w:rsidDel="00000000" w:rsidP="00000000" w:rsidRDefault="00000000" w:rsidRPr="00000000" w14:paraId="0000004E">
            <w:pPr>
              <w:spacing w:after="0" w:before="0" w:line="240" w:lineRule="auto"/>
              <w:rPr/>
            </w:pP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April 2020, S/2020/342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116. The influential political role of key guarantors, including Uganda, in supporting peace efforts in South Sudan has contrasted with the Ugandan military’s unauthorized presence in the country. Since 2018, the Panel has consistently reported on the presence of the Uganda People’s Defence Forces in southern South Sudan (see S/2018/1049, S/2019/301 and S/2019/897). 117. During the reporting period, the Panel received multiple corroborated accounts of the presence of the Uganda People’s Defence Forces in various areas of Central Equatoria, including in Gulumbi area between Morobo and Kanga. The Panel also verified multiple accounts of the Uganda People’s Defence Forces entering at night into South Sudan through unofficial border crossings, such as those at Goboro and Garamba in Central Equatoria.178 118. The Panel notes that, since the imposition by the Security Council of t he arms embargo on 13 July 2018, Uganda has not applied for any exemption from the Committee established pursuant to resolution 2206 (2015) to allow military forces to enter South Sudanese territory, as required under paragraph 5 of resolution 2428 (2018) and renewed in resolution 2471 (2019).</w:t>
            </w: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April 2020, S/2020/342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In March 2022 the Government of South Sudan announced on its Facebook page that it had purchased 150 new vehicles for the South Sudan National Police Service.63 The announcement was accompanied by photographs depicting approximately 25 new armoured personnel carriers at police headquarters in Juba. 65. Similar vehicles were identified in the possession of the South Sudan People’s Defence Forces Tiger Battalion in Juba, from where they were reportedly to be deployed in Warrap State in February 2022. 64 The Panel also identified a small number of similar vehicles in the possession of South Sudan People’s Defence Forces in Lakes State in late December 2021.65 66. No exemption was requested of the Committee for the purchase of these armoured military vehicles. From its interviews, the Panel discovered that procurement of the vehicles had started in 2021, with staggered deliveries in 2021 and early 2022.66 67. The armoured personnel carriers appear to match the “Tygra” model. 67 The Panel was not able to determine the supplier of the vehicles, although statements from a South Sudanese official indicated that they had been sourced from an unnamed “private company”.68 68. The Panel considers the import of these vehicles to constitute a violation of the arms embargo imposed on the entire territory of South Sudan by Security Council resolution 2428 (2018), renewed most recently by resolution 2577 (2021). The Panel notes that exemption procedures for the import of military equipment are inc luded under paragraph 5 of resolution 2428 (2018)</w:t>
            </w:r>
            <w:r w:rsidDel="00000000" w:rsidR="00000000" w:rsidRPr="00000000">
              <w:rPr>
                <w:rtl w:val="0"/>
              </w:rPr>
            </w:r>
          </w:p>
          <w:p w:rsidR="00000000" w:rsidDel="00000000" w:rsidP="00000000" w:rsidRDefault="00000000" w:rsidRPr="00000000" w14:paraId="0000005C">
            <w:pPr>
              <w:spacing w:after="0" w:before="0" w:line="240" w:lineRule="auto"/>
              <w:rPr/>
            </w:pP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April 2022, S/2022/359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69. On 14 February 2022 Ethiopian media reported that around 50 National Security Service officers had graduated from a training programme provided by the National Intelligence and Security Service of Ethiopia,69 which was confirmed by an article on its own website.70 According to reports, the course provided in-depth training in the fields of intelligence and security for senior members of the National Security Service. According to one media report, the training had been preceded by another training event, four months prior, attended by “junior security officers from South Sudan”.71 70. The graduation was attended by Temesgen Tiruneh, Director General of the National Intelligence and Security Service of Ethiopia, and Akol Koor Kuc, Director General of the South Sudan Internal Security Bureau, a branch of the National Security Service.72 On 27 January 2021, the two leaders met in Addis Ababa and agreed that their respective intelligence agencies would cooperate on regional issues and capacity-building.73 71. Given that no exemption was sought from the Committee and that the training reportedly covered “intelligence and security”, the Panel considers that this may constitute a violation of the arms embargo, which prohibits the provision to South Sudanese security services of “technical assistance, training, financial or other assistance, related to military activities”, in accordance with paragraph 4 of resolution 2428 (2018).</w:t>
            </w:r>
            <w:r w:rsidDel="00000000" w:rsidR="00000000" w:rsidRPr="00000000">
              <w:rPr>
                <w:rtl w:val="0"/>
              </w:rPr>
            </w:r>
          </w:p>
          <w:p w:rsidR="00000000" w:rsidDel="00000000" w:rsidP="00000000" w:rsidRDefault="00000000" w:rsidRPr="00000000" w14:paraId="00000063">
            <w:pPr>
              <w:spacing w:after="0" w:before="0" w:line="240" w:lineRule="auto"/>
              <w:rPr/>
            </w:pP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April 2022, S/2022/359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113. Also in its interim report, the Panel noted the presence of armed Uganda People’s Defence Forces in the Equatorias. Soldiers from these Forces continued to be present in Yei River State in subsequent months, including in Yei town and along its connecting roads between 18 and 21 January 2019.112 Reports suggest the presence of a significant number of troops (40-50) as well as around six military vehicles. The Panel is not aware of any exemption having been sought for this deployment, as required by paragraph 5 of resolution 2428 (2018). 114. In a meeting with the Panel, representatives of the Uganda People’s Defence Forces confirmed the presence of these forces in Yei, noting that they were providing protection to Ugandan engineers who were surveying the road between Yei and Uganda.113 The Panel also discussed this deployment with the Minister of Defence of South Sudan, who reiterated that the Uganda People’s Defence Forces were there for the purpose of protecting engineers.11</w:t>
            </w: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tl w:val="0"/>
              </w:rPr>
            </w:r>
          </w:p>
          <w:p w:rsidR="00000000" w:rsidDel="00000000" w:rsidP="00000000" w:rsidRDefault="00000000" w:rsidRPr="00000000" w14:paraId="0000006B">
            <w:pPr>
              <w:spacing w:after="0" w:before="0" w:line="240" w:lineRule="auto"/>
              <w:rPr/>
            </w:pPr>
            <w:r w:rsidDel="00000000" w:rsidR="00000000" w:rsidRPr="00000000">
              <w:rPr>
                <w:rFonts w:ascii="Times New Roman" w:cs="Times New Roman" w:eastAsia="Times New Roman" w:hAnsi="Times New Roman"/>
                <w:sz w:val="20"/>
                <w:szCs w:val="20"/>
                <w:rtl w:val="0"/>
              </w:rPr>
              <w:t xml:space="preserve">9 April 2019, S/2019/301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113. On 28 December 2022, the President attended a ceremony at the South Sudan People’s Defence Forces military headquarters, in Bilpham, Juba, formally dispatching a battalion of between 700 and 750 troops to participate in the East African Community’s regional force to the eastern Democratic Republic of the Congo.162 114. Several photographs from the ceremony depict at least 10 armoured personnel carriers.163 These vehicles are distinct in both design and colour from those purchased in violation of the arms embargo in late 2021 or early 2022 and detailed in the Panel’s final report (S/2022/359). They are also distinct from those known to have been purchased by the South Sudan People’s Defence Forces prior to the imposit ion of the arms embargo by the Security Council with resolution 2428 (2018).164 115. The Panel has identified a commercially available vehicle that matches those observed in South Sudan and is often marketed as the Titan-S. 165 It is a highly modified and armoured version of a commercially available civilian vehicle. In marketing material, the design in question is labelled as a 2019 design. 166 As several companies appear to sell the vehicle in question, however, the Panel has not been able to confirm the supply chain by which the vehicles entered South Sudan. 116. The Panel did not receive responses to its request for assistance from three relevant Member States. No inspection reports have been submitted by Member States further to paragraphs 7 to 10 of resolution 2428 (2018) since its adoption and subsequent renewals. 117. Several companies in the armour industry told the Panel that it was common for companies to copy the designs of competitors or to simply resell vehicles with new logos and branding. 167 Some also noted that it was common for companies to reincorporate and change their names, both as a result of frequent legal action within the industry and as a means of evading sanctions. In some cases, the Panel was told that companies might use fake branding to evade detection. “Putting that logo and symbol on there is all a way of redirection because they don’t want to get caught up in sanctions”.168 118. A supplementary budget of $6.69 million was allocated to the deployment of the South Sudan People’s Defence Forces contingent to the East African Community force.169 Original South Sudan People’s Defence Forces documents reviewed by the Panel indicate that troops deployed as part of the mission are being paid in line with current South Sudan People’s Defence Forces salary scales. 170 As such, salaries likely account for only a fraction of the allocated funds.171 South Sudan People’s Defence Forces officials have stated that funds were mostly allocated to “equipment”. 172 119. While all the paraded vehicles are mounted with heavy weapons, the Panel has not been able to determine whether those were mounted before or after import into South Sudan. Regardless, as under resolution 2428 (2018), the provisions of which were most recently renewed in resolution 2633 (2022), all Member States are directed to prevent the supply of “arms and related materiel of all types, including weapons and ammunition, military vehicles and equipment, paramilitary equipment, and spare parts for the aforementioned”, the Panel considers the import of the military vehicles to be a violation of the arms embargo, as no exemption request was submitted for their import.</w:t>
            </w:r>
            <w:r w:rsidDel="00000000" w:rsidR="00000000" w:rsidRPr="00000000">
              <w:rPr>
                <w:rtl w:val="0"/>
              </w:rPr>
            </w:r>
          </w:p>
          <w:p w:rsidR="00000000" w:rsidDel="00000000" w:rsidP="00000000" w:rsidRDefault="00000000" w:rsidRPr="00000000" w14:paraId="00000071">
            <w:pPr>
              <w:spacing w:after="0" w:before="0" w:line="240" w:lineRule="auto"/>
              <w:rPr/>
            </w:pP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April 2023, S/2023/294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54. The Panel has documented significant military activity by members of the Uganda Peoples’ Defence Forces (UPDF) in at least three areas of South Sudan. In each of the cases, at least some UPDF forces were armed with lethal military equipment. In paragraph 4 of its resolution 2428 (2018), most recently renewed by resolution 2731 (2024), the Security Council prohibits the transfer of lethal military equipment to South Sudanese territory.77 As such, the UPDF presence in South Sudan amounts to a violation of the arms embargo.</w:t>
            </w:r>
            <w:r w:rsidDel="00000000" w:rsidR="00000000" w:rsidRPr="00000000">
              <w:rPr>
                <w:rtl w:val="0"/>
              </w:rPr>
            </w:r>
          </w:p>
          <w:p w:rsidR="00000000" w:rsidDel="00000000" w:rsidP="00000000" w:rsidRDefault="00000000" w:rsidRPr="00000000" w14:paraId="00000078">
            <w:pPr>
              <w:spacing w:after="0" w:before="0" w:line="240" w:lineRule="auto"/>
              <w:rPr/>
            </w:pPr>
            <w:r w:rsidDel="00000000" w:rsidR="00000000" w:rsidRPr="00000000">
              <w:rPr>
                <w:rtl w:val="0"/>
              </w:rPr>
            </w:r>
          </w:p>
          <w:p w:rsidR="00000000" w:rsidDel="00000000" w:rsidP="00000000" w:rsidRDefault="00000000" w:rsidRPr="00000000" w14:paraId="00000079">
            <w:pPr>
              <w:spacing w:after="0" w:before="0" w:line="240" w:lineRule="auto"/>
              <w:rPr/>
            </w:pPr>
            <w:r w:rsidDel="00000000" w:rsidR="00000000" w:rsidRPr="00000000">
              <w:rPr>
                <w:rFonts w:ascii="Times New Roman" w:cs="Times New Roman" w:eastAsia="Times New Roman" w:hAnsi="Times New Roman"/>
                <w:sz w:val="20"/>
                <w:szCs w:val="20"/>
                <w:rtl w:val="0"/>
              </w:rPr>
              <w:t xml:space="preserve">3 March 2024, S/2024/855/Rev.1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As the present report was being finalized, on 10 March 2025, the Chief of Defence Forces of the Uganda People’s Defence Forces (UPDF), Muhoozi Kainerugaba, stated that UPDF “special forces” had “entered Juba to secure it” two days previous, while expressing support for the President. 83 On 11 March 2025, he also published a video showing armed UPDF soldiers arriving at Juba International Airport.84 According to flight data, the plane (5Y-FAH), had made two return trips from Juba to Uganda that day. Additional analysis by the Panel further corroborates those claims.85 The South Sudan Minister for Information, Michael Makuei, denied the presence of Ugandan forces in Juba.86 UPDF troops have previously deployed in South Sudan to provide training, support the President, and to conduct joint security operations.87 68. The deployment of armed UPDF soldiers to Juba would constitute a breach of the arms embargo implemented by resolution 2428 (2018), most recently renewed by resolution 2731 (2024), as no prior exemption was sought further to the provisions of paragraph 5 of resolution 2428 (2018).</w:t>
            </w:r>
            <w:r w:rsidDel="00000000" w:rsidR="00000000" w:rsidRPr="00000000">
              <w:rPr>
                <w:rtl w:val="0"/>
              </w:rPr>
            </w:r>
          </w:p>
          <w:p w:rsidR="00000000" w:rsidDel="00000000" w:rsidP="00000000" w:rsidRDefault="00000000" w:rsidRPr="00000000" w14:paraId="0000007F">
            <w:pPr>
              <w:spacing w:after="0" w:before="0" w:line="240" w:lineRule="auto"/>
              <w:rPr/>
            </w:pPr>
            <w:r w:rsidDel="00000000" w:rsidR="00000000" w:rsidRPr="00000000">
              <w:rPr>
                <w:rtl w:val="0"/>
              </w:rPr>
            </w:r>
          </w:p>
          <w:p w:rsidR="00000000" w:rsidDel="00000000" w:rsidP="00000000" w:rsidRDefault="00000000" w:rsidRPr="00000000" w14:paraId="00000080">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July 2025, S/2025/442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82. In late 2024, South Sudanese security services observed and seized sophisticated rifles fitted with scopes from civilians and armed actors, including cattle keepers. Officers concluded that the weapons had likely entered South Sudan from the Sudan. 110 83. The Panel assesses, from photographs of the rifles and shotguns, 111 that most were of Turkish manufacture and likely originated from stocks looted by the Rapid Support Forces (RSF) in Khartoum, where similar civilian -classified guns had been imported since 2019.112 84. Photographs of samples of the weapons shown to the Panel included BRG 55, 113 HUSAN Arms MKA 556 and UTAS Defence 5.56×45 mm calibre rifles. 114 These are Turkish-manufactured guns intended for the civilian markets and inspired by the AR-15 assault rifle. These have not previously been recorded in South Sudan but had been sold to dealers in Khartoum well into 2023.115 The Panel has identified several weapons of this type,116 including the exact combination of a BRG 55 rifle and scope, in the possession of RSF soldiers in 2024. 85. The sample of seized weapons studied by the Panel also included a civilian Molot Vepr 1V-E rifle, versions of which have been documented in the Sudan in 2023 and 2024.117 86. The weapons are likely to have been smuggled through the porous border with the Sudan, including from RSF-held territory to Northern Bahr el-Ghazal State in South Sudan, and also potentially through the Abyei area. Rizeigat and Misseriya pastoralists have also continued to move in the relevant border areas.</w:t>
            </w:r>
            <w:r w:rsidDel="00000000" w:rsidR="00000000" w:rsidRPr="00000000">
              <w:rPr>
                <w:rtl w:val="0"/>
              </w:rPr>
            </w:r>
          </w:p>
          <w:p w:rsidR="00000000" w:rsidDel="00000000" w:rsidP="00000000" w:rsidRDefault="00000000" w:rsidRPr="00000000" w14:paraId="00000086">
            <w:pPr>
              <w:spacing w:after="0" w:before="0" w:line="240" w:lineRule="auto"/>
              <w:rPr/>
            </w:pPr>
            <w:r w:rsidDel="00000000" w:rsidR="00000000" w:rsidRPr="00000000">
              <w:rPr>
                <w:rtl w:val="0"/>
              </w:rPr>
            </w:r>
          </w:p>
          <w:p w:rsidR="00000000" w:rsidDel="00000000" w:rsidP="00000000" w:rsidRDefault="00000000" w:rsidRPr="00000000" w14:paraId="00000087">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July 2025, S/2025/442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101. At least two training courses were delivered by the Rwanda National Police Service to the South Sudan National Police Service in 2024. According to official statements, the second course lasted two months in Rwanda, ending on 11 October 2024. It was attended by 120 officers and non-commissioned officers of the South Sudan police.134 The South Sudanese participants had not been integrated into the Necessary Unified Forces at the time of the training, although a senior official told the Panel that they would be integrated in the future.135 102. Images from the training show South Sudanese officers utilizing tactical equipment. An armoured personnel carrier with a mounted turret and an automatic rifle can also be seen in photographs of the training. 136 Official statements describe “junior tactical command” and fighting organized crime as part of the syllabus. 103. Paragraph 4 of resolution 2428 (2018), most recently renewed by resolution 2731 (2024), prohibits the provision of “training...related to military activities or the provision, maintenance or use of any arms and related materiel” with regard to lethal military equipment. 104. The concerned parties did not request an exemption to these measures further to paragraph 5 of resolution 2428 (2018). The Panel therefore considers these trainings to be possible breaches of the arms embargo.13</w:t>
            </w:r>
            <w:r w:rsidDel="00000000" w:rsidR="00000000" w:rsidRPr="00000000">
              <w:rPr>
                <w:rtl w:val="0"/>
              </w:rPr>
            </w:r>
          </w:p>
          <w:p w:rsidR="00000000" w:rsidDel="00000000" w:rsidP="00000000" w:rsidRDefault="00000000" w:rsidRPr="00000000" w14:paraId="0000008D">
            <w:pPr>
              <w:spacing w:after="0" w:before="0" w:line="240" w:lineRule="auto"/>
              <w:rPr/>
            </w:pPr>
            <w:r w:rsidDel="00000000" w:rsidR="00000000" w:rsidRPr="00000000">
              <w:rPr>
                <w:rtl w:val="0"/>
              </w:rPr>
            </w:r>
          </w:p>
          <w:p w:rsidR="00000000" w:rsidDel="00000000" w:rsidP="00000000" w:rsidRDefault="00000000" w:rsidRPr="00000000" w14:paraId="0000008E">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July 2025, S/2025/442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40. On 10 March 2025, a contingent of armed soldiers of the Uganda People’s Defence Forces (UPDF) arrived in Juba as part of operation “Mlinzi wa Kimya” (“silent guardian”). 41. In a letter to the Panel, the Government of Uganda confirmed the UPDF presence in South Sudan, stressing that the deployment had been made further to a request from the President of South Sudan and in accordance with the 2014 status -of-forces agreement between Uganda and South Sudan. 39 The deployment, they added, had been made “in order to avert a security catastrophe in the region” and the escalation of hostilities between the parties to the 2018 peace agreement. 42. Since the deployment, the Panel has confirmed the arrival of additional military personnel and equipment and the expansion of the UPDF presence in South Sudan. 40 While UPDF forces are reportedly stationed at multiple sites, the deployment is primarily headquartered a few kilometres east of Juba. 43. UPDF has confirmed the presence of its forces at that location, as well as the conduct of several military training exercises at or near the site. 41 In addition to supporting SSPDF operations, UPDF has also undertaken outreach activities, including the provision of medical support to local communities. 42 44. Satellite imagery analysis confirms the construction of several new structures at the site since March 2025, as well as a perimeter fence and two firing ranges. 43 Also visible at the location are several tanks and armoured vehicles. This is consistent with video footage, reviewed by the Panel, of several UPDF convoys travelling to or through South Sudan in recent months. The convoys included troops in a variety of soft-skinned vehicles; wheeled armoured vehicles identified as Katmerciler Hizir, models of which are known to have been imported to Uganda; Nyoka models, which are manufactured in Uganda; as well as tracked armoured fighting vehicles including BMP 2 and T-55 tanks.44 45. The Panel considers the presence of armed UPDF forces in South Sudan to be a violation of the arms embargo as outlined in paragraph 4 of resolution 2428 (2018), eased by paragraph 2 of resolution 2683 (2023) and renewed by resolution 2781 (2025).</w:t>
            </w:r>
            <w:r w:rsidDel="00000000" w:rsidR="00000000" w:rsidRPr="00000000">
              <w:rPr>
                <w:rtl w:val="0"/>
              </w:rPr>
            </w:r>
          </w:p>
          <w:p w:rsidR="00000000" w:rsidDel="00000000" w:rsidP="00000000" w:rsidRDefault="00000000" w:rsidRPr="00000000" w14:paraId="00000094">
            <w:pPr>
              <w:spacing w:after="0" w:before="0" w:line="240" w:lineRule="auto"/>
              <w:rPr/>
            </w:pPr>
            <w:r w:rsidDel="00000000" w:rsidR="00000000" w:rsidRPr="00000000">
              <w:rPr>
                <w:rtl w:val="0"/>
              </w:rPr>
            </w:r>
          </w:p>
          <w:p w:rsidR="00000000" w:rsidDel="00000000" w:rsidP="00000000" w:rsidRDefault="00000000" w:rsidRPr="00000000" w14:paraId="00000095">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November 2025, S/2025/768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 Aerial bombardments have been a significant feature of the renewed conflict and mark a departure from the previous tactics and capabilities of SSPDF. Reports and evidence reviewed by the Panel indicate the use of both fixed -wing and rotary platforms to deploy a range of standard45 and improvised munitions.46 47. SSPDF is known to operate Mi-24 attack helicopters.47 The Panel has, however, also documented the presence of at least three Bell 412 helicopters in South Sudan in recent months. At least two of these helicopters are armed with UB -16-57 unguided rocket pods and have been deployed in both Upper Nile and Jongl ei States since March 2025.48 Satellite imagery depicts three four-bladed helicopters, with a rotor- span matching that of a Bell 412, stationed at the Paloich airfield in Upper Nile State. 48. These helicopters match those deployed in support of UPDF operations in Western Bahr el Ghazal State in 2024.49 The Government of Uganda has confirmed to the Panel that it has deployed three Bell 412 helicopters in South Sudan. 50 49. As these armed helicopters had not been observed in South Sudan prior to 2024, the Panel also considers their presence a likely violation of the arms embargo.</w:t>
            </w:r>
            <w:r w:rsidDel="00000000" w:rsidR="00000000" w:rsidRPr="00000000">
              <w:rPr>
                <w:rtl w:val="0"/>
              </w:rPr>
            </w:r>
          </w:p>
          <w:p w:rsidR="00000000" w:rsidDel="00000000" w:rsidP="00000000" w:rsidRDefault="00000000" w:rsidRPr="00000000" w14:paraId="0000009B">
            <w:pPr>
              <w:spacing w:after="0" w:before="0" w:line="240" w:lineRule="auto"/>
              <w:rPr/>
            </w:pPr>
            <w:r w:rsidDel="00000000" w:rsidR="00000000" w:rsidRPr="00000000">
              <w:rPr>
                <w:rtl w:val="0"/>
              </w:rPr>
            </w:r>
          </w:p>
          <w:p w:rsidR="00000000" w:rsidDel="00000000" w:rsidP="00000000" w:rsidRDefault="00000000" w:rsidRPr="00000000" w14:paraId="0000009C">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November 2025, S/2025/768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before="240" w:lineRule="auto"/>
              <w:rPr>
                <w:rFonts w:ascii="Times New Roman" w:cs="Times New Roman" w:eastAsia="Times New Roman" w:hAnsi="Times New Roman"/>
                <w:sz w:val="20"/>
                <w:szCs w:val="20"/>
              </w:rPr>
            </w:pPr>
            <w:bookmarkStart w:colFirst="0" w:colLast="0" w:name="_6vf5bdj0j6ha"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before="240" w:lineRule="auto"/>
              <w:rPr>
                <w:rFonts w:ascii="Times New Roman" w:cs="Times New Roman" w:eastAsia="Times New Roman" w:hAnsi="Times New Roman"/>
                <w:sz w:val="20"/>
                <w:szCs w:val="20"/>
              </w:rPr>
            </w:pPr>
            <w:bookmarkStart w:colFirst="0" w:colLast="0" w:name="_mkjuzbv4tpgj"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ikx9s2zzg1f"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before="240" w:lineRule="auto"/>
              <w:rPr>
                <w:rFonts w:ascii="Times New Roman" w:cs="Times New Roman" w:eastAsia="Times New Roman" w:hAnsi="Times New Roman"/>
                <w:sz w:val="20"/>
                <w:szCs w:val="20"/>
              </w:rPr>
            </w:pPr>
            <w:bookmarkStart w:colFirst="0" w:colLast="0" w:name="_skrgrk5pnb7q"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ld3dnf9g9x0" w:id="13"/>
            <w:bookmarkEnd w:id="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gj8qerlniam" w:id="14"/>
            <w:bookmarkEnd w:id="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240" w:lineRule="auto"/>
              <w:rPr>
                <w:rFonts w:ascii="Times New Roman" w:cs="Times New Roman" w:eastAsia="Times New Roman" w:hAnsi="Times New Roman"/>
                <w:sz w:val="20"/>
                <w:szCs w:val="20"/>
              </w:rPr>
            </w:pPr>
            <w:bookmarkStart w:colFirst="0" w:colLast="0" w:name="_wvec3ih7pymb"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detg4ry8g8j" w:id="16"/>
            <w:bookmarkEnd w:id="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r2pqkco154w" w:id="17"/>
            <w:bookmarkEnd w:id="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240" w:lineRule="auto"/>
              <w:rPr>
                <w:rFonts w:ascii="Times New Roman" w:cs="Times New Roman" w:eastAsia="Times New Roman" w:hAnsi="Times New Roman"/>
                <w:sz w:val="20"/>
                <w:szCs w:val="20"/>
              </w:rPr>
            </w:pPr>
            <w:bookmarkStart w:colFirst="0" w:colLast="0" w:name="_iyd9r2kbdfwz"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psc4rb7kt35" w:id="19"/>
            <w:bookmarkEnd w:id="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7s1uparp6c7" w:id="20"/>
            <w:bookmarkEnd w:id="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240" w:lineRule="auto"/>
              <w:rPr>
                <w:rFonts w:ascii="Times New Roman" w:cs="Times New Roman" w:eastAsia="Times New Roman" w:hAnsi="Times New Roman"/>
                <w:sz w:val="20"/>
                <w:szCs w:val="20"/>
              </w:rPr>
            </w:pPr>
            <w:bookmarkStart w:colFirst="0" w:colLast="0" w:name="_g0qrhoto86nw"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t5dga97a5aj" w:id="22"/>
            <w:bookmarkEnd w:id="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o75nqpyk0hd" w:id="23"/>
            <w:bookmarkEnd w:id="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240" w:lineRule="auto"/>
              <w:rPr>
                <w:rFonts w:ascii="Times New Roman" w:cs="Times New Roman" w:eastAsia="Times New Roman" w:hAnsi="Times New Roman"/>
                <w:sz w:val="20"/>
                <w:szCs w:val="20"/>
              </w:rPr>
            </w:pPr>
            <w:bookmarkStart w:colFirst="0" w:colLast="0" w:name="_l4sa50fm4pt6" w:id="24"/>
            <w:bookmarkEnd w:id="2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32gq5qajzk9" w:id="25"/>
            <w:bookmarkEnd w:id="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s362g2rdwgp" w:id="26"/>
            <w:bookmarkEnd w:id="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240" w:lineRule="auto"/>
              <w:rPr>
                <w:rFonts w:ascii="Times New Roman" w:cs="Times New Roman" w:eastAsia="Times New Roman" w:hAnsi="Times New Roman"/>
                <w:sz w:val="20"/>
                <w:szCs w:val="20"/>
              </w:rPr>
            </w:pPr>
            <w:bookmarkStart w:colFirst="0" w:colLast="0" w:name="_x5y7jfdgq529"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ql3mll9au5j"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ygq8vr1r20y" w:id="29"/>
            <w:bookmarkEnd w:id="29"/>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before="240" w:lineRule="auto"/>
              <w:rPr>
                <w:rFonts w:ascii="Times New Roman" w:cs="Times New Roman" w:eastAsia="Times New Roman" w:hAnsi="Times New Roman"/>
                <w:sz w:val="20"/>
                <w:szCs w:val="20"/>
              </w:rPr>
            </w:pPr>
            <w:bookmarkStart w:colFirst="0" w:colLast="0" w:name="_z1r4cfu6qdpf"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dar78d3p6bf"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lu2hmilnos7" w:id="32"/>
            <w:bookmarkEnd w:id="32"/>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rPr>
                <w:rFonts w:ascii="Times New Roman" w:cs="Times New Roman" w:eastAsia="Times New Roman" w:hAnsi="Times New Roman"/>
                <w:sz w:val="20"/>
                <w:szCs w:val="20"/>
              </w:rPr>
            </w:pPr>
            <w:bookmarkStart w:colFirst="0" w:colLast="0" w:name="_tb6576pn7i2d"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achs6xu6o"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cqoqvmv71xl"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Rule="auto"/>
              <w:rPr>
                <w:rFonts w:ascii="Times New Roman" w:cs="Times New Roman" w:eastAsia="Times New Roman" w:hAnsi="Times New Roman"/>
                <w:sz w:val="20"/>
                <w:szCs w:val="20"/>
              </w:rPr>
            </w:pPr>
            <w:bookmarkStart w:colFirst="0" w:colLast="0" w:name="_6w90v7qct7n7"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37vztfmk6aj"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uo2ng9xhcqs"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before="240" w:lineRule="auto"/>
              <w:rPr>
                <w:rFonts w:ascii="Times New Roman" w:cs="Times New Roman" w:eastAsia="Times New Roman" w:hAnsi="Times New Roman"/>
                <w:sz w:val="20"/>
                <w:szCs w:val="20"/>
              </w:rPr>
            </w:pPr>
            <w:bookmarkStart w:colFirst="0" w:colLast="0" w:name="_f27ykaji34kx"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xdgjl2qlwa0"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w3yv3aqqcms"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before="240" w:lineRule="auto"/>
              <w:rPr>
                <w:rFonts w:ascii="Times New Roman" w:cs="Times New Roman" w:eastAsia="Times New Roman" w:hAnsi="Times New Roman"/>
                <w:sz w:val="20"/>
                <w:szCs w:val="20"/>
              </w:rPr>
            </w:pPr>
            <w:bookmarkStart w:colFirst="0" w:colLast="0" w:name="_w88dgk8noi97"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c0v4pez8diy"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zypcptowle6"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before="240" w:lineRule="auto"/>
              <w:rPr>
                <w:rFonts w:ascii="Times New Roman" w:cs="Times New Roman" w:eastAsia="Times New Roman" w:hAnsi="Times New Roman"/>
                <w:sz w:val="20"/>
                <w:szCs w:val="20"/>
              </w:rPr>
            </w:pPr>
            <w:bookmarkStart w:colFirst="0" w:colLast="0" w:name="_cfgkgrgnyhvs"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gv9elp71lnp"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6aqx5uchpns"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before="240" w:lineRule="auto"/>
              <w:rPr>
                <w:rFonts w:ascii="Times New Roman" w:cs="Times New Roman" w:eastAsia="Times New Roman" w:hAnsi="Times New Roman"/>
                <w:sz w:val="20"/>
                <w:szCs w:val="20"/>
              </w:rPr>
            </w:pPr>
            <w:bookmarkStart w:colFirst="0" w:colLast="0" w:name="_ydqkcgib9l5o"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96998xj92d5"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lcylgoihywp"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before="240" w:lineRule="auto"/>
              <w:rPr>
                <w:rFonts w:ascii="Times New Roman" w:cs="Times New Roman" w:eastAsia="Times New Roman" w:hAnsi="Times New Roman"/>
                <w:sz w:val="20"/>
                <w:szCs w:val="20"/>
              </w:rPr>
            </w:pPr>
            <w:bookmarkStart w:colFirst="0" w:colLast="0" w:name="_lufs32nkke7h"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tnakklwj542"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kqb9o81nnxt"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before="240" w:lineRule="auto"/>
              <w:rPr>
                <w:rFonts w:ascii="Times New Roman" w:cs="Times New Roman" w:eastAsia="Times New Roman" w:hAnsi="Times New Roman"/>
                <w:sz w:val="20"/>
                <w:szCs w:val="20"/>
              </w:rPr>
            </w:pPr>
            <w:bookmarkStart w:colFirst="0" w:colLast="0" w:name="_ypuy8ibptt5q"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nz4o9f5a7vy"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eydqq35zbiu"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before="240" w:lineRule="auto"/>
              <w:rPr>
                <w:rFonts w:ascii="Times New Roman" w:cs="Times New Roman" w:eastAsia="Times New Roman" w:hAnsi="Times New Roman"/>
                <w:sz w:val="20"/>
                <w:szCs w:val="20"/>
              </w:rPr>
            </w:pPr>
            <w:bookmarkStart w:colFirst="0" w:colLast="0" w:name="_dhn6f2th8kx4"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45vfk1faone"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thnpf6r95y9"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240" w:lineRule="auto"/>
              <w:rPr>
                <w:rFonts w:ascii="Times New Roman" w:cs="Times New Roman" w:eastAsia="Times New Roman" w:hAnsi="Times New Roman"/>
                <w:sz w:val="20"/>
                <w:szCs w:val="20"/>
              </w:rPr>
            </w:pPr>
            <w:bookmarkStart w:colFirst="0" w:colLast="0" w:name="_w98xvujh4e0e" w:id="60"/>
            <w:bookmarkEnd w:id="6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bhit3knk08x" w:id="61"/>
            <w:bookmarkEnd w:id="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558r740x1h0" w:id="62"/>
            <w:bookmarkEnd w:id="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before="240" w:lineRule="auto"/>
              <w:rPr>
                <w:rFonts w:ascii="Times New Roman" w:cs="Times New Roman" w:eastAsia="Times New Roman" w:hAnsi="Times New Roman"/>
                <w:sz w:val="20"/>
                <w:szCs w:val="20"/>
              </w:rPr>
            </w:pPr>
            <w:bookmarkStart w:colFirst="0" w:colLast="0" w:name="_y98ilmef2neu" w:id="63"/>
            <w:bookmarkEnd w:id="63"/>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before="240" w:lineRule="auto"/>
              <w:rPr>
                <w:rFonts w:ascii="Times New Roman" w:cs="Times New Roman" w:eastAsia="Times New Roman" w:hAnsi="Times New Roman"/>
                <w:sz w:val="20"/>
                <w:szCs w:val="20"/>
              </w:rPr>
            </w:pPr>
            <w:bookmarkStart w:colFirst="0" w:colLast="0" w:name="_cmwh6w5jarex"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gcn8cdp78od" w:id="65"/>
            <w:bookmarkEnd w:id="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5v9zxunq3bj" w:id="66"/>
            <w:bookmarkEnd w:id="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before="240" w:lineRule="auto"/>
              <w:rPr>
                <w:rFonts w:ascii="Times New Roman" w:cs="Times New Roman" w:eastAsia="Times New Roman" w:hAnsi="Times New Roman"/>
                <w:sz w:val="20"/>
                <w:szCs w:val="20"/>
              </w:rPr>
            </w:pPr>
            <w:bookmarkStart w:colFirst="0" w:colLast="0" w:name="_78dw4wknstik"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bflpxo8i4bb"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9al0ujbo1m1"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before="240" w:lineRule="auto"/>
              <w:rPr>
                <w:rFonts w:ascii="Times New Roman" w:cs="Times New Roman" w:eastAsia="Times New Roman" w:hAnsi="Times New Roman"/>
                <w:sz w:val="20"/>
                <w:szCs w:val="20"/>
              </w:rPr>
            </w:pPr>
            <w:bookmarkStart w:colFirst="0" w:colLast="0" w:name="_781yz2fm224a"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ip57bs98ory"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e1ok5fv6kbi"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before="240" w:lineRule="auto"/>
              <w:rPr>
                <w:rFonts w:ascii="Times New Roman" w:cs="Times New Roman" w:eastAsia="Times New Roman" w:hAnsi="Times New Roman"/>
                <w:sz w:val="20"/>
                <w:szCs w:val="20"/>
              </w:rPr>
            </w:pPr>
            <w:bookmarkStart w:colFirst="0" w:colLast="0" w:name="_aqvioetdkrlh"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unz0u2l6mu"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c4h7swiixe9"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before="240" w:lineRule="auto"/>
              <w:rPr>
                <w:rFonts w:ascii="Times New Roman" w:cs="Times New Roman" w:eastAsia="Times New Roman" w:hAnsi="Times New Roman"/>
                <w:sz w:val="20"/>
                <w:szCs w:val="20"/>
              </w:rPr>
            </w:pPr>
            <w:bookmarkStart w:colFirst="0" w:colLast="0" w:name="_nblo77pfynmq"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knsh7t3bw7e"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km4ycv3bv2"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before="240" w:lineRule="auto"/>
              <w:rPr>
                <w:rFonts w:ascii="Times New Roman" w:cs="Times New Roman" w:eastAsia="Times New Roman" w:hAnsi="Times New Roman"/>
                <w:sz w:val="20"/>
                <w:szCs w:val="20"/>
              </w:rPr>
            </w:pPr>
            <w:bookmarkStart w:colFirst="0" w:colLast="0" w:name="_wzmoerbw3jdl"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bp4vpxo96sw"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e69gfa5dp2n"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before="240" w:lineRule="auto"/>
              <w:rPr>
                <w:rFonts w:ascii="Times New Roman" w:cs="Times New Roman" w:eastAsia="Times New Roman" w:hAnsi="Times New Roman"/>
                <w:sz w:val="20"/>
                <w:szCs w:val="20"/>
              </w:rPr>
            </w:pPr>
            <w:bookmarkStart w:colFirst="0" w:colLast="0" w:name="_ezpvjgl1x47l"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rjkby2qa1r2"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gmc4dnnuati"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before="240" w:lineRule="auto"/>
              <w:rPr>
                <w:rFonts w:ascii="Times New Roman" w:cs="Times New Roman" w:eastAsia="Times New Roman" w:hAnsi="Times New Roman"/>
                <w:sz w:val="20"/>
                <w:szCs w:val="20"/>
              </w:rPr>
            </w:pPr>
            <w:bookmarkStart w:colFirst="0" w:colLast="0" w:name="_v1w0q1s7mt0z"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5zxojb1tj8f"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uqafbwfsgku"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before="240" w:lineRule="auto"/>
              <w:rPr>
                <w:rFonts w:ascii="Times New Roman" w:cs="Times New Roman" w:eastAsia="Times New Roman" w:hAnsi="Times New Roman"/>
                <w:sz w:val="20"/>
                <w:szCs w:val="20"/>
              </w:rPr>
            </w:pPr>
            <w:bookmarkStart w:colFirst="0" w:colLast="0" w:name="_y4y54dgd1bic" w:id="88"/>
            <w:bookmarkEnd w:id="8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rseiznmzn2f"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hq5pxvrskdb"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before="240" w:lineRule="auto"/>
              <w:rPr>
                <w:rFonts w:ascii="Times New Roman" w:cs="Times New Roman" w:eastAsia="Times New Roman" w:hAnsi="Times New Roman"/>
                <w:sz w:val="20"/>
                <w:szCs w:val="20"/>
              </w:rPr>
            </w:pPr>
            <w:bookmarkStart w:colFirst="0" w:colLast="0" w:name="_z672jdghpy1p" w:id="91"/>
            <w:bookmarkEnd w:id="9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sc3uyv13rt" w:id="92"/>
            <w:bookmarkEnd w:id="9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4rzhrq03dkv" w:id="93"/>
            <w:bookmarkEnd w:id="9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before="240" w:lineRule="auto"/>
              <w:rPr>
                <w:rFonts w:ascii="Times New Roman" w:cs="Times New Roman" w:eastAsia="Times New Roman" w:hAnsi="Times New Roman"/>
                <w:sz w:val="20"/>
                <w:szCs w:val="20"/>
              </w:rPr>
            </w:pPr>
            <w:bookmarkStart w:colFirst="0" w:colLast="0" w:name="_3l89z5pv4b48" w:id="94"/>
            <w:bookmarkEnd w:id="9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unh6xut9nv4"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uy9t6kme8i7"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before="240" w:lineRule="auto"/>
              <w:rPr>
                <w:rFonts w:ascii="Times New Roman" w:cs="Times New Roman" w:eastAsia="Times New Roman" w:hAnsi="Times New Roman"/>
                <w:sz w:val="20"/>
                <w:szCs w:val="20"/>
              </w:rPr>
            </w:pPr>
            <w:bookmarkStart w:colFirst="0" w:colLast="0" w:name="_112g93fwo6wk" w:id="97"/>
            <w:bookmarkEnd w:id="9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6xeuh9f4f0f"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vajim108vxn"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before="240" w:lineRule="auto"/>
              <w:rPr>
                <w:rFonts w:ascii="Times New Roman" w:cs="Times New Roman" w:eastAsia="Times New Roman" w:hAnsi="Times New Roman"/>
                <w:sz w:val="20"/>
                <w:szCs w:val="20"/>
              </w:rPr>
            </w:pPr>
            <w:bookmarkStart w:colFirst="0" w:colLast="0" w:name="_mr33wjwe7o8x" w:id="100"/>
            <w:bookmarkEnd w:id="10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y9mir6me0sq"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45fi34dg9y9"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sz w:val="20"/>
                <w:szCs w:val="20"/>
              </w:rPr>
            </w:pPr>
            <w:bookmarkStart w:colFirst="0" w:colLast="0" w:name="_ja83sgjnx9h" w:id="103"/>
            <w:bookmarkEnd w:id="10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fpwwm9oj5kd"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7e110ic3zj3" w:id="105"/>
            <w:bookmarkEnd w:id="10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before="240" w:lineRule="auto"/>
              <w:rPr>
                <w:rFonts w:ascii="Times New Roman" w:cs="Times New Roman" w:eastAsia="Times New Roman" w:hAnsi="Times New Roman"/>
                <w:sz w:val="20"/>
                <w:szCs w:val="20"/>
              </w:rPr>
            </w:pPr>
            <w:bookmarkStart w:colFirst="0" w:colLast="0" w:name="_8ye2ujateq1e" w:id="106"/>
            <w:bookmarkEnd w:id="10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e7l4avv6d3n" w:id="107"/>
            <w:bookmarkEnd w:id="10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8or1omwuisg" w:id="108"/>
            <w:bookmarkEnd w:id="108"/>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before="240" w:lineRule="auto"/>
              <w:rPr>
                <w:rFonts w:ascii="Times New Roman" w:cs="Times New Roman" w:eastAsia="Times New Roman" w:hAnsi="Times New Roman"/>
                <w:sz w:val="20"/>
                <w:szCs w:val="20"/>
              </w:rPr>
            </w:pPr>
            <w:bookmarkStart w:colFirst="0" w:colLast="0" w:name="_8ke3ezoosm2k" w:id="109"/>
            <w:bookmarkEnd w:id="109"/>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before="240" w:lineRule="auto"/>
              <w:rPr>
                <w:rFonts w:ascii="Times New Roman" w:cs="Times New Roman" w:eastAsia="Times New Roman" w:hAnsi="Times New Roman"/>
                <w:sz w:val="20"/>
                <w:szCs w:val="20"/>
              </w:rPr>
            </w:pPr>
            <w:bookmarkStart w:colFirst="0" w:colLast="0" w:name="_5xjfj1eiz3d1" w:id="110"/>
            <w:bookmarkEnd w:id="11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130. The Panel sent letters to Kenya and Uganda, through their permanent missions to the United Nations, regarding the implementation of asset freeze measures and requests related to the ownership of properties in Nairobi and Kampala. 194 To date, the Panel has received no responses. However, while investigating the assets of eight designated individuals, the Panel corroborated information that Lieutenant General Jok Riak had purchased a house in Kampala through a business proxy who was acting on his behalf.195 The Panel notes in this regard that the criteria established by the Security Council to impose individual sanctions include acting for or on behalf of, directly or indirectly, an individual or entity designated by the Committee (resolution 2428 (2018), para. 14 (i)).</w:t>
            </w:r>
            <w:r w:rsidDel="00000000" w:rsidR="00000000" w:rsidRPr="00000000">
              <w:rPr>
                <w:rtl w:val="0"/>
              </w:rPr>
            </w:r>
          </w:p>
          <w:p w:rsidR="00000000" w:rsidDel="00000000" w:rsidP="00000000" w:rsidRDefault="00000000" w:rsidRPr="00000000" w14:paraId="0000014C">
            <w:pPr>
              <w:spacing w:after="0" w:before="0" w:line="240" w:lineRule="auto"/>
              <w:rPr/>
            </w:pPr>
            <w:r w:rsidDel="00000000" w:rsidR="00000000" w:rsidRPr="00000000">
              <w:rPr>
                <w:rtl w:val="0"/>
              </w:rPr>
            </w:r>
          </w:p>
          <w:p w:rsidR="00000000" w:rsidDel="00000000" w:rsidP="00000000" w:rsidRDefault="00000000" w:rsidRPr="00000000" w14:paraId="0000014D">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April 2020, S/2020/342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Use of Family Members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203. Based on company records from 2015, the Panel has identified 16 entities linked to Paul Malong Awan (SSi.008) or his immediate relatives. Six of these companies are linked to his wife, Ajok Wol Atak Deng,213 with another nine companies linked to his children. The Panel has confirmed that one of these companies, Golden Star Holdings Clearance Agency Ltd, had its South Sudanese accounts frozen with a balance of SSP 1,651,985,52 as at June 2018, before Malong was sanctioned by the Security Council through the adoption of resolution 2428 (2018). The Panel has also confirmed that Ajok Wol Atak Deng owns property in Nairobi.</w:t>
            </w:r>
            <w:r w:rsidDel="00000000" w:rsidR="00000000" w:rsidRPr="00000000">
              <w:rPr>
                <w:rtl w:val="0"/>
              </w:rPr>
            </w:r>
          </w:p>
          <w:p w:rsidR="00000000" w:rsidDel="00000000" w:rsidP="00000000" w:rsidRDefault="00000000" w:rsidRPr="00000000" w14:paraId="00000153">
            <w:pPr>
              <w:spacing w:after="0" w:before="0" w:line="240" w:lineRule="auto"/>
              <w:rPr/>
            </w:pPr>
            <w:r w:rsidDel="00000000" w:rsidR="00000000" w:rsidRPr="00000000">
              <w:rPr>
                <w:rtl w:val="0"/>
              </w:rPr>
            </w:r>
          </w:p>
          <w:p w:rsidR="00000000" w:rsidDel="00000000" w:rsidP="00000000" w:rsidRDefault="00000000" w:rsidRPr="00000000" w14:paraId="00000154">
            <w:pPr>
              <w:spacing w:after="0" w:before="0" w:line="240" w:lineRule="auto"/>
              <w:rPr/>
            </w:pPr>
            <w:r w:rsidDel="00000000" w:rsidR="00000000" w:rsidRPr="00000000">
              <w:rPr>
                <w:rFonts w:ascii="Times New Roman" w:cs="Times New Roman" w:eastAsia="Times New Roman" w:hAnsi="Times New Roman"/>
                <w:sz w:val="20"/>
                <w:szCs w:val="20"/>
                <w:rtl w:val="0"/>
              </w:rPr>
              <w:t xml:space="preserve">9 April 2019, S/2019/301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Use of Family Members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204. Company records from 2015 also link Malek Riak Reuben Rengu (SSi.007) to a broad commercial network of at least 23 companies, including in the engineering and energy sectors. In addition to direct ownership, a number of these companies are owned by his children, with several children also appearing as directors of companies he owns. Most prominent are six companies partially owned by his daughter, Christine Malek Reuben Riak. 205. The Panel has confirmed that Malek Riak Reuben Rengu (SSi.007) benefits from “ABC Progressive Private School Co. Ltd” with his daughter, Diana Malek Reuben, also owning 15 per cent and serving as Director General of the company. “ABC Progressive Private School Co. Ltd” is a private school located in Juba, with fees of around $450 per semester.214</w:t>
            </w:r>
            <w:r w:rsidDel="00000000" w:rsidR="00000000" w:rsidRPr="00000000">
              <w:rPr>
                <w:rtl w:val="0"/>
              </w:rPr>
            </w:r>
          </w:p>
          <w:p w:rsidR="00000000" w:rsidDel="00000000" w:rsidP="00000000" w:rsidRDefault="00000000" w:rsidRPr="00000000" w14:paraId="0000015A">
            <w:pPr>
              <w:spacing w:after="0" w:before="0" w:line="240" w:lineRule="auto"/>
              <w:rPr/>
            </w:pPr>
            <w:r w:rsidDel="00000000" w:rsidR="00000000" w:rsidRPr="00000000">
              <w:rPr>
                <w:rtl w:val="0"/>
              </w:rPr>
            </w:r>
          </w:p>
          <w:p w:rsidR="00000000" w:rsidDel="00000000" w:rsidP="00000000" w:rsidRDefault="00000000" w:rsidRPr="00000000" w14:paraId="0000015B">
            <w:pPr>
              <w:spacing w:after="0" w:before="0" w:line="240" w:lineRule="auto"/>
              <w:rPr/>
            </w:pPr>
            <w:r w:rsidDel="00000000" w:rsidR="00000000" w:rsidRPr="00000000">
              <w:rPr>
                <w:rFonts w:ascii="Times New Roman" w:cs="Times New Roman" w:eastAsia="Times New Roman" w:hAnsi="Times New Roman"/>
                <w:sz w:val="20"/>
                <w:szCs w:val="20"/>
                <w:rtl w:val="0"/>
              </w:rPr>
              <w:t xml:space="preserve">9 April 2019, S/2019/301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before="240" w:lineRule="auto"/>
              <w:rPr>
                <w:rFonts w:ascii="Times New Roman" w:cs="Times New Roman" w:eastAsia="Times New Roman" w:hAnsi="Times New Roman"/>
                <w:sz w:val="20"/>
                <w:szCs w:val="20"/>
              </w:rPr>
            </w:pPr>
            <w:bookmarkStart w:colFirst="0" w:colLast="0" w:name="_mxo88kjdnplq" w:id="111"/>
            <w:bookmarkEnd w:id="11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ckwtigbgzkr" w:id="112"/>
            <w:bookmarkEnd w:id="1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h67o84j27yz" w:id="113"/>
            <w:bookmarkEnd w:id="1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before="240" w:lineRule="auto"/>
              <w:rPr>
                <w:rFonts w:ascii="Times New Roman" w:cs="Times New Roman" w:eastAsia="Times New Roman" w:hAnsi="Times New Roman"/>
                <w:sz w:val="20"/>
                <w:szCs w:val="20"/>
              </w:rPr>
            </w:pPr>
            <w:bookmarkStart w:colFirst="0" w:colLast="0" w:name="_8pqfxe1mkjxk" w:id="114"/>
            <w:bookmarkEnd w:id="11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6e64e74qwtj" w:id="115"/>
            <w:bookmarkEnd w:id="1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zt1lxqq2hct" w:id="116"/>
            <w:bookmarkEnd w:id="1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before="240" w:lineRule="auto"/>
              <w:rPr>
                <w:rFonts w:ascii="Times New Roman" w:cs="Times New Roman" w:eastAsia="Times New Roman" w:hAnsi="Times New Roman"/>
                <w:sz w:val="20"/>
                <w:szCs w:val="20"/>
              </w:rPr>
            </w:pPr>
            <w:bookmarkStart w:colFirst="0" w:colLast="0" w:name="_jjirawm5vbm0" w:id="117"/>
            <w:bookmarkEnd w:id="11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6k94xyqnpv7" w:id="118"/>
            <w:bookmarkEnd w:id="1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ndj4pkdtqjq" w:id="119"/>
            <w:bookmarkEnd w:id="1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before="240" w:lineRule="auto"/>
              <w:rPr>
                <w:rFonts w:ascii="Times New Roman" w:cs="Times New Roman" w:eastAsia="Times New Roman" w:hAnsi="Times New Roman"/>
                <w:sz w:val="20"/>
                <w:szCs w:val="20"/>
              </w:rPr>
            </w:pPr>
            <w:bookmarkStart w:colFirst="0" w:colLast="0" w:name="_w8pnv6xfep6n" w:id="120"/>
            <w:bookmarkEnd w:id="12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i9uc7h1ln36" w:id="121"/>
            <w:bookmarkEnd w:id="1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0smxklizhrg" w:id="122"/>
            <w:bookmarkEnd w:id="1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before="240" w:lineRule="auto"/>
              <w:rPr>
                <w:rFonts w:ascii="Times New Roman" w:cs="Times New Roman" w:eastAsia="Times New Roman" w:hAnsi="Times New Roman"/>
                <w:sz w:val="20"/>
                <w:szCs w:val="20"/>
              </w:rPr>
            </w:pPr>
            <w:bookmarkStart w:colFirst="0" w:colLast="0" w:name="_ze092hrunttx" w:id="123"/>
            <w:bookmarkEnd w:id="12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1b39mm8b73d" w:id="124"/>
            <w:bookmarkEnd w:id="1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8901kmkbfq1" w:id="125"/>
            <w:bookmarkEnd w:id="1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before="240" w:lineRule="auto"/>
              <w:rPr>
                <w:rFonts w:ascii="Times New Roman" w:cs="Times New Roman" w:eastAsia="Times New Roman" w:hAnsi="Times New Roman"/>
                <w:sz w:val="20"/>
                <w:szCs w:val="20"/>
              </w:rPr>
            </w:pPr>
            <w:bookmarkStart w:colFirst="0" w:colLast="0" w:name="_v7cja916kh90" w:id="126"/>
            <w:bookmarkEnd w:id="12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5npfwi8jj46" w:id="127"/>
            <w:bookmarkEnd w:id="1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nk0hxiw5zao" w:id="128"/>
            <w:bookmarkEnd w:id="12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before="240" w:lineRule="auto"/>
              <w:rPr>
                <w:rFonts w:ascii="Times New Roman" w:cs="Times New Roman" w:eastAsia="Times New Roman" w:hAnsi="Times New Roman"/>
                <w:sz w:val="20"/>
                <w:szCs w:val="20"/>
              </w:rPr>
            </w:pPr>
            <w:bookmarkStart w:colFirst="0" w:colLast="0" w:name="_nihq3kfyxoda" w:id="129"/>
            <w:bookmarkEnd w:id="12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9ctetkzp05d" w:id="130"/>
            <w:bookmarkEnd w:id="1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pvsux934u9w" w:id="131"/>
            <w:bookmarkEnd w:id="13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before="240" w:lineRule="auto"/>
              <w:rPr>
                <w:rFonts w:ascii="Times New Roman" w:cs="Times New Roman" w:eastAsia="Times New Roman" w:hAnsi="Times New Roman"/>
                <w:sz w:val="20"/>
                <w:szCs w:val="20"/>
              </w:rPr>
            </w:pPr>
            <w:bookmarkStart w:colFirst="0" w:colLast="0" w:name="_54b0a45bjspa" w:id="132"/>
            <w:bookmarkEnd w:id="13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u4y18h4d5it" w:id="133"/>
            <w:bookmarkEnd w:id="1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ng5bu8n4blw" w:id="134"/>
            <w:bookmarkEnd w:id="1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before="240" w:lineRule="auto"/>
              <w:rPr>
                <w:rFonts w:ascii="Times New Roman" w:cs="Times New Roman" w:eastAsia="Times New Roman" w:hAnsi="Times New Roman"/>
                <w:sz w:val="20"/>
                <w:szCs w:val="20"/>
              </w:rPr>
            </w:pPr>
            <w:bookmarkStart w:colFirst="0" w:colLast="0" w:name="_j4r8gdypokbc" w:id="135"/>
            <w:bookmarkEnd w:id="13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1neyi9to72w" w:id="136"/>
            <w:bookmarkEnd w:id="1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r72w133pyfd" w:id="137"/>
            <w:bookmarkEnd w:id="1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before="240" w:lineRule="auto"/>
              <w:rPr>
                <w:rFonts w:ascii="Times New Roman" w:cs="Times New Roman" w:eastAsia="Times New Roman" w:hAnsi="Times New Roman"/>
                <w:sz w:val="20"/>
                <w:szCs w:val="20"/>
              </w:rPr>
            </w:pPr>
            <w:bookmarkStart w:colFirst="0" w:colLast="0" w:name="_t6489sg9mjbr" w:id="138"/>
            <w:bookmarkEnd w:id="138"/>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before="240" w:lineRule="auto"/>
              <w:rPr>
                <w:rFonts w:ascii="Times New Roman" w:cs="Times New Roman" w:eastAsia="Times New Roman" w:hAnsi="Times New Roman"/>
                <w:sz w:val="20"/>
                <w:szCs w:val="20"/>
              </w:rPr>
            </w:pPr>
            <w:bookmarkStart w:colFirst="0" w:colLast="0" w:name="_tl8px49qhu57" w:id="139"/>
            <w:bookmarkEnd w:id="13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ag1w4hrl54c" w:id="140"/>
            <w:bookmarkEnd w:id="1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oa7zru26vf1" w:id="141"/>
            <w:bookmarkEnd w:id="1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before="240" w:lineRule="auto"/>
              <w:rPr>
                <w:rFonts w:ascii="Times New Roman" w:cs="Times New Roman" w:eastAsia="Times New Roman" w:hAnsi="Times New Roman"/>
                <w:sz w:val="20"/>
                <w:szCs w:val="20"/>
              </w:rPr>
            </w:pPr>
            <w:bookmarkStart w:colFirst="0" w:colLast="0" w:name="_kv1l51c0lote" w:id="142"/>
            <w:bookmarkEnd w:id="14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hvezrre96wp" w:id="143"/>
            <w:bookmarkEnd w:id="1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29kbikid000" w:id="144"/>
            <w:bookmarkEnd w:id="1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before="240" w:lineRule="auto"/>
              <w:rPr>
                <w:rFonts w:ascii="Times New Roman" w:cs="Times New Roman" w:eastAsia="Times New Roman" w:hAnsi="Times New Roman"/>
                <w:sz w:val="20"/>
                <w:szCs w:val="20"/>
              </w:rPr>
            </w:pPr>
            <w:bookmarkStart w:colFirst="0" w:colLast="0" w:name="_4g3ec27f7ltn" w:id="145"/>
            <w:bookmarkEnd w:id="14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jxi6fw18wtl" w:id="146"/>
            <w:bookmarkEnd w:id="1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yjkh24qy59o" w:id="147"/>
            <w:bookmarkEnd w:id="1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before="240" w:lineRule="auto"/>
              <w:rPr>
                <w:rFonts w:ascii="Times New Roman" w:cs="Times New Roman" w:eastAsia="Times New Roman" w:hAnsi="Times New Roman"/>
                <w:sz w:val="20"/>
                <w:szCs w:val="20"/>
              </w:rPr>
            </w:pPr>
            <w:bookmarkStart w:colFirst="0" w:colLast="0" w:name="_y0dfptjk1g1m" w:id="148"/>
            <w:bookmarkEnd w:id="14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9v234xwtfme" w:id="149"/>
            <w:bookmarkEnd w:id="1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p5yx9bndn5" w:id="150"/>
            <w:bookmarkEnd w:id="1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before="240" w:lineRule="auto"/>
              <w:rPr>
                <w:rFonts w:ascii="Times New Roman" w:cs="Times New Roman" w:eastAsia="Times New Roman" w:hAnsi="Times New Roman"/>
                <w:sz w:val="20"/>
                <w:szCs w:val="20"/>
              </w:rPr>
            </w:pPr>
            <w:bookmarkStart w:colFirst="0" w:colLast="0" w:name="_ujpmz5o239i6" w:id="151"/>
            <w:bookmarkEnd w:id="15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qqnndj9gys5" w:id="152"/>
            <w:bookmarkEnd w:id="1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tlrrby1u4d" w:id="153"/>
            <w:bookmarkEnd w:id="1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before="240" w:lineRule="auto"/>
              <w:rPr>
                <w:rFonts w:ascii="Times New Roman" w:cs="Times New Roman" w:eastAsia="Times New Roman" w:hAnsi="Times New Roman"/>
                <w:sz w:val="20"/>
                <w:szCs w:val="20"/>
              </w:rPr>
            </w:pPr>
            <w:bookmarkStart w:colFirst="0" w:colLast="0" w:name="_46us2nte24xd" w:id="154"/>
            <w:bookmarkEnd w:id="154"/>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He also travelled from South Sudan to Kampala, where, on 26 August 2018, he attended an alumni dinner at Cavendish University Uganda. 3</w:t>
            </w:r>
            <w:r w:rsidDel="00000000" w:rsidR="00000000" w:rsidRPr="00000000">
              <w:rPr>
                <w:rtl w:val="0"/>
              </w:rPr>
            </w:r>
          </w:p>
          <w:p w:rsidR="00000000" w:rsidDel="00000000" w:rsidP="00000000" w:rsidRDefault="00000000" w:rsidRPr="00000000" w14:paraId="000001A7">
            <w:pPr>
              <w:spacing w:after="0" w:before="0" w:line="240" w:lineRule="auto"/>
              <w:rPr/>
            </w:pPr>
            <w:r w:rsidDel="00000000" w:rsidR="00000000" w:rsidRPr="00000000">
              <w:rPr>
                <w:rtl w:val="0"/>
              </w:rPr>
            </w:r>
          </w:p>
          <w:p w:rsidR="00000000" w:rsidDel="00000000" w:rsidP="00000000" w:rsidRDefault="00000000" w:rsidRPr="00000000" w14:paraId="000001A8">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November 2018, S/2018/1049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Jok Riak travelled from South Sudan to Khartoum in early October 2018, where he: • On 2 October, attended bilateral military meetings with his Sudanese counterpart, Kamal Abdel Marouf al-Mahi; Sudanese Defence Minister Awad Ibn Ouf; and SPLM-IO Chief of Staff Simon Gatwech Dual, who is also subject to a travel ban (SSi.002)4 • On 4 October, in the Shakhout area, attended a military drill alongside the Army Chief of Staff of the Sudan, Kamal Abdel Marouf al-Mahi5 • On 6 October, signed, with the Army Chief of Staff of the Sudan, an agreement for the establishment of a buffer zone on the shared border</w:t>
            </w:r>
            <w:r w:rsidDel="00000000" w:rsidR="00000000" w:rsidRPr="00000000">
              <w:rPr>
                <w:rtl w:val="0"/>
              </w:rPr>
            </w:r>
          </w:p>
          <w:p w:rsidR="00000000" w:rsidDel="00000000" w:rsidP="00000000" w:rsidRDefault="00000000" w:rsidRPr="00000000" w14:paraId="000001AE">
            <w:pPr>
              <w:spacing w:after="0" w:before="0" w:line="240" w:lineRule="auto"/>
              <w:rPr/>
            </w:pPr>
            <w:r w:rsidDel="00000000" w:rsidR="00000000" w:rsidRPr="00000000">
              <w:rPr>
                <w:rtl w:val="0"/>
              </w:rPr>
            </w:r>
          </w:p>
          <w:p w:rsidR="00000000" w:rsidDel="00000000" w:rsidP="00000000" w:rsidRDefault="00000000" w:rsidRPr="00000000" w14:paraId="000001AF">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November 2018, S/2018/1049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The Panel continued to monitor the implementation of the travel ban. During the reporting period, the Panel established that Gabriel Jok Riak (SSi.001) participated in the East African Community military games and cultural events, which were held in Nairobi between 11 and 26 August 2019, in the absence of a request for a travel ban exemption by the Kenyan authorities to the Committee (see annex VII).</w:t>
            </w:r>
            <w:r w:rsidDel="00000000" w:rsidR="00000000" w:rsidRPr="00000000">
              <w:rPr>
                <w:rtl w:val="0"/>
              </w:rPr>
            </w:r>
          </w:p>
          <w:p w:rsidR="00000000" w:rsidDel="00000000" w:rsidP="00000000" w:rsidRDefault="00000000" w:rsidRPr="00000000" w14:paraId="000001B5">
            <w:pPr>
              <w:spacing w:after="0" w:before="0" w:line="240" w:lineRule="auto"/>
              <w:rPr/>
            </w:pPr>
            <w:r w:rsidDel="00000000" w:rsidR="00000000" w:rsidRPr="00000000">
              <w:rPr>
                <w:rtl w:val="0"/>
              </w:rPr>
            </w:r>
          </w:p>
          <w:p w:rsidR="00000000" w:rsidDel="00000000" w:rsidP="00000000" w:rsidRDefault="00000000" w:rsidRPr="00000000" w14:paraId="000001B6">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2019, S/2019/897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According to corroborated information gathered by the Panel, Paul Malong Awan (SSi.008) travelled from Nairobi to Johannesburg, South Africa, on 2 July 2019 on a Kenya Airways flight. He returned to Nairobi from Johannesburg on 13 July 2019 on a Kenya Airways flight and travelled using a Ugandan diplomatic passport (No. DA025963).75</w:t>
            </w:r>
            <w:r w:rsidDel="00000000" w:rsidR="00000000" w:rsidRPr="00000000">
              <w:rPr>
                <w:rtl w:val="0"/>
              </w:rPr>
            </w:r>
          </w:p>
          <w:p w:rsidR="00000000" w:rsidDel="00000000" w:rsidP="00000000" w:rsidRDefault="00000000" w:rsidRPr="00000000" w14:paraId="000001BC">
            <w:pPr>
              <w:spacing w:after="0" w:before="0" w:line="240" w:lineRule="auto"/>
              <w:rPr/>
            </w:pPr>
            <w:r w:rsidDel="00000000" w:rsidR="00000000" w:rsidRPr="00000000">
              <w:rPr>
                <w:rtl w:val="0"/>
              </w:rPr>
            </w:r>
          </w:p>
          <w:p w:rsidR="00000000" w:rsidDel="00000000" w:rsidP="00000000" w:rsidRDefault="00000000" w:rsidRPr="00000000" w14:paraId="000001BD">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November 2019, S/2019/897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 On 3 August 2021, former SPLA-IO Chief of General Staff and sanctioned individual Simon Gatwech Dual (SSi.002) and Upper Nile-based Shilluk commander Johnson Olony split from the Vice-President to form the “Kit-Gwang” group. Mr. Gatwech and Mr. Olony later travelled to Khartoum to meet with Tut Kew Gatluak Manime, a security adviser to the President, Salva Kiir Mayardit, and negotiate an agreement on the integration of their forces. 5 The creation of the Kit-Gwang group led to serious clashes, in particular in Upper Nile State, between Kit-Gwang forces now allied to the South Sudan People’s Defence Forces and remaining pro-Machar forces.6 In March 2022, some members within the group defected to the South Sudan People’s Defence Forces,7 although the integration of other Kit-Gwang forces was reportedly slow, to the reported frustration of some commanders. 8</w:t>
            </w:r>
            <w:r w:rsidDel="00000000" w:rsidR="00000000" w:rsidRPr="00000000">
              <w:rPr>
                <w:rtl w:val="0"/>
              </w:rPr>
            </w:r>
          </w:p>
          <w:p w:rsidR="00000000" w:rsidDel="00000000" w:rsidP="00000000" w:rsidRDefault="00000000" w:rsidRPr="00000000" w14:paraId="000001C3">
            <w:pPr>
              <w:spacing w:after="0" w:before="0" w:line="240" w:lineRule="auto"/>
              <w:rPr/>
            </w:pPr>
            <w:r w:rsidDel="00000000" w:rsidR="00000000" w:rsidRPr="00000000">
              <w:rPr>
                <w:rtl w:val="0"/>
              </w:rPr>
            </w:r>
          </w:p>
          <w:p w:rsidR="00000000" w:rsidDel="00000000" w:rsidP="00000000" w:rsidRDefault="00000000" w:rsidRPr="00000000" w14:paraId="000001C4">
            <w:pPr>
              <w:spacing w:after="0" w:before="0" w:line="240" w:lineRule="auto"/>
              <w:rPr/>
            </w:pPr>
            <w:r w:rsidDel="00000000" w:rsidR="00000000" w:rsidRPr="00000000">
              <w:rPr>
                <w:rFonts w:ascii="Times New Roman" w:cs="Times New Roman" w:eastAsia="Times New Roman" w:hAnsi="Times New Roman"/>
                <w:sz w:val="20"/>
                <w:szCs w:val="20"/>
                <w:rtl w:val="0"/>
              </w:rPr>
              <w:t xml:space="preserve">28 April 2022, S/2022/359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 review;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200. The Panel noted, however, one additional violation of the travel ban by Malek Reuben Riak Rengu (SSi.007) in November 2018, with no exemption request having been received. He travelled to Khartoum at the time of a meeting of the Strategic Defence and Security Review Board on 29 November 2018.</w:t>
            </w:r>
            <w:r w:rsidDel="00000000" w:rsidR="00000000" w:rsidRPr="00000000">
              <w:rPr>
                <w:rtl w:val="0"/>
              </w:rPr>
            </w:r>
          </w:p>
          <w:p w:rsidR="00000000" w:rsidDel="00000000" w:rsidP="00000000" w:rsidRDefault="00000000" w:rsidRPr="00000000" w14:paraId="000001CA">
            <w:pPr>
              <w:spacing w:after="0" w:before="0" w:line="240" w:lineRule="auto"/>
              <w:rPr/>
            </w:pPr>
            <w:r w:rsidDel="00000000" w:rsidR="00000000" w:rsidRPr="00000000">
              <w:rPr>
                <w:rtl w:val="0"/>
              </w:rPr>
            </w:r>
          </w:p>
          <w:p w:rsidR="00000000" w:rsidDel="00000000" w:rsidP="00000000" w:rsidRDefault="00000000" w:rsidRPr="00000000" w14:paraId="000001CB">
            <w:pPr>
              <w:spacing w:after="0" w:before="0" w:line="240" w:lineRule="auto"/>
              <w:rPr/>
            </w:pPr>
            <w:r w:rsidDel="00000000" w:rsidR="00000000" w:rsidRPr="00000000">
              <w:rPr>
                <w:rFonts w:ascii="Times New Roman" w:cs="Times New Roman" w:eastAsia="Times New Roman" w:hAnsi="Times New Roman"/>
                <w:sz w:val="20"/>
                <w:szCs w:val="20"/>
                <w:rtl w:val="0"/>
              </w:rPr>
              <w:t xml:space="preserve">9 April 2019, S/2019/301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 review;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On 28 September 2024, the SSPDF Chief of Defence Forces, Santino Deng Wol (SSi.004), travelled to Uganda to meet with his UPDF counterpart, General Muhoozi Kainerugaba.84 In a press release, SSPDF noted that the parties had agreed that the “UPDF stops further encroachment on South Sudan territories.” 59. Santino Deng Wol (SSi.004) has been subject to a travel ban since 1 July 2015, further to the sanctions regime established by the Security Council in its resolution 2206 (2015). No exemption request was submitted further to the provisions of paragraph 11 of resolution 2206 (2015), and his travel therefore amounts to a violation of the travel ban.</w:t>
            </w:r>
            <w:r w:rsidDel="00000000" w:rsidR="00000000" w:rsidRPr="00000000">
              <w:rPr>
                <w:rtl w:val="0"/>
              </w:rPr>
            </w:r>
          </w:p>
          <w:p w:rsidR="00000000" w:rsidDel="00000000" w:rsidP="00000000" w:rsidRDefault="00000000" w:rsidRPr="00000000" w14:paraId="000001D1">
            <w:pPr>
              <w:spacing w:after="0" w:before="0" w:line="240" w:lineRule="auto"/>
              <w:rPr/>
            </w:pPr>
            <w:r w:rsidDel="00000000" w:rsidR="00000000" w:rsidRPr="00000000">
              <w:rPr>
                <w:rtl w:val="0"/>
              </w:rPr>
            </w:r>
          </w:p>
          <w:p w:rsidR="00000000" w:rsidDel="00000000" w:rsidP="00000000" w:rsidRDefault="00000000" w:rsidRPr="00000000" w14:paraId="000001D2">
            <w:pPr>
              <w:spacing w:after="0" w:before="0" w:line="240" w:lineRule="auto"/>
              <w:rPr/>
            </w:pPr>
            <w:r w:rsidDel="00000000" w:rsidR="00000000" w:rsidRPr="00000000">
              <w:rPr>
                <w:rFonts w:ascii="Times New Roman" w:cs="Times New Roman" w:eastAsia="Times New Roman" w:hAnsi="Times New Roman"/>
                <w:sz w:val="20"/>
                <w:szCs w:val="20"/>
                <w:rtl w:val="0"/>
              </w:rPr>
              <w:t xml:space="preserve">3 March 2024, S/2024/855/Rev.1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crqkph28z5" w:id="155"/>
            <w:bookmarkEnd w:id="155"/>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4zh32d3r6t2" w:id="156"/>
            <w:bookmarkEnd w:id="1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before="240" w:lineRule="auto"/>
              <w:rPr>
                <w:rFonts w:ascii="Times New Roman" w:cs="Times New Roman" w:eastAsia="Times New Roman" w:hAnsi="Times New Roman"/>
                <w:sz w:val="20"/>
                <w:szCs w:val="20"/>
              </w:rPr>
            </w:pPr>
            <w:bookmarkStart w:colFirst="0" w:colLast="0" w:name="_akatcrxb5c50" w:id="157"/>
            <w:bookmarkEnd w:id="157"/>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before="240" w:lineRule="auto"/>
              <w:rPr>
                <w:rFonts w:ascii="Times New Roman" w:cs="Times New Roman" w:eastAsia="Times New Roman" w:hAnsi="Times New Roman"/>
                <w:sz w:val="20"/>
                <w:szCs w:val="20"/>
              </w:rPr>
            </w:pPr>
            <w:bookmarkStart w:colFirst="0" w:colLast="0" w:name="_9b2usyb401rm" w:id="158"/>
            <w:bookmarkEnd w:id="15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3sp7tgxneb3" w:id="159"/>
            <w:bookmarkEnd w:id="1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yjqo84hkg99" w:id="160"/>
            <w:bookmarkEnd w:id="1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before="240" w:lineRule="auto"/>
              <w:rPr>
                <w:rFonts w:ascii="Times New Roman" w:cs="Times New Roman" w:eastAsia="Times New Roman" w:hAnsi="Times New Roman"/>
                <w:sz w:val="20"/>
                <w:szCs w:val="20"/>
              </w:rPr>
            </w:pPr>
            <w:bookmarkStart w:colFirst="0" w:colLast="0" w:name="_cg1u03tfbi25" w:id="161"/>
            <w:bookmarkEnd w:id="16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9f8m280chdx" w:id="162"/>
            <w:bookmarkEnd w:id="1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kpxh6szbacd" w:id="163"/>
            <w:bookmarkEnd w:id="1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before="240" w:lineRule="auto"/>
              <w:rPr>
                <w:rFonts w:ascii="Times New Roman" w:cs="Times New Roman" w:eastAsia="Times New Roman" w:hAnsi="Times New Roman"/>
                <w:sz w:val="20"/>
                <w:szCs w:val="20"/>
              </w:rPr>
            </w:pPr>
            <w:bookmarkStart w:colFirst="0" w:colLast="0" w:name="_ja97c7pqb4ua" w:id="164"/>
            <w:bookmarkEnd w:id="16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5b01aseubdh" w:id="165"/>
            <w:bookmarkEnd w:id="1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cysoab0pfwl" w:id="166"/>
            <w:bookmarkEnd w:id="1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before="240" w:lineRule="auto"/>
              <w:rPr>
                <w:rFonts w:ascii="Times New Roman" w:cs="Times New Roman" w:eastAsia="Times New Roman" w:hAnsi="Times New Roman"/>
                <w:sz w:val="20"/>
                <w:szCs w:val="20"/>
              </w:rPr>
            </w:pPr>
            <w:bookmarkStart w:colFirst="0" w:colLast="0" w:name="_azjcuosawg75" w:id="167"/>
            <w:bookmarkEnd w:id="16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9snjk3nlf3s" w:id="168"/>
            <w:bookmarkEnd w:id="1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jozw6lzswd3" w:id="169"/>
            <w:bookmarkEnd w:id="1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before="240" w:lineRule="auto"/>
              <w:rPr>
                <w:rFonts w:ascii="Times New Roman" w:cs="Times New Roman" w:eastAsia="Times New Roman" w:hAnsi="Times New Roman"/>
                <w:sz w:val="20"/>
                <w:szCs w:val="20"/>
              </w:rPr>
            </w:pPr>
            <w:bookmarkStart w:colFirst="0" w:colLast="0" w:name="_x56tx3yzzhl" w:id="170"/>
            <w:bookmarkEnd w:id="17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8wmyg7nidz" w:id="171"/>
            <w:bookmarkEnd w:id="1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ib3x6pmr3k" w:id="172"/>
            <w:bookmarkEnd w:id="1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before="240" w:lineRule="auto"/>
              <w:rPr>
                <w:rFonts w:ascii="Times New Roman" w:cs="Times New Roman" w:eastAsia="Times New Roman" w:hAnsi="Times New Roman"/>
                <w:sz w:val="20"/>
                <w:szCs w:val="20"/>
              </w:rPr>
            </w:pPr>
            <w:bookmarkStart w:colFirst="0" w:colLast="0" w:name="_jd08dobmxzqq" w:id="173"/>
            <w:bookmarkEnd w:id="17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c6qo579yu8f" w:id="174"/>
            <w:bookmarkEnd w:id="1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4ost0nu5dnu" w:id="175"/>
            <w:bookmarkEnd w:id="1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before="240" w:lineRule="auto"/>
              <w:rPr>
                <w:rFonts w:ascii="Times New Roman" w:cs="Times New Roman" w:eastAsia="Times New Roman" w:hAnsi="Times New Roman"/>
                <w:sz w:val="20"/>
                <w:szCs w:val="20"/>
              </w:rPr>
            </w:pPr>
            <w:bookmarkStart w:colFirst="0" w:colLast="0" w:name="_q293qtdictdb" w:id="176"/>
            <w:bookmarkEnd w:id="17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ynuxqv4lfng" w:id="177"/>
            <w:bookmarkEnd w:id="1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eaafw5kpvpe" w:id="178"/>
            <w:bookmarkEnd w:id="1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before="240" w:lineRule="auto"/>
              <w:rPr>
                <w:rFonts w:ascii="Times New Roman" w:cs="Times New Roman" w:eastAsia="Times New Roman" w:hAnsi="Times New Roman"/>
                <w:sz w:val="20"/>
                <w:szCs w:val="20"/>
              </w:rPr>
            </w:pPr>
            <w:bookmarkStart w:colFirst="0" w:colLast="0" w:name="_l3zk3iis2zt8" w:id="179"/>
            <w:bookmarkEnd w:id="17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2qe9ps9mbrn" w:id="180"/>
            <w:bookmarkEnd w:id="1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yjwrwqugkdt" w:id="181"/>
            <w:bookmarkEnd w:id="181"/>
            <w:r w:rsidDel="00000000" w:rsidR="00000000" w:rsidRPr="00000000">
              <w:rPr>
                <w:rtl w:val="0"/>
              </w:rPr>
            </w:r>
          </w:p>
        </w:tc>
      </w:tr>
    </w:tbl>
    <w:p w:rsidR="00000000" w:rsidDel="00000000" w:rsidP="00000000" w:rsidRDefault="00000000" w:rsidRPr="00000000" w14:paraId="00000200">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