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84CD" w14:textId="77777777" w:rsidR="00B56EB9" w:rsidRPr="00B56EB9" w:rsidRDefault="00B56EB9" w:rsidP="00B56EB9">
      <w:pPr>
        <w:spacing w:after="0" w:line="480" w:lineRule="auto"/>
        <w:outlineLvl w:val="1"/>
        <w:rPr>
          <w:rFonts w:ascii="Times New Roman" w:hAnsi="Times New Roman" w:cs="Times New Roman"/>
          <w:b/>
          <w:bCs/>
          <w:color w:val="000000"/>
          <w:sz w:val="24"/>
          <w:szCs w:val="24"/>
          <w:lang w:val="en-GB"/>
        </w:rPr>
      </w:pPr>
      <w:r w:rsidRPr="00B56EB9">
        <w:rPr>
          <w:rFonts w:ascii="Times New Roman" w:hAnsi="Times New Roman" w:cs="Times New Roman"/>
          <w:b/>
          <w:bCs/>
          <w:color w:val="000000"/>
          <w:sz w:val="24"/>
          <w:szCs w:val="24"/>
          <w:lang w:val="en-GB"/>
        </w:rPr>
        <w:t xml:space="preserve">EFA </w:t>
      </w:r>
      <w:commentRangeStart w:id="0"/>
      <w:r w:rsidRPr="00B56EB9">
        <w:rPr>
          <w:rFonts w:ascii="Times New Roman" w:hAnsi="Times New Roman" w:cs="Times New Roman"/>
          <w:b/>
          <w:bCs/>
          <w:color w:val="000000"/>
          <w:sz w:val="24"/>
          <w:szCs w:val="24"/>
          <w:lang w:val="en-GB"/>
        </w:rPr>
        <w:t>whole sample</w:t>
      </w:r>
      <w:commentRangeEnd w:id="0"/>
      <w:r w:rsidRPr="00B56EB9">
        <w:rPr>
          <w:sz w:val="16"/>
          <w:szCs w:val="16"/>
        </w:rPr>
        <w:commentReference w:id="0"/>
      </w:r>
    </w:p>
    <w:p w14:paraId="0A1C6F50" w14:textId="77777777" w:rsidR="00B56EB9" w:rsidRPr="00B56EB9" w:rsidRDefault="00B56EB9" w:rsidP="00B56EB9">
      <w:pPr>
        <w:spacing w:line="480" w:lineRule="auto"/>
        <w:rPr>
          <w:rFonts w:ascii="Times New Roman" w:hAnsi="Times New Roman" w:cs="Times New Roman"/>
          <w:sz w:val="24"/>
          <w:szCs w:val="24"/>
          <w:lang w:val="en-GB"/>
        </w:rPr>
      </w:pPr>
      <w:r w:rsidRPr="00B56EB9">
        <w:rPr>
          <w:rFonts w:ascii="Times New Roman" w:hAnsi="Times New Roman" w:cs="Times New Roman"/>
          <w:sz w:val="24"/>
          <w:szCs w:val="24"/>
          <w:lang w:val="en-GB"/>
        </w:rPr>
        <w:t>Bartlett’s test of sphericity (Bartlett, 1954) indicated that the correlation matrix was not random (χ2(136) = 2277882.76, p &lt; .001), but KMO values (Kaiser, 1974) were below the minimum standard for conducting FA (.50), overall and for 10 of the 17 items (Appendix A), thus indicating that the correlation matrix was not well suited for factor analysis. Due to the non-normality (Mardia’s multivariate skew and kurtosis with p &lt; .001) and the ordinal nature of the items, a polychoric correlation matrix was used as input for EFA.</w:t>
      </w:r>
    </w:p>
    <w:p w14:paraId="7FE7046F" w14:textId="77777777" w:rsidR="00B56EB9" w:rsidRPr="00B56EB9" w:rsidRDefault="00B56EB9" w:rsidP="00B56EB9">
      <w:pPr>
        <w:spacing w:line="480" w:lineRule="auto"/>
        <w:rPr>
          <w:rFonts w:ascii="Times New Roman" w:hAnsi="Times New Roman" w:cs="Times New Roman"/>
          <w:sz w:val="24"/>
          <w:szCs w:val="24"/>
          <w:lang w:val="en-GB"/>
        </w:rPr>
      </w:pPr>
      <w:r w:rsidRPr="00B56EB9">
        <w:rPr>
          <w:rFonts w:ascii="Times New Roman" w:hAnsi="Times New Roman" w:cs="Times New Roman"/>
          <w:sz w:val="24"/>
          <w:szCs w:val="24"/>
          <w:lang w:val="en-GB"/>
        </w:rPr>
        <w:t>Parallel analysis suggested 3 factors when based on components, and 6 factors when based on factors. According to the scree plots, 1-4 factors were possible. Therefore, six- to two-factor solutions were sequentially examined. The six-factor-solution produced an empty factor. For all other models, significant χ</w:t>
      </w:r>
      <w:r w:rsidRPr="00B56EB9">
        <w:rPr>
          <w:rFonts w:ascii="Times New Roman" w:hAnsi="Times New Roman" w:cs="Times New Roman"/>
          <w:sz w:val="24"/>
          <w:szCs w:val="24"/>
          <w:vertAlign w:val="superscript"/>
          <w:lang w:val="en-GB"/>
        </w:rPr>
        <w:t>2</w:t>
      </w:r>
      <w:r w:rsidRPr="00B56EB9">
        <w:rPr>
          <w:rFonts w:ascii="Times New Roman" w:hAnsi="Times New Roman" w:cs="Times New Roman"/>
          <w:sz w:val="24"/>
          <w:szCs w:val="24"/>
          <w:lang w:val="en-GB"/>
        </w:rPr>
        <w:t xml:space="preserve">-Tests (p &lt; .001) indicated that the factor solutions did not fit the data well, while SRMR values [0.02, 0.06] were good to acceptable. The five-factor-solution produced factors on criminal sexual deviance (7 items on sexual activity with a child, with an animal, or without consent), on sexual activity with a young person (4 items), on traffic offences (2 items), on sexual behaviour (1 item: having sex with a prostitute), and on violent offences (2 items), while one item on watching porn in public did not load on any factor. In all other solutions, violent offenses and traffic offenses loaded on a common “non-sexual offences” factor. However, internal consistency was low for traffic offences factor (r = .19), the violent offences factor (3 = 0.30), or the overall non-sexual offences factor (α = .48, ω = .51). In the four-factor solution, the fourth factor was not well interpretable. </w:t>
      </w:r>
      <w:r w:rsidRPr="00B56EB9">
        <w:rPr>
          <w:rFonts w:ascii="Times New Roman" w:hAnsi="Times New Roman" w:cs="Times New Roman"/>
          <w:sz w:val="24"/>
          <w:szCs w:val="24"/>
          <w:lang w:val="en-US"/>
        </w:rPr>
        <w:t xml:space="preserve">The three-factor-solution differentiated between criminal sexual deviance (7 items), sexual activity with a young person (4 items), and non-sexual offences (4 items), </w:t>
      </w:r>
      <w:r w:rsidRPr="00B56EB9">
        <w:rPr>
          <w:rFonts w:ascii="Times New Roman" w:hAnsi="Times New Roman" w:cs="Times New Roman"/>
          <w:sz w:val="24"/>
          <w:szCs w:val="24"/>
          <w:lang w:val="en-GB"/>
        </w:rPr>
        <w:t>while two items on watching porn in public and having sex with a prostitute did not load. The two-factor-solution only differentiated between sexual (12 items) and non-sexual behaviours (4 items), while one item on watching porn in public did not load.</w:t>
      </w:r>
    </w:p>
    <w:p w14:paraId="5CA21540" w14:textId="77777777" w:rsidR="00B56EB9" w:rsidRPr="00B56EB9" w:rsidRDefault="00B56EB9" w:rsidP="00B56EB9">
      <w:pPr>
        <w:spacing w:line="480" w:lineRule="auto"/>
        <w:rPr>
          <w:rFonts w:ascii="Times New Roman" w:hAnsi="Times New Roman" w:cs="Times New Roman"/>
          <w:sz w:val="24"/>
          <w:szCs w:val="24"/>
          <w:lang w:val="en-US"/>
        </w:rPr>
      </w:pPr>
      <w:r w:rsidRPr="00B56EB9">
        <w:rPr>
          <w:rFonts w:ascii="Times New Roman" w:hAnsi="Times New Roman" w:cs="Times New Roman"/>
          <w:sz w:val="24"/>
          <w:szCs w:val="24"/>
          <w:lang w:val="en-US"/>
        </w:rPr>
        <w:lastRenderedPageBreak/>
        <w:t>Overall, the 5-factor solution was considered best interpretable and most consistent with theoretical considerations and empirical results (e.g., Lehmann et al., in press). Accordingly, the criminal sexual deviance factor accounted for 37% of the common variance, sexual activity with a young person accounted for 19% (traffic offences: 9%, sexual behavior and violent offences 8% each; overall 81%). Internal consistencies for the criminal sexual deviance factor</w:t>
      </w:r>
      <w:r w:rsidRPr="00B56EB9">
        <w:rPr>
          <w:rFonts w:ascii="Times New Roman" w:hAnsi="Times New Roman" w:cs="Times New Roman"/>
          <w:sz w:val="24"/>
          <w:szCs w:val="24"/>
          <w:lang w:val="en-GB"/>
        </w:rPr>
        <w:t xml:space="preserve"> (α = ω = .77) and for the </w:t>
      </w:r>
      <w:r w:rsidRPr="00B56EB9">
        <w:rPr>
          <w:rFonts w:ascii="Times New Roman" w:hAnsi="Times New Roman" w:cs="Times New Roman"/>
          <w:sz w:val="24"/>
          <w:szCs w:val="24"/>
          <w:lang w:val="en-US"/>
        </w:rPr>
        <w:t>sexual activity with a young person factor (</w:t>
      </w:r>
      <w:r w:rsidRPr="00B56EB9">
        <w:rPr>
          <w:rFonts w:ascii="Times New Roman" w:hAnsi="Times New Roman" w:cs="Times New Roman"/>
          <w:sz w:val="24"/>
          <w:szCs w:val="24"/>
          <w:lang w:val="en-GB"/>
        </w:rPr>
        <w:t xml:space="preserve">α = .80, ω = .83) </w:t>
      </w:r>
      <w:r w:rsidRPr="00B56EB9">
        <w:rPr>
          <w:rFonts w:ascii="Times New Roman" w:hAnsi="Times New Roman" w:cs="Times New Roman"/>
          <w:sz w:val="24"/>
          <w:szCs w:val="24"/>
          <w:lang w:val="en-US"/>
        </w:rPr>
        <w:t>were good. Therefore, the 7-item-scale “criminal sexual behavior” as well as individual items on proclivities to engage in deviant behavior were used as criteria in further analyses. The 4-item-scale “</w:t>
      </w:r>
      <w:r w:rsidRPr="00B56EB9">
        <w:rPr>
          <w:rFonts w:ascii="Times New Roman" w:hAnsi="Times New Roman" w:cs="Times New Roman"/>
          <w:sz w:val="24"/>
          <w:szCs w:val="24"/>
          <w:lang w:val="en-GB"/>
        </w:rPr>
        <w:t>sexual activity with a young person” was used as criterion only for participants whose specified age range for “young persons” included values in the range of hebephilic age preferences (i.e., &lt; 15 years; n = 1402; 613 males, 747 females).</w:t>
      </w:r>
    </w:p>
    <w:p w14:paraId="72D5790E" w14:textId="77777777" w:rsidR="00204FFF" w:rsidRPr="006D6CA3" w:rsidRDefault="00204FFF" w:rsidP="00204FFF">
      <w:pPr>
        <w:pStyle w:val="berschrift2"/>
      </w:pPr>
      <w:r w:rsidRPr="006D6CA3">
        <w:t>EFA without young person items (whole sample)</w:t>
      </w:r>
    </w:p>
    <w:p w14:paraId="02920A2C" w14:textId="77777777" w:rsidR="00204FFF" w:rsidRDefault="00204FFF" w:rsidP="00204FFF">
      <w:pPr>
        <w:spacing w:line="480" w:lineRule="auto"/>
        <w:rPr>
          <w:rFonts w:ascii="Times New Roman" w:hAnsi="Times New Roman" w:cs="Times New Roman"/>
          <w:sz w:val="24"/>
          <w:szCs w:val="24"/>
          <w:lang w:val="en-GB"/>
        </w:rPr>
      </w:pPr>
      <w:r w:rsidRPr="002A7ABB">
        <w:rPr>
          <w:rFonts w:ascii="Times New Roman" w:hAnsi="Times New Roman" w:cs="Times New Roman"/>
          <w:sz w:val="24"/>
          <w:szCs w:val="24"/>
          <w:lang w:val="en-GB"/>
        </w:rPr>
        <w:t>Bartlett’s test of sphericity (Bartlett, 1954) indicated that the correlation matrix was not random</w:t>
      </w:r>
      <w:r>
        <w:rPr>
          <w:rFonts w:ascii="Times New Roman" w:hAnsi="Times New Roman" w:cs="Times New Roman"/>
          <w:sz w:val="24"/>
          <w:szCs w:val="24"/>
          <w:lang w:val="en-GB"/>
        </w:rPr>
        <w:t xml:space="preserve"> (</w:t>
      </w:r>
      <w:r w:rsidRPr="002A7ABB">
        <w:rPr>
          <w:rFonts w:ascii="Times New Roman" w:hAnsi="Times New Roman" w:cs="Times New Roman"/>
          <w:sz w:val="24"/>
          <w:szCs w:val="24"/>
          <w:lang w:val="en-GB"/>
        </w:rPr>
        <w:t xml:space="preserve">χ2(136) = </w:t>
      </w:r>
      <w:r>
        <w:rPr>
          <w:rFonts w:ascii="Times New Roman" w:hAnsi="Times New Roman" w:cs="Times New Roman"/>
          <w:sz w:val="24"/>
          <w:szCs w:val="24"/>
          <w:lang w:val="en-GB"/>
        </w:rPr>
        <w:t>125729.09</w:t>
      </w:r>
      <w:r w:rsidRPr="002A7ABB">
        <w:rPr>
          <w:rFonts w:ascii="Times New Roman" w:hAnsi="Times New Roman" w:cs="Times New Roman"/>
          <w:sz w:val="24"/>
          <w:szCs w:val="24"/>
          <w:lang w:val="en-GB"/>
        </w:rPr>
        <w:t>, p &lt; .001</w:t>
      </w:r>
      <w:r>
        <w:rPr>
          <w:rFonts w:ascii="Times New Roman" w:hAnsi="Times New Roman" w:cs="Times New Roman"/>
          <w:sz w:val="24"/>
          <w:szCs w:val="24"/>
          <w:lang w:val="en-GB"/>
        </w:rPr>
        <w:t>)</w:t>
      </w:r>
      <w:r w:rsidRPr="002A7ABB">
        <w:rPr>
          <w:rFonts w:ascii="Times New Roman" w:hAnsi="Times New Roman" w:cs="Times New Roman"/>
          <w:sz w:val="24"/>
          <w:szCs w:val="24"/>
          <w:lang w:val="en-GB"/>
        </w:rPr>
        <w:t xml:space="preserve">, but KMO </w:t>
      </w:r>
      <w:r>
        <w:rPr>
          <w:rFonts w:ascii="Times New Roman" w:hAnsi="Times New Roman" w:cs="Times New Roman"/>
          <w:sz w:val="24"/>
          <w:szCs w:val="24"/>
          <w:lang w:val="en-GB"/>
        </w:rPr>
        <w:t>values</w:t>
      </w:r>
      <w:r w:rsidRPr="002A7ABB">
        <w:rPr>
          <w:rFonts w:ascii="Times New Roman" w:hAnsi="Times New Roman" w:cs="Times New Roman"/>
          <w:sz w:val="24"/>
          <w:szCs w:val="24"/>
          <w:lang w:val="en-GB"/>
        </w:rPr>
        <w:t xml:space="preserve"> (Kaiser, 1974) were below the minimum standard for conducting FA (.50), overall and for </w:t>
      </w:r>
      <w:r w:rsidRPr="008F1E84">
        <w:rPr>
          <w:rFonts w:ascii="Times New Roman" w:hAnsi="Times New Roman" w:cs="Times New Roman"/>
          <w:sz w:val="24"/>
          <w:szCs w:val="24"/>
          <w:highlight w:val="green"/>
          <w:lang w:val="en-GB"/>
        </w:rPr>
        <w:t>all</w:t>
      </w:r>
      <w:r w:rsidRPr="002A7ABB">
        <w:rPr>
          <w:rFonts w:ascii="Times New Roman" w:hAnsi="Times New Roman" w:cs="Times New Roman"/>
          <w:sz w:val="24"/>
          <w:szCs w:val="24"/>
          <w:lang w:val="en-GB"/>
        </w:rPr>
        <w:t xml:space="preserve"> 17 items (Appendix </w:t>
      </w:r>
      <w:r>
        <w:rPr>
          <w:rFonts w:ascii="Times New Roman" w:hAnsi="Times New Roman" w:cs="Times New Roman"/>
          <w:sz w:val="24"/>
          <w:szCs w:val="24"/>
          <w:lang w:val="en-GB"/>
        </w:rPr>
        <w:t>?</w:t>
      </w:r>
      <w:r w:rsidRPr="002A7ABB">
        <w:rPr>
          <w:rFonts w:ascii="Times New Roman" w:hAnsi="Times New Roman" w:cs="Times New Roman"/>
          <w:sz w:val="24"/>
          <w:szCs w:val="24"/>
          <w:lang w:val="en-GB"/>
        </w:rPr>
        <w:t>)</w:t>
      </w:r>
      <w:r>
        <w:rPr>
          <w:rFonts w:ascii="Times New Roman" w:hAnsi="Times New Roman" w:cs="Times New Roman"/>
          <w:sz w:val="24"/>
          <w:szCs w:val="24"/>
          <w:lang w:val="en-GB"/>
        </w:rPr>
        <w:t>, thus indicating that the correlation matrix was not well suited for factor analysis.</w:t>
      </w:r>
      <w:r w:rsidRPr="003E7D32">
        <w:rPr>
          <w:rFonts w:ascii="Times New Roman" w:hAnsi="Times New Roman" w:cs="Times New Roman"/>
          <w:sz w:val="24"/>
          <w:szCs w:val="24"/>
          <w:lang w:val="en-GB"/>
        </w:rPr>
        <w:t xml:space="preserve"> </w:t>
      </w:r>
      <w:r w:rsidRPr="002A7ABB">
        <w:rPr>
          <w:rFonts w:ascii="Times New Roman" w:hAnsi="Times New Roman" w:cs="Times New Roman"/>
          <w:sz w:val="24"/>
          <w:szCs w:val="24"/>
          <w:lang w:val="en-GB"/>
        </w:rPr>
        <w:t>Due to the non-normality (Mardia’s multivariate skew and kurtosis with p &lt; .001) and the ordinal nature of the items, a polychoric correlation matrix was used</w:t>
      </w:r>
      <w:r>
        <w:rPr>
          <w:rFonts w:ascii="Times New Roman" w:hAnsi="Times New Roman" w:cs="Times New Roman"/>
          <w:sz w:val="24"/>
          <w:szCs w:val="24"/>
          <w:lang w:val="en-GB"/>
        </w:rPr>
        <w:t xml:space="preserve"> as input for EFA.</w:t>
      </w:r>
    </w:p>
    <w:p w14:paraId="379CE5AB" w14:textId="77777777" w:rsidR="00204FFF" w:rsidRDefault="00204FFF" w:rsidP="00204FF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Parallel analysis suggested 2 factors when based on components, and 5 factors when based on factors. </w:t>
      </w:r>
      <w:r w:rsidRPr="00C42EB0">
        <w:rPr>
          <w:rFonts w:ascii="Times New Roman" w:hAnsi="Times New Roman" w:cs="Times New Roman"/>
          <w:sz w:val="24"/>
          <w:szCs w:val="24"/>
          <w:lang w:val="en-GB"/>
        </w:rPr>
        <w:t xml:space="preserve">According to the scree </w:t>
      </w:r>
      <w:r>
        <w:rPr>
          <w:rFonts w:ascii="Times New Roman" w:hAnsi="Times New Roman" w:cs="Times New Roman"/>
          <w:sz w:val="24"/>
          <w:szCs w:val="24"/>
          <w:lang w:val="en-GB"/>
        </w:rPr>
        <w:t xml:space="preserve">plots, 1-4 factors were possible. Therefore, five- to two-factor solutions were sequentially examined. </w:t>
      </w:r>
      <w:r w:rsidRPr="00786D7C">
        <w:rPr>
          <w:rFonts w:ascii="Times New Roman" w:hAnsi="Times New Roman" w:cs="Times New Roman"/>
          <w:sz w:val="24"/>
          <w:szCs w:val="24"/>
          <w:lang w:val="en-GB"/>
        </w:rPr>
        <w:t xml:space="preserve">For all models, significant </w:t>
      </w:r>
      <w:r w:rsidRPr="002A7ABB">
        <w:rPr>
          <w:rFonts w:ascii="Times New Roman" w:hAnsi="Times New Roman" w:cs="Times New Roman"/>
          <w:sz w:val="24"/>
          <w:szCs w:val="24"/>
          <w:lang w:val="en-GB"/>
        </w:rPr>
        <w:t>χ</w:t>
      </w:r>
      <w:r w:rsidRPr="00786D7C">
        <w:rPr>
          <w:rFonts w:ascii="Times New Roman" w:hAnsi="Times New Roman" w:cs="Times New Roman"/>
          <w:sz w:val="24"/>
          <w:szCs w:val="24"/>
          <w:vertAlign w:val="superscript"/>
          <w:lang w:val="en-GB"/>
        </w:rPr>
        <w:t>2</w:t>
      </w:r>
      <w:r w:rsidRPr="00786D7C">
        <w:rPr>
          <w:rFonts w:ascii="Times New Roman" w:hAnsi="Times New Roman" w:cs="Times New Roman"/>
          <w:sz w:val="24"/>
          <w:szCs w:val="24"/>
          <w:lang w:val="en-GB"/>
        </w:rPr>
        <w:t xml:space="preserve">-Tests (p &lt; .001) indicated that the </w:t>
      </w:r>
      <w:r>
        <w:rPr>
          <w:rFonts w:ascii="Times New Roman" w:hAnsi="Times New Roman" w:cs="Times New Roman"/>
          <w:sz w:val="24"/>
          <w:szCs w:val="24"/>
          <w:lang w:val="en-GB"/>
        </w:rPr>
        <w:t>factor solutions did not fit the data well, while SRMR values [</w:t>
      </w:r>
      <w:r w:rsidRPr="00466643">
        <w:rPr>
          <w:rFonts w:ascii="Times New Roman" w:hAnsi="Times New Roman" w:cs="Times New Roman"/>
          <w:sz w:val="24"/>
          <w:szCs w:val="24"/>
          <w:highlight w:val="green"/>
          <w:lang w:val="en-GB"/>
        </w:rPr>
        <w:t>0.0</w:t>
      </w:r>
      <w:r>
        <w:rPr>
          <w:rFonts w:ascii="Times New Roman" w:hAnsi="Times New Roman" w:cs="Times New Roman"/>
          <w:sz w:val="24"/>
          <w:szCs w:val="24"/>
          <w:highlight w:val="green"/>
          <w:lang w:val="en-GB"/>
        </w:rPr>
        <w:t>1</w:t>
      </w:r>
      <w:r w:rsidRPr="00466643">
        <w:rPr>
          <w:rFonts w:ascii="Times New Roman" w:hAnsi="Times New Roman" w:cs="Times New Roman"/>
          <w:sz w:val="24"/>
          <w:szCs w:val="24"/>
          <w:highlight w:val="green"/>
          <w:lang w:val="en-GB"/>
        </w:rPr>
        <w:t>, 0.07</w:t>
      </w:r>
      <w:r>
        <w:rPr>
          <w:rFonts w:ascii="Times New Roman" w:hAnsi="Times New Roman" w:cs="Times New Roman"/>
          <w:sz w:val="24"/>
          <w:szCs w:val="24"/>
          <w:lang w:val="en-GB"/>
        </w:rPr>
        <w:t xml:space="preserve">] were good to acceptable. The five-factor-solution produced factors on sexual deviance (7 items on sexual activity with a child, with an animal, or without consent), on traffic offences (2 items), on violent offences (2 items), on sexual behaviour (1 item: sexual behaviour with a prostitute), </w:t>
      </w:r>
      <w:r>
        <w:rPr>
          <w:rFonts w:ascii="Times New Roman" w:hAnsi="Times New Roman" w:cs="Times New Roman"/>
          <w:sz w:val="24"/>
          <w:szCs w:val="24"/>
          <w:lang w:val="en-GB"/>
        </w:rPr>
        <w:lastRenderedPageBreak/>
        <w:t xml:space="preserve">and watching porn in public (1 item). </w:t>
      </w:r>
      <w:r w:rsidRPr="003D1423">
        <w:rPr>
          <w:rFonts w:ascii="Times New Roman" w:hAnsi="Times New Roman" w:cs="Times New Roman"/>
          <w:sz w:val="24"/>
          <w:szCs w:val="24"/>
          <w:lang w:val="en-GB"/>
        </w:rPr>
        <w:t xml:space="preserve">The 4-factor solution was similar, only the item </w:t>
      </w:r>
      <w:r>
        <w:rPr>
          <w:rFonts w:ascii="Times New Roman" w:hAnsi="Times New Roman" w:cs="Times New Roman"/>
          <w:sz w:val="24"/>
          <w:szCs w:val="24"/>
          <w:lang w:val="en-GB"/>
        </w:rPr>
        <w:t>on watching porn in public did not load</w:t>
      </w:r>
      <w:r w:rsidRPr="003D1423">
        <w:rPr>
          <w:rFonts w:ascii="Times New Roman" w:hAnsi="Times New Roman" w:cs="Times New Roman"/>
          <w:sz w:val="24"/>
          <w:szCs w:val="24"/>
          <w:lang w:val="en-GB"/>
        </w:rPr>
        <w:t>.</w:t>
      </w:r>
      <w:r>
        <w:rPr>
          <w:rFonts w:ascii="Times New Roman" w:hAnsi="Times New Roman" w:cs="Times New Roman"/>
          <w:sz w:val="24"/>
          <w:szCs w:val="24"/>
          <w:lang w:val="en-GB"/>
        </w:rPr>
        <w:t xml:space="preserve"> The three-factor-solution differentiated between criminal sexual behaviours (7 items),</w:t>
      </w:r>
      <w:r w:rsidRPr="00A535D2">
        <w:rPr>
          <w:rFonts w:ascii="Times New Roman" w:hAnsi="Times New Roman" w:cs="Times New Roman"/>
          <w:sz w:val="24"/>
          <w:szCs w:val="24"/>
          <w:lang w:val="en-GB"/>
        </w:rPr>
        <w:t xml:space="preserve"> </w:t>
      </w:r>
      <w:r>
        <w:rPr>
          <w:rFonts w:ascii="Times New Roman" w:hAnsi="Times New Roman" w:cs="Times New Roman"/>
          <w:sz w:val="24"/>
          <w:szCs w:val="24"/>
          <w:lang w:val="en-GB"/>
        </w:rPr>
        <w:t>other offences (4 item on traffic/violent offences), and other sexual behaviour (2 items on having sex with a prostitute and watching porn in public). The two-factor-solution differentiated only between sexual behaviours (8 items),</w:t>
      </w:r>
      <w:r w:rsidRPr="00A535D2">
        <w:rPr>
          <w:rFonts w:ascii="Times New Roman" w:hAnsi="Times New Roman" w:cs="Times New Roman"/>
          <w:sz w:val="24"/>
          <w:szCs w:val="24"/>
          <w:lang w:val="en-GB"/>
        </w:rPr>
        <w:t xml:space="preserve"> </w:t>
      </w:r>
      <w:r>
        <w:rPr>
          <w:rFonts w:ascii="Times New Roman" w:hAnsi="Times New Roman" w:cs="Times New Roman"/>
          <w:sz w:val="24"/>
          <w:szCs w:val="24"/>
          <w:lang w:val="en-GB"/>
        </w:rPr>
        <w:t>and non-sexual behaviours (4 items), while the item on sexual behaviour with a prostitute did not load.</w:t>
      </w:r>
    </w:p>
    <w:p w14:paraId="1923A6FE" w14:textId="77777777" w:rsidR="00204FFF" w:rsidRDefault="00204FFF" w:rsidP="00204FFF">
      <w:pPr>
        <w:spacing w:line="480" w:lineRule="auto"/>
        <w:rPr>
          <w:rFonts w:ascii="Times New Roman" w:hAnsi="Times New Roman" w:cs="Times New Roman"/>
          <w:sz w:val="24"/>
          <w:szCs w:val="24"/>
          <w:lang w:val="en-GB"/>
        </w:rPr>
      </w:pPr>
      <w:r w:rsidRPr="00471821">
        <w:rPr>
          <w:rFonts w:ascii="Times New Roman" w:hAnsi="Times New Roman" w:cs="Times New Roman"/>
          <w:sz w:val="24"/>
          <w:szCs w:val="24"/>
          <w:lang w:val="en-US"/>
        </w:rPr>
        <w:t xml:space="preserve">Overall, the 5-factor solution was considered </w:t>
      </w:r>
      <w:r>
        <w:rPr>
          <w:rFonts w:ascii="Times New Roman" w:hAnsi="Times New Roman" w:cs="Times New Roman"/>
          <w:sz w:val="24"/>
          <w:szCs w:val="24"/>
          <w:lang w:val="en-US"/>
        </w:rPr>
        <w:t>best</w:t>
      </w:r>
      <w:r w:rsidRPr="00471821">
        <w:rPr>
          <w:rFonts w:ascii="Times New Roman" w:hAnsi="Times New Roman" w:cs="Times New Roman"/>
          <w:sz w:val="24"/>
          <w:szCs w:val="24"/>
          <w:lang w:val="en-US"/>
        </w:rPr>
        <w:t xml:space="preserve"> interpretable and most consistent with theoretical considerations and </w:t>
      </w:r>
      <w:r>
        <w:rPr>
          <w:rFonts w:ascii="Times New Roman" w:hAnsi="Times New Roman" w:cs="Times New Roman"/>
          <w:sz w:val="24"/>
          <w:szCs w:val="24"/>
          <w:lang w:val="en-US"/>
        </w:rPr>
        <w:t>empirical</w:t>
      </w:r>
      <w:r w:rsidRPr="00471821">
        <w:rPr>
          <w:rFonts w:ascii="Times New Roman" w:hAnsi="Times New Roman" w:cs="Times New Roman"/>
          <w:sz w:val="24"/>
          <w:szCs w:val="24"/>
          <w:lang w:val="en-US"/>
        </w:rPr>
        <w:t xml:space="preserve"> results (</w:t>
      </w:r>
      <w:r>
        <w:rPr>
          <w:rFonts w:ascii="Times New Roman" w:hAnsi="Times New Roman" w:cs="Times New Roman"/>
          <w:sz w:val="24"/>
          <w:szCs w:val="24"/>
          <w:lang w:val="en-US"/>
        </w:rPr>
        <w:t xml:space="preserve">e.g., </w:t>
      </w:r>
      <w:r w:rsidRPr="00471821">
        <w:rPr>
          <w:rFonts w:ascii="Times New Roman" w:hAnsi="Times New Roman" w:cs="Times New Roman"/>
          <w:sz w:val="24"/>
          <w:szCs w:val="24"/>
          <w:lang w:val="en-US"/>
        </w:rPr>
        <w:t>Lehmann et al., in press).</w:t>
      </w:r>
      <w:r>
        <w:rPr>
          <w:rFonts w:ascii="Times New Roman" w:hAnsi="Times New Roman" w:cs="Times New Roman"/>
          <w:sz w:val="24"/>
          <w:szCs w:val="24"/>
          <w:lang w:val="en-US"/>
        </w:rPr>
        <w:t xml:space="preserve"> Accordingly, the sexual deviance factor accounted for 46% of the common variance (traffic offences: 11%, violent offences: 10%, sexual behavior 10%, watching porn in public 4%; overall 81%). The internal consistency was good for the sexual deviance factor</w:t>
      </w:r>
      <w:r w:rsidRPr="00EF50D9">
        <w:rPr>
          <w:rFonts w:ascii="Times New Roman" w:hAnsi="Times New Roman" w:cs="Times New Roman"/>
          <w:sz w:val="24"/>
          <w:szCs w:val="24"/>
          <w:lang w:val="en-US"/>
        </w:rPr>
        <w:t xml:space="preserve"> (α = ω =</w:t>
      </w:r>
      <w:r w:rsidRPr="006521D3">
        <w:rPr>
          <w:rFonts w:ascii="Times New Roman" w:hAnsi="Times New Roman" w:cs="Times New Roman"/>
          <w:sz w:val="24"/>
          <w:szCs w:val="24"/>
          <w:lang w:val="en-US"/>
        </w:rPr>
        <w:t>.</w:t>
      </w:r>
      <w:r>
        <w:rPr>
          <w:rFonts w:ascii="Times New Roman" w:hAnsi="Times New Roman" w:cs="Times New Roman"/>
          <w:sz w:val="24"/>
          <w:szCs w:val="24"/>
          <w:lang w:val="en-US"/>
        </w:rPr>
        <w:t>78</w:t>
      </w:r>
      <w:r w:rsidRPr="00EF50D9">
        <w:rPr>
          <w:rFonts w:ascii="Times New Roman" w:hAnsi="Times New Roman" w:cs="Times New Roman"/>
          <w:sz w:val="24"/>
          <w:szCs w:val="24"/>
          <w:lang w:val="en-US"/>
        </w:rPr>
        <w:t xml:space="preserve">), </w:t>
      </w:r>
      <w:r>
        <w:rPr>
          <w:rFonts w:ascii="Times New Roman" w:hAnsi="Times New Roman" w:cs="Times New Roman"/>
          <w:sz w:val="24"/>
          <w:szCs w:val="24"/>
          <w:lang w:val="en-US"/>
        </w:rPr>
        <w:t>but</w:t>
      </w:r>
      <w:r w:rsidRPr="00EF50D9">
        <w:rPr>
          <w:rFonts w:ascii="Times New Roman" w:hAnsi="Times New Roman" w:cs="Times New Roman"/>
          <w:sz w:val="24"/>
          <w:szCs w:val="24"/>
          <w:lang w:val="en-US"/>
        </w:rPr>
        <w:t xml:space="preserve"> not acceptable for the traffic offences (Φ = .19) and violent offences (Φ = .30) factor</w:t>
      </w:r>
      <w:r>
        <w:rPr>
          <w:rFonts w:ascii="Times New Roman" w:hAnsi="Times New Roman" w:cs="Times New Roman"/>
          <w:sz w:val="24"/>
          <w:szCs w:val="24"/>
          <w:lang w:val="en-US"/>
        </w:rPr>
        <w:t xml:space="preserve">. Therefore, the 7-item-scale “criminal sexual behavior” as well as individual items on proclivities to engage in deviant behavior were used as criteria in </w:t>
      </w:r>
      <w:r w:rsidRPr="00C86C97">
        <w:rPr>
          <w:rFonts w:ascii="Times New Roman" w:hAnsi="Times New Roman" w:cs="Times New Roman"/>
          <w:sz w:val="24"/>
          <w:szCs w:val="24"/>
          <w:lang w:val="en-US"/>
        </w:rPr>
        <w:t>further analyses</w:t>
      </w:r>
      <w:r>
        <w:rPr>
          <w:rFonts w:ascii="Times New Roman" w:hAnsi="Times New Roman" w:cs="Times New Roman"/>
          <w:sz w:val="24"/>
          <w:szCs w:val="24"/>
          <w:lang w:val="en-US"/>
        </w:rPr>
        <w:t>. The 4-item-scale “</w:t>
      </w:r>
      <w:r>
        <w:rPr>
          <w:rFonts w:ascii="Times New Roman" w:hAnsi="Times New Roman" w:cs="Times New Roman"/>
          <w:sz w:val="24"/>
          <w:szCs w:val="24"/>
          <w:lang w:val="en-GB"/>
        </w:rPr>
        <w:t xml:space="preserve">sexual activity with a young person” </w:t>
      </w:r>
      <w:r>
        <w:rPr>
          <w:rFonts w:ascii="Times New Roman" w:hAnsi="Times New Roman" w:cs="Times New Roman"/>
          <w:sz w:val="24"/>
          <w:szCs w:val="24"/>
          <w:lang w:val="en-US"/>
        </w:rPr>
        <w:t>(</w:t>
      </w:r>
      <w:r>
        <w:rPr>
          <w:rFonts w:ascii="Times New Roman" w:hAnsi="Times New Roman" w:cs="Times New Roman"/>
          <w:sz w:val="24"/>
          <w:szCs w:val="24"/>
          <w:lang w:val="en-GB"/>
        </w:rPr>
        <w:t xml:space="preserve">α </w:t>
      </w:r>
      <w:r w:rsidRPr="00EF50D9">
        <w:rPr>
          <w:rFonts w:ascii="Times New Roman" w:hAnsi="Times New Roman" w:cs="Times New Roman"/>
          <w:sz w:val="24"/>
          <w:szCs w:val="24"/>
          <w:lang w:val="en-US"/>
        </w:rPr>
        <w:t>= .82, ω = .84)</w:t>
      </w:r>
      <w:r>
        <w:rPr>
          <w:rFonts w:ascii="Times New Roman" w:hAnsi="Times New Roman" w:cs="Times New Roman"/>
          <w:sz w:val="24"/>
          <w:szCs w:val="24"/>
          <w:lang w:val="en-US"/>
        </w:rPr>
        <w:t xml:space="preserve"> </w:t>
      </w:r>
      <w:r>
        <w:rPr>
          <w:rFonts w:ascii="Times New Roman" w:hAnsi="Times New Roman" w:cs="Times New Roman"/>
          <w:sz w:val="24"/>
          <w:szCs w:val="24"/>
          <w:lang w:val="en-GB"/>
        </w:rPr>
        <w:t xml:space="preserve">was used as criterion only with participants whose </w:t>
      </w:r>
      <w:r w:rsidRPr="002F362B">
        <w:rPr>
          <w:rFonts w:ascii="Times New Roman" w:hAnsi="Times New Roman" w:cs="Times New Roman"/>
          <w:sz w:val="24"/>
          <w:szCs w:val="24"/>
          <w:lang w:val="en-GB"/>
        </w:rPr>
        <w:t xml:space="preserve">specified age range for </w:t>
      </w:r>
      <w:r>
        <w:rPr>
          <w:rFonts w:ascii="Times New Roman" w:hAnsi="Times New Roman" w:cs="Times New Roman"/>
          <w:sz w:val="24"/>
          <w:szCs w:val="24"/>
          <w:lang w:val="en-GB"/>
        </w:rPr>
        <w:t>“</w:t>
      </w:r>
      <w:r w:rsidRPr="002F362B">
        <w:rPr>
          <w:rFonts w:ascii="Times New Roman" w:hAnsi="Times New Roman" w:cs="Times New Roman"/>
          <w:sz w:val="24"/>
          <w:szCs w:val="24"/>
          <w:lang w:val="en-GB"/>
        </w:rPr>
        <w:t>young persons</w:t>
      </w:r>
      <w:r>
        <w:rPr>
          <w:rFonts w:ascii="Times New Roman" w:hAnsi="Times New Roman" w:cs="Times New Roman"/>
          <w:sz w:val="24"/>
          <w:szCs w:val="24"/>
          <w:lang w:val="en-GB"/>
        </w:rPr>
        <w:t>”</w:t>
      </w:r>
      <w:r w:rsidRPr="002F362B">
        <w:rPr>
          <w:rFonts w:ascii="Times New Roman" w:hAnsi="Times New Roman" w:cs="Times New Roman"/>
          <w:sz w:val="24"/>
          <w:szCs w:val="24"/>
          <w:lang w:val="en-GB"/>
        </w:rPr>
        <w:t xml:space="preserve"> included values in the range of hebephilic age preferences (i.e.</w:t>
      </w:r>
      <w:r>
        <w:rPr>
          <w:rFonts w:ascii="Times New Roman" w:hAnsi="Times New Roman" w:cs="Times New Roman"/>
          <w:sz w:val="24"/>
          <w:szCs w:val="24"/>
          <w:lang w:val="en-GB"/>
        </w:rPr>
        <w:t>,</w:t>
      </w:r>
      <w:r w:rsidRPr="002F362B">
        <w:rPr>
          <w:rFonts w:ascii="Times New Roman" w:hAnsi="Times New Roman" w:cs="Times New Roman"/>
          <w:sz w:val="24"/>
          <w:szCs w:val="24"/>
          <w:lang w:val="en-GB"/>
        </w:rPr>
        <w:t xml:space="preserve"> &lt; 15 years</w:t>
      </w:r>
      <w:r>
        <w:rPr>
          <w:rFonts w:ascii="Times New Roman" w:hAnsi="Times New Roman" w:cs="Times New Roman"/>
          <w:sz w:val="24"/>
          <w:szCs w:val="24"/>
          <w:lang w:val="en-GB"/>
        </w:rPr>
        <w:t>; n</w:t>
      </w:r>
      <w:r w:rsidRPr="001762FB">
        <w:rPr>
          <w:rFonts w:ascii="Times New Roman" w:hAnsi="Times New Roman" w:cs="Times New Roman"/>
          <w:sz w:val="24"/>
          <w:szCs w:val="24"/>
          <w:lang w:val="en-GB"/>
        </w:rPr>
        <w:t xml:space="preserve"> = 1402</w:t>
      </w:r>
      <w:r>
        <w:rPr>
          <w:rFonts w:ascii="Times New Roman" w:hAnsi="Times New Roman" w:cs="Times New Roman"/>
          <w:sz w:val="24"/>
          <w:szCs w:val="24"/>
          <w:lang w:val="en-GB"/>
        </w:rPr>
        <w:t>; 613 males, 747 females).</w:t>
      </w:r>
    </w:p>
    <w:p w14:paraId="07CA2EE6" w14:textId="77777777" w:rsidR="00204FFF" w:rsidRPr="00E46647" w:rsidRDefault="00204FFF" w:rsidP="00204FFF">
      <w:pPr>
        <w:pStyle w:val="berschrift2"/>
      </w:pPr>
      <w:r w:rsidRPr="00E46647">
        <w:t>EFA without young person items (males only)</w:t>
      </w:r>
    </w:p>
    <w:p w14:paraId="7275F21C" w14:textId="77777777" w:rsidR="00204FFF" w:rsidRDefault="00204FFF" w:rsidP="00204FFF">
      <w:pPr>
        <w:spacing w:line="480" w:lineRule="auto"/>
        <w:rPr>
          <w:rFonts w:ascii="Times New Roman" w:hAnsi="Times New Roman" w:cs="Times New Roman"/>
          <w:sz w:val="24"/>
          <w:szCs w:val="24"/>
          <w:lang w:val="en-GB"/>
        </w:rPr>
      </w:pPr>
      <w:r w:rsidRPr="002A7ABB">
        <w:rPr>
          <w:rFonts w:ascii="Times New Roman" w:hAnsi="Times New Roman" w:cs="Times New Roman"/>
          <w:sz w:val="24"/>
          <w:szCs w:val="24"/>
          <w:lang w:val="en-GB"/>
        </w:rPr>
        <w:t>Bartlett’s test of sphericity (Bartlett, 1954) indicated that the correlation matrix was not random</w:t>
      </w:r>
      <w:r>
        <w:rPr>
          <w:rFonts w:ascii="Times New Roman" w:hAnsi="Times New Roman" w:cs="Times New Roman"/>
          <w:sz w:val="24"/>
          <w:szCs w:val="24"/>
          <w:lang w:val="en-GB"/>
        </w:rPr>
        <w:t xml:space="preserve"> (</w:t>
      </w:r>
      <w:r w:rsidRPr="002A7ABB">
        <w:rPr>
          <w:rFonts w:ascii="Times New Roman" w:hAnsi="Times New Roman" w:cs="Times New Roman"/>
          <w:sz w:val="24"/>
          <w:szCs w:val="24"/>
          <w:lang w:val="en-GB"/>
        </w:rPr>
        <w:t>χ2(</w:t>
      </w:r>
      <w:r>
        <w:rPr>
          <w:rFonts w:ascii="Times New Roman" w:hAnsi="Times New Roman" w:cs="Times New Roman"/>
          <w:sz w:val="24"/>
          <w:szCs w:val="24"/>
          <w:lang w:val="en-GB"/>
        </w:rPr>
        <w:t>78</w:t>
      </w:r>
      <w:r w:rsidRPr="002A7ABB">
        <w:rPr>
          <w:rFonts w:ascii="Times New Roman" w:hAnsi="Times New Roman" w:cs="Times New Roman"/>
          <w:sz w:val="24"/>
          <w:szCs w:val="24"/>
          <w:lang w:val="en-GB"/>
        </w:rPr>
        <w:t xml:space="preserve">) = </w:t>
      </w:r>
      <w:r>
        <w:rPr>
          <w:rFonts w:ascii="Times New Roman" w:hAnsi="Times New Roman" w:cs="Times New Roman"/>
          <w:sz w:val="24"/>
          <w:szCs w:val="24"/>
          <w:lang w:val="en-GB"/>
        </w:rPr>
        <w:t>68035.02</w:t>
      </w:r>
      <w:r w:rsidRPr="002A7ABB">
        <w:rPr>
          <w:rFonts w:ascii="Times New Roman" w:hAnsi="Times New Roman" w:cs="Times New Roman"/>
          <w:sz w:val="24"/>
          <w:szCs w:val="24"/>
          <w:lang w:val="en-GB"/>
        </w:rPr>
        <w:t>, p &lt; .001</w:t>
      </w:r>
      <w:r>
        <w:rPr>
          <w:rFonts w:ascii="Times New Roman" w:hAnsi="Times New Roman" w:cs="Times New Roman"/>
          <w:sz w:val="24"/>
          <w:szCs w:val="24"/>
          <w:lang w:val="en-GB"/>
        </w:rPr>
        <w:t>)</w:t>
      </w:r>
      <w:r w:rsidRPr="002A7ABB">
        <w:rPr>
          <w:rFonts w:ascii="Times New Roman" w:hAnsi="Times New Roman" w:cs="Times New Roman"/>
          <w:sz w:val="24"/>
          <w:szCs w:val="24"/>
          <w:lang w:val="en-GB"/>
        </w:rPr>
        <w:t xml:space="preserve">, but KMO </w:t>
      </w:r>
      <w:r>
        <w:rPr>
          <w:rFonts w:ascii="Times New Roman" w:hAnsi="Times New Roman" w:cs="Times New Roman"/>
          <w:sz w:val="24"/>
          <w:szCs w:val="24"/>
          <w:lang w:val="en-GB"/>
        </w:rPr>
        <w:t>values</w:t>
      </w:r>
      <w:r w:rsidRPr="002A7ABB">
        <w:rPr>
          <w:rFonts w:ascii="Times New Roman" w:hAnsi="Times New Roman" w:cs="Times New Roman"/>
          <w:sz w:val="24"/>
          <w:szCs w:val="24"/>
          <w:lang w:val="en-GB"/>
        </w:rPr>
        <w:t xml:space="preserve"> (Kaiser, 1974) were below the minimum standard for conducting FA (.50), overall and for </w:t>
      </w:r>
      <w:r>
        <w:rPr>
          <w:rFonts w:ascii="Times New Roman" w:hAnsi="Times New Roman" w:cs="Times New Roman"/>
          <w:sz w:val="24"/>
          <w:szCs w:val="24"/>
          <w:lang w:val="en-GB"/>
        </w:rPr>
        <w:t>1</w:t>
      </w:r>
      <w:r w:rsidRPr="00B02800">
        <w:rPr>
          <w:rFonts w:ascii="Times New Roman" w:hAnsi="Times New Roman" w:cs="Times New Roman"/>
          <w:sz w:val="24"/>
          <w:szCs w:val="24"/>
          <w:highlight w:val="green"/>
          <w:lang w:val="en-GB"/>
        </w:rPr>
        <w:t>6</w:t>
      </w:r>
      <w:r w:rsidRPr="002A7ABB">
        <w:rPr>
          <w:rFonts w:ascii="Times New Roman" w:hAnsi="Times New Roman" w:cs="Times New Roman"/>
          <w:sz w:val="24"/>
          <w:szCs w:val="24"/>
          <w:lang w:val="en-GB"/>
        </w:rPr>
        <w:t xml:space="preserve"> of the 17 items (Appendix </w:t>
      </w:r>
      <w:r>
        <w:rPr>
          <w:rFonts w:ascii="Times New Roman" w:hAnsi="Times New Roman" w:cs="Times New Roman"/>
          <w:sz w:val="24"/>
          <w:szCs w:val="24"/>
          <w:lang w:val="en-GB"/>
        </w:rPr>
        <w:t>?</w:t>
      </w:r>
      <w:r w:rsidRPr="002A7ABB">
        <w:rPr>
          <w:rFonts w:ascii="Times New Roman" w:hAnsi="Times New Roman" w:cs="Times New Roman"/>
          <w:sz w:val="24"/>
          <w:szCs w:val="24"/>
          <w:lang w:val="en-GB"/>
        </w:rPr>
        <w:t>)</w:t>
      </w:r>
      <w:r>
        <w:rPr>
          <w:rFonts w:ascii="Times New Roman" w:hAnsi="Times New Roman" w:cs="Times New Roman"/>
          <w:sz w:val="24"/>
          <w:szCs w:val="24"/>
          <w:lang w:val="en-GB"/>
        </w:rPr>
        <w:t>, thus indicating that the correlation matrix was not well suited for factor analysis.</w:t>
      </w:r>
      <w:r w:rsidRPr="003E7D32">
        <w:rPr>
          <w:rFonts w:ascii="Times New Roman" w:hAnsi="Times New Roman" w:cs="Times New Roman"/>
          <w:sz w:val="24"/>
          <w:szCs w:val="24"/>
          <w:lang w:val="en-GB"/>
        </w:rPr>
        <w:t xml:space="preserve"> </w:t>
      </w:r>
      <w:r w:rsidRPr="002A7ABB">
        <w:rPr>
          <w:rFonts w:ascii="Times New Roman" w:hAnsi="Times New Roman" w:cs="Times New Roman"/>
          <w:sz w:val="24"/>
          <w:szCs w:val="24"/>
          <w:lang w:val="en-GB"/>
        </w:rPr>
        <w:t>Due to the non-normality (Mardia’s multivariate skew and kurtosis with p &lt; .001) and the ordinal nature of the items, a polychoric correlation matrix was used</w:t>
      </w:r>
      <w:r>
        <w:rPr>
          <w:rFonts w:ascii="Times New Roman" w:hAnsi="Times New Roman" w:cs="Times New Roman"/>
          <w:sz w:val="24"/>
          <w:szCs w:val="24"/>
          <w:lang w:val="en-GB"/>
        </w:rPr>
        <w:t xml:space="preserve"> as input for EFA.</w:t>
      </w:r>
    </w:p>
    <w:p w14:paraId="31D62418" w14:textId="77777777" w:rsidR="00204FFF" w:rsidRDefault="00204FFF" w:rsidP="00204FF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Parallel analysis suggested 3 factors when based on components, and 6 factors when based on factors. </w:t>
      </w:r>
      <w:r w:rsidRPr="00C42EB0">
        <w:rPr>
          <w:rFonts w:ascii="Times New Roman" w:hAnsi="Times New Roman" w:cs="Times New Roman"/>
          <w:sz w:val="24"/>
          <w:szCs w:val="24"/>
          <w:lang w:val="en-GB"/>
        </w:rPr>
        <w:t xml:space="preserve">According to the scree </w:t>
      </w:r>
      <w:r>
        <w:rPr>
          <w:rFonts w:ascii="Times New Roman" w:hAnsi="Times New Roman" w:cs="Times New Roman"/>
          <w:sz w:val="24"/>
          <w:szCs w:val="24"/>
          <w:lang w:val="en-GB"/>
        </w:rPr>
        <w:t xml:space="preserve">plots, 1-4 factors were possible. Therefore, six- to two-factor solutions were sequentially examined. </w:t>
      </w:r>
      <w:r w:rsidRPr="00786D7C">
        <w:rPr>
          <w:rFonts w:ascii="Times New Roman" w:hAnsi="Times New Roman" w:cs="Times New Roman"/>
          <w:sz w:val="24"/>
          <w:szCs w:val="24"/>
          <w:lang w:val="en-GB"/>
        </w:rPr>
        <w:t xml:space="preserve">For all models, significant </w:t>
      </w:r>
      <w:r w:rsidRPr="002A7ABB">
        <w:rPr>
          <w:rFonts w:ascii="Times New Roman" w:hAnsi="Times New Roman" w:cs="Times New Roman"/>
          <w:sz w:val="24"/>
          <w:szCs w:val="24"/>
          <w:lang w:val="en-GB"/>
        </w:rPr>
        <w:t>χ</w:t>
      </w:r>
      <w:r w:rsidRPr="00786D7C">
        <w:rPr>
          <w:rFonts w:ascii="Times New Roman" w:hAnsi="Times New Roman" w:cs="Times New Roman"/>
          <w:sz w:val="24"/>
          <w:szCs w:val="24"/>
          <w:vertAlign w:val="superscript"/>
          <w:lang w:val="en-GB"/>
        </w:rPr>
        <w:t>2</w:t>
      </w:r>
      <w:r w:rsidRPr="00786D7C">
        <w:rPr>
          <w:rFonts w:ascii="Times New Roman" w:hAnsi="Times New Roman" w:cs="Times New Roman"/>
          <w:sz w:val="24"/>
          <w:szCs w:val="24"/>
          <w:lang w:val="en-GB"/>
        </w:rPr>
        <w:t xml:space="preserve">-Tests (p &lt; .001) indicated that the </w:t>
      </w:r>
      <w:r>
        <w:rPr>
          <w:rFonts w:ascii="Times New Roman" w:hAnsi="Times New Roman" w:cs="Times New Roman"/>
          <w:sz w:val="24"/>
          <w:szCs w:val="24"/>
          <w:lang w:val="en-GB"/>
        </w:rPr>
        <w:t>factor solutions did not fit the data well, while SRMR values [</w:t>
      </w:r>
      <w:r w:rsidRPr="00466643">
        <w:rPr>
          <w:rFonts w:ascii="Times New Roman" w:hAnsi="Times New Roman" w:cs="Times New Roman"/>
          <w:sz w:val="24"/>
          <w:szCs w:val="24"/>
          <w:highlight w:val="green"/>
          <w:lang w:val="en-GB"/>
        </w:rPr>
        <w:t>0.0</w:t>
      </w:r>
      <w:r>
        <w:rPr>
          <w:rFonts w:ascii="Times New Roman" w:hAnsi="Times New Roman" w:cs="Times New Roman"/>
          <w:sz w:val="24"/>
          <w:szCs w:val="24"/>
          <w:highlight w:val="green"/>
          <w:lang w:val="en-GB"/>
        </w:rPr>
        <w:t>1</w:t>
      </w:r>
      <w:r w:rsidRPr="00466643">
        <w:rPr>
          <w:rFonts w:ascii="Times New Roman" w:hAnsi="Times New Roman" w:cs="Times New Roman"/>
          <w:sz w:val="24"/>
          <w:szCs w:val="24"/>
          <w:highlight w:val="green"/>
          <w:lang w:val="en-GB"/>
        </w:rPr>
        <w:t>, 0.0</w:t>
      </w:r>
      <w:r>
        <w:rPr>
          <w:rFonts w:ascii="Times New Roman" w:hAnsi="Times New Roman" w:cs="Times New Roman"/>
          <w:sz w:val="24"/>
          <w:szCs w:val="24"/>
          <w:lang w:val="en-GB"/>
        </w:rPr>
        <w:t>6] were good to acceptable. The six-factor-solution produced factors on criminal sexual deviance (6 items on sexual activity with a child, and without consent),</w:t>
      </w:r>
      <w:r w:rsidRPr="00454A1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on traffic offences (2 items), on violent offences (2 items), and three 1-item factors on sexual activity with an animal, a prostitute, and watching porn in public. </w:t>
      </w:r>
      <w:r w:rsidRPr="00C24819">
        <w:rPr>
          <w:rFonts w:ascii="Times New Roman" w:hAnsi="Times New Roman" w:cs="Times New Roman"/>
          <w:sz w:val="24"/>
          <w:szCs w:val="24"/>
          <w:lang w:val="en-GB"/>
        </w:rPr>
        <w:t>For solutions with less than 6 factors, the item on sexual behavior with an animal loaded on the criminal sexual deviance factor, and the other solutions differed only in whether items on watching porn in public and sexual activity with a prostitute each constituted a factor</w:t>
      </w:r>
      <w:r>
        <w:rPr>
          <w:rFonts w:ascii="Times New Roman" w:hAnsi="Times New Roman" w:cs="Times New Roman"/>
          <w:sz w:val="24"/>
          <w:szCs w:val="24"/>
          <w:lang w:val="en-GB"/>
        </w:rPr>
        <w:t>. The two-factor-solution differentiated only between criminal sexual behaviours (7 items),</w:t>
      </w:r>
      <w:r w:rsidRPr="00A535D2">
        <w:rPr>
          <w:rFonts w:ascii="Times New Roman" w:hAnsi="Times New Roman" w:cs="Times New Roman"/>
          <w:sz w:val="24"/>
          <w:szCs w:val="24"/>
          <w:lang w:val="en-GB"/>
        </w:rPr>
        <w:t xml:space="preserve"> </w:t>
      </w:r>
      <w:r>
        <w:rPr>
          <w:rFonts w:ascii="Times New Roman" w:hAnsi="Times New Roman" w:cs="Times New Roman"/>
          <w:sz w:val="24"/>
          <w:szCs w:val="24"/>
          <w:lang w:val="en-GB"/>
        </w:rPr>
        <w:t>and all other behaviours (5 items), while the item on watching porn in public did not load.</w:t>
      </w:r>
    </w:p>
    <w:p w14:paraId="7F33735F" w14:textId="77777777" w:rsidR="00204FFF" w:rsidRPr="00640A9D" w:rsidRDefault="00204FFF" w:rsidP="00204FFF">
      <w:pPr>
        <w:spacing w:line="480" w:lineRule="auto"/>
        <w:rPr>
          <w:rFonts w:ascii="Times New Roman" w:hAnsi="Times New Roman" w:cs="Times New Roman"/>
          <w:sz w:val="24"/>
          <w:szCs w:val="24"/>
          <w:lang w:val="en-US"/>
        </w:rPr>
      </w:pPr>
      <w:r w:rsidRPr="00471821">
        <w:rPr>
          <w:rFonts w:ascii="Times New Roman" w:hAnsi="Times New Roman" w:cs="Times New Roman"/>
          <w:sz w:val="24"/>
          <w:szCs w:val="24"/>
          <w:lang w:val="en-US"/>
        </w:rPr>
        <w:t xml:space="preserve">Overall, the </w:t>
      </w:r>
      <w:commentRangeStart w:id="1"/>
      <w:r w:rsidRPr="00471821">
        <w:rPr>
          <w:rFonts w:ascii="Times New Roman" w:hAnsi="Times New Roman" w:cs="Times New Roman"/>
          <w:sz w:val="24"/>
          <w:szCs w:val="24"/>
          <w:lang w:val="en-US"/>
        </w:rPr>
        <w:t xml:space="preserve">5-factor </w:t>
      </w:r>
      <w:commentRangeEnd w:id="1"/>
      <w:r>
        <w:rPr>
          <w:rStyle w:val="Kommentarzeichen"/>
        </w:rPr>
        <w:commentReference w:id="1"/>
      </w:r>
      <w:r w:rsidRPr="00471821">
        <w:rPr>
          <w:rFonts w:ascii="Times New Roman" w:hAnsi="Times New Roman" w:cs="Times New Roman"/>
          <w:sz w:val="24"/>
          <w:szCs w:val="24"/>
          <w:lang w:val="en-US"/>
        </w:rPr>
        <w:t xml:space="preserve">solution was considered </w:t>
      </w:r>
      <w:r>
        <w:rPr>
          <w:rFonts w:ascii="Times New Roman" w:hAnsi="Times New Roman" w:cs="Times New Roman"/>
          <w:sz w:val="24"/>
          <w:szCs w:val="24"/>
          <w:lang w:val="en-US"/>
        </w:rPr>
        <w:t>best</w:t>
      </w:r>
      <w:r w:rsidRPr="00471821">
        <w:rPr>
          <w:rFonts w:ascii="Times New Roman" w:hAnsi="Times New Roman" w:cs="Times New Roman"/>
          <w:sz w:val="24"/>
          <w:szCs w:val="24"/>
          <w:lang w:val="en-US"/>
        </w:rPr>
        <w:t xml:space="preserve"> interpretable and most consistent with theoretical considerations and </w:t>
      </w:r>
      <w:r>
        <w:rPr>
          <w:rFonts w:ascii="Times New Roman" w:hAnsi="Times New Roman" w:cs="Times New Roman"/>
          <w:sz w:val="24"/>
          <w:szCs w:val="24"/>
          <w:lang w:val="en-US"/>
        </w:rPr>
        <w:t>empirical</w:t>
      </w:r>
      <w:r w:rsidRPr="00471821">
        <w:rPr>
          <w:rFonts w:ascii="Times New Roman" w:hAnsi="Times New Roman" w:cs="Times New Roman"/>
          <w:sz w:val="24"/>
          <w:szCs w:val="24"/>
          <w:lang w:val="en-US"/>
        </w:rPr>
        <w:t xml:space="preserve"> results (</w:t>
      </w:r>
      <w:r>
        <w:rPr>
          <w:rFonts w:ascii="Times New Roman" w:hAnsi="Times New Roman" w:cs="Times New Roman"/>
          <w:sz w:val="24"/>
          <w:szCs w:val="24"/>
          <w:lang w:val="en-US"/>
        </w:rPr>
        <w:t xml:space="preserve">e.g., </w:t>
      </w:r>
      <w:r w:rsidRPr="00471821">
        <w:rPr>
          <w:rFonts w:ascii="Times New Roman" w:hAnsi="Times New Roman" w:cs="Times New Roman"/>
          <w:sz w:val="24"/>
          <w:szCs w:val="24"/>
          <w:lang w:val="en-US"/>
        </w:rPr>
        <w:t>Lehmann et al., in press).</w:t>
      </w:r>
      <w:r>
        <w:rPr>
          <w:rFonts w:ascii="Times New Roman" w:hAnsi="Times New Roman" w:cs="Times New Roman"/>
          <w:sz w:val="24"/>
          <w:szCs w:val="24"/>
          <w:lang w:val="en-US"/>
        </w:rPr>
        <w:t xml:space="preserve"> Accordingly, the sexual deviance factor accounted for 44% of the common variance (traffic offences: 9%, violent offences: 8%, sexual behavior 7%, watching porn in public 6%; overall 78%). The internal consistency was good for the sexual deviance factor</w:t>
      </w:r>
      <w:r w:rsidRPr="00EF50D9">
        <w:rPr>
          <w:rFonts w:ascii="Times New Roman" w:hAnsi="Times New Roman" w:cs="Times New Roman"/>
          <w:sz w:val="24"/>
          <w:szCs w:val="24"/>
          <w:lang w:val="en-US"/>
        </w:rPr>
        <w:t xml:space="preserve"> (α = ω =</w:t>
      </w:r>
      <w:r w:rsidRPr="006521D3">
        <w:rPr>
          <w:rFonts w:ascii="Times New Roman" w:hAnsi="Times New Roman" w:cs="Times New Roman"/>
          <w:sz w:val="24"/>
          <w:szCs w:val="24"/>
          <w:lang w:val="en-US"/>
        </w:rPr>
        <w:t>.</w:t>
      </w:r>
      <w:r>
        <w:rPr>
          <w:rFonts w:ascii="Times New Roman" w:hAnsi="Times New Roman" w:cs="Times New Roman"/>
          <w:sz w:val="24"/>
          <w:szCs w:val="24"/>
          <w:lang w:val="en-US"/>
        </w:rPr>
        <w:t>78</w:t>
      </w:r>
      <w:r w:rsidRPr="00EF50D9">
        <w:rPr>
          <w:rFonts w:ascii="Times New Roman" w:hAnsi="Times New Roman" w:cs="Times New Roman"/>
          <w:sz w:val="24"/>
          <w:szCs w:val="24"/>
          <w:lang w:val="en-US"/>
        </w:rPr>
        <w:t>),</w:t>
      </w:r>
      <w:r>
        <w:rPr>
          <w:rFonts w:ascii="Times New Roman" w:hAnsi="Times New Roman" w:cs="Times New Roman"/>
          <w:sz w:val="24"/>
          <w:szCs w:val="24"/>
          <w:lang w:val="en-US"/>
        </w:rPr>
        <w:t xml:space="preserve"> but</w:t>
      </w:r>
      <w:r w:rsidRPr="00EF50D9">
        <w:rPr>
          <w:rFonts w:ascii="Times New Roman" w:hAnsi="Times New Roman" w:cs="Times New Roman"/>
          <w:sz w:val="24"/>
          <w:szCs w:val="24"/>
          <w:lang w:val="en-US"/>
        </w:rPr>
        <w:t xml:space="preserve"> not acceptable for the traffic offences (Φ = .19) and violent offences (Φ = .30) factor.</w:t>
      </w:r>
      <w:r>
        <w:rPr>
          <w:rFonts w:ascii="Times New Roman" w:hAnsi="Times New Roman" w:cs="Times New Roman"/>
          <w:sz w:val="24"/>
          <w:szCs w:val="24"/>
          <w:lang w:val="en-US"/>
        </w:rPr>
        <w:t xml:space="preserve"> Therefore, the 7-item-scale “criminal sexual behavior” as well as individual items on proclivities to engage in deviant behavior were used as criteria in </w:t>
      </w:r>
      <w:r w:rsidRPr="00C86C97">
        <w:rPr>
          <w:rFonts w:ascii="Times New Roman" w:hAnsi="Times New Roman" w:cs="Times New Roman"/>
          <w:sz w:val="24"/>
          <w:szCs w:val="24"/>
          <w:lang w:val="en-US"/>
        </w:rPr>
        <w:t>further analyses</w:t>
      </w:r>
      <w:r>
        <w:rPr>
          <w:rFonts w:ascii="Times New Roman" w:hAnsi="Times New Roman" w:cs="Times New Roman"/>
          <w:sz w:val="24"/>
          <w:szCs w:val="24"/>
          <w:lang w:val="en-US"/>
        </w:rPr>
        <w:t>. The 4-item-scale “</w:t>
      </w:r>
      <w:r>
        <w:rPr>
          <w:rFonts w:ascii="Times New Roman" w:hAnsi="Times New Roman" w:cs="Times New Roman"/>
          <w:sz w:val="24"/>
          <w:szCs w:val="24"/>
          <w:lang w:val="en-GB"/>
        </w:rPr>
        <w:t xml:space="preserve">sexual activity with a young person” </w:t>
      </w:r>
      <w:r>
        <w:rPr>
          <w:rFonts w:ascii="Times New Roman" w:hAnsi="Times New Roman" w:cs="Times New Roman"/>
          <w:sz w:val="24"/>
          <w:szCs w:val="24"/>
          <w:lang w:val="en-US"/>
        </w:rPr>
        <w:t>(</w:t>
      </w:r>
      <w:r>
        <w:rPr>
          <w:rFonts w:ascii="Times New Roman" w:hAnsi="Times New Roman" w:cs="Times New Roman"/>
          <w:sz w:val="24"/>
          <w:szCs w:val="24"/>
          <w:lang w:val="en-GB"/>
        </w:rPr>
        <w:t xml:space="preserve">α </w:t>
      </w:r>
      <w:r w:rsidRPr="00EF50D9">
        <w:rPr>
          <w:rFonts w:ascii="Times New Roman" w:hAnsi="Times New Roman" w:cs="Times New Roman"/>
          <w:sz w:val="24"/>
          <w:szCs w:val="24"/>
          <w:lang w:val="en-US"/>
        </w:rPr>
        <w:t>= .82, ω = .84)</w:t>
      </w:r>
      <w:r>
        <w:rPr>
          <w:rFonts w:ascii="Times New Roman" w:hAnsi="Times New Roman" w:cs="Times New Roman"/>
          <w:sz w:val="24"/>
          <w:szCs w:val="24"/>
          <w:lang w:val="en-US"/>
        </w:rPr>
        <w:t xml:space="preserve"> </w:t>
      </w:r>
      <w:r>
        <w:rPr>
          <w:rFonts w:ascii="Times New Roman" w:hAnsi="Times New Roman" w:cs="Times New Roman"/>
          <w:sz w:val="24"/>
          <w:szCs w:val="24"/>
          <w:lang w:val="en-GB"/>
        </w:rPr>
        <w:t xml:space="preserve">was used as criterion only with participants whose </w:t>
      </w:r>
      <w:r w:rsidRPr="002F362B">
        <w:rPr>
          <w:rFonts w:ascii="Times New Roman" w:hAnsi="Times New Roman" w:cs="Times New Roman"/>
          <w:sz w:val="24"/>
          <w:szCs w:val="24"/>
          <w:lang w:val="en-GB"/>
        </w:rPr>
        <w:t xml:space="preserve">specified age range for </w:t>
      </w:r>
      <w:r>
        <w:rPr>
          <w:rFonts w:ascii="Times New Roman" w:hAnsi="Times New Roman" w:cs="Times New Roman"/>
          <w:sz w:val="24"/>
          <w:szCs w:val="24"/>
          <w:lang w:val="en-GB"/>
        </w:rPr>
        <w:t>“</w:t>
      </w:r>
      <w:r w:rsidRPr="002F362B">
        <w:rPr>
          <w:rFonts w:ascii="Times New Roman" w:hAnsi="Times New Roman" w:cs="Times New Roman"/>
          <w:sz w:val="24"/>
          <w:szCs w:val="24"/>
          <w:lang w:val="en-GB"/>
        </w:rPr>
        <w:t>young persons</w:t>
      </w:r>
      <w:r>
        <w:rPr>
          <w:rFonts w:ascii="Times New Roman" w:hAnsi="Times New Roman" w:cs="Times New Roman"/>
          <w:sz w:val="24"/>
          <w:szCs w:val="24"/>
          <w:lang w:val="en-GB"/>
        </w:rPr>
        <w:t>”</w:t>
      </w:r>
      <w:r w:rsidRPr="002F362B">
        <w:rPr>
          <w:rFonts w:ascii="Times New Roman" w:hAnsi="Times New Roman" w:cs="Times New Roman"/>
          <w:sz w:val="24"/>
          <w:szCs w:val="24"/>
          <w:lang w:val="en-GB"/>
        </w:rPr>
        <w:t xml:space="preserve"> included values in the range of hebephilic age preferences (i.e.</w:t>
      </w:r>
      <w:r>
        <w:rPr>
          <w:rFonts w:ascii="Times New Roman" w:hAnsi="Times New Roman" w:cs="Times New Roman"/>
          <w:sz w:val="24"/>
          <w:szCs w:val="24"/>
          <w:lang w:val="en-GB"/>
        </w:rPr>
        <w:t>,</w:t>
      </w:r>
      <w:r w:rsidRPr="002F362B">
        <w:rPr>
          <w:rFonts w:ascii="Times New Roman" w:hAnsi="Times New Roman" w:cs="Times New Roman"/>
          <w:sz w:val="24"/>
          <w:szCs w:val="24"/>
          <w:lang w:val="en-GB"/>
        </w:rPr>
        <w:t xml:space="preserve"> &lt; 15 years</w:t>
      </w:r>
      <w:r>
        <w:rPr>
          <w:rFonts w:ascii="Times New Roman" w:hAnsi="Times New Roman" w:cs="Times New Roman"/>
          <w:sz w:val="24"/>
          <w:szCs w:val="24"/>
          <w:lang w:val="en-GB"/>
        </w:rPr>
        <w:t>; n</w:t>
      </w:r>
      <w:r w:rsidRPr="001762FB">
        <w:rPr>
          <w:rFonts w:ascii="Times New Roman" w:hAnsi="Times New Roman" w:cs="Times New Roman"/>
          <w:sz w:val="24"/>
          <w:szCs w:val="24"/>
          <w:lang w:val="en-GB"/>
        </w:rPr>
        <w:t xml:space="preserve"> = 1402</w:t>
      </w:r>
      <w:r>
        <w:rPr>
          <w:rFonts w:ascii="Times New Roman" w:hAnsi="Times New Roman" w:cs="Times New Roman"/>
          <w:sz w:val="24"/>
          <w:szCs w:val="24"/>
          <w:lang w:val="en-GB"/>
        </w:rPr>
        <w:t>; 613 males, 747 females).</w:t>
      </w:r>
    </w:p>
    <w:p w14:paraId="166F71D5" w14:textId="77777777" w:rsidR="00164280" w:rsidRDefault="00164280">
      <w:pPr>
        <w:rPr>
          <w:lang w:val="en-US"/>
        </w:rPr>
      </w:pPr>
    </w:p>
    <w:p w14:paraId="5D9C25BD" w14:textId="77777777" w:rsidR="00E35A81" w:rsidRDefault="00E35A81">
      <w:pPr>
        <w:rPr>
          <w:lang w:val="en-US"/>
        </w:rPr>
      </w:pPr>
    </w:p>
    <w:p w14:paraId="33878A1A" w14:textId="624860D6" w:rsidR="00E35A81" w:rsidRPr="005B3A22" w:rsidRDefault="00E35A81" w:rsidP="00E35A81">
      <w:pPr>
        <w:spacing w:after="60" w:line="360" w:lineRule="auto"/>
        <w:rPr>
          <w:rFonts w:ascii="Times New Roman" w:eastAsiaTheme="majorEastAsia" w:hAnsi="Times New Roman"/>
          <w:b/>
          <w:bCs/>
          <w:kern w:val="24"/>
          <w:lang w:val="en-US" w:eastAsia="ja-JP"/>
        </w:rPr>
      </w:pPr>
      <w:bookmarkStart w:id="2" w:name="_Toc42891895"/>
      <w:bookmarkStart w:id="3" w:name="_Toc42892774"/>
      <w:r w:rsidRPr="005B3A22">
        <w:rPr>
          <w:rFonts w:ascii="Times New Roman" w:eastAsiaTheme="minorEastAsia" w:hAnsi="Times New Roman"/>
          <w:b/>
          <w:bCs/>
          <w:kern w:val="24"/>
          <w:lang w:val="en-US" w:eastAsia="ja-JP"/>
        </w:rPr>
        <w:lastRenderedPageBreak/>
        <w:t xml:space="preserve">Table </w:t>
      </w:r>
      <w:bookmarkEnd w:id="2"/>
      <w:bookmarkEnd w:id="3"/>
      <w:r>
        <w:rPr>
          <w:rFonts w:ascii="Times New Roman" w:eastAsiaTheme="minorEastAsia" w:hAnsi="Times New Roman"/>
          <w:b/>
          <w:bCs/>
          <w:kern w:val="24"/>
          <w:lang w:val="en-US" w:eastAsia="ja-JP"/>
        </w:rPr>
        <w:t>r</w:t>
      </w:r>
      <w:r>
        <w:rPr>
          <w:rFonts w:ascii="Times New Roman" w:eastAsiaTheme="minorEastAsia" w:hAnsi="Times New Roman"/>
          <w:b/>
          <w:bCs/>
          <w:kern w:val="24"/>
          <w:lang w:val="en-US" w:eastAsia="ja-JP"/>
        </w:rPr>
        <w:t xml:space="preserve"> whole sample</w:t>
      </w:r>
    </w:p>
    <w:p w14:paraId="71C9DC30" w14:textId="77777777" w:rsidR="00E35A81" w:rsidRPr="00212580" w:rsidRDefault="00E35A81" w:rsidP="00E35A81">
      <w:pPr>
        <w:spacing w:after="0" w:line="360" w:lineRule="auto"/>
        <w:rPr>
          <w:rFonts w:ascii="Times New Roman" w:eastAsia="MS Mincho" w:hAnsi="Times New Roman"/>
          <w:i/>
          <w:iCs/>
          <w:lang w:val="en-US" w:eastAsia="ja-JP"/>
        </w:rPr>
      </w:pPr>
      <w:r w:rsidRPr="005B3A22">
        <w:rPr>
          <w:rFonts w:ascii="Times New Roman" w:eastAsia="MS Mincho" w:hAnsi="Times New Roman"/>
          <w:i/>
          <w:iCs/>
          <w:lang w:val="en-US" w:eastAsia="ja-JP"/>
        </w:rPr>
        <w:t>Spearman</w:t>
      </w:r>
      <w:r>
        <w:rPr>
          <w:rFonts w:ascii="Times New Roman" w:eastAsia="MS Mincho" w:hAnsi="Times New Roman"/>
          <w:i/>
          <w:iCs/>
          <w:lang w:val="en-US" w:eastAsia="ja-JP"/>
        </w:rPr>
        <w:t xml:space="preserve"> Correlation Coefficients</w:t>
      </w:r>
      <w:r w:rsidRPr="005B3A22">
        <w:rPr>
          <w:rFonts w:ascii="Times New Roman" w:eastAsia="MS Mincho" w:hAnsi="Times New Roman"/>
          <w:i/>
          <w:iCs/>
          <w:lang w:val="en-US" w:eastAsia="ja-JP"/>
        </w:rPr>
        <w:t xml:space="preserve"> and Internal Consistencies of </w:t>
      </w:r>
      <w:r>
        <w:rPr>
          <w:rFonts w:ascii="Times New Roman" w:eastAsia="MS Mincho" w:hAnsi="Times New Roman"/>
          <w:i/>
          <w:iCs/>
          <w:lang w:val="en-US" w:eastAsia="ja-JP"/>
        </w:rPr>
        <w:t>Motivational Factors and the Proclivity to Engage in Criminal Sexual Behaviour (7-Item-Scale)</w:t>
      </w:r>
      <w:r w:rsidRPr="005B3A22">
        <w:rPr>
          <w:rFonts w:ascii="Times New Roman" w:eastAsia="MS Mincho" w:hAnsi="Times New Roman"/>
          <w:i/>
          <w:iCs/>
          <w:lang w:val="en-US" w:eastAsia="ja-JP"/>
        </w:rPr>
        <w:t>.</w:t>
      </w:r>
    </w:p>
    <w:tbl>
      <w:tblPr>
        <w:tblStyle w:val="EinfacheTabelle212"/>
        <w:tblW w:w="9840" w:type="dxa"/>
        <w:tblBorders>
          <w:top w:val="none" w:sz="0" w:space="0" w:color="auto"/>
          <w:bottom w:val="none" w:sz="0" w:space="0" w:color="auto"/>
          <w:insideH w:val="single" w:sz="4" w:space="0" w:color="auto"/>
          <w:insideV w:val="single" w:sz="4" w:space="0" w:color="auto"/>
        </w:tblBorders>
        <w:tblLayout w:type="fixed"/>
        <w:tblLook w:val="04A0" w:firstRow="1" w:lastRow="0" w:firstColumn="1" w:lastColumn="0" w:noHBand="0" w:noVBand="1"/>
      </w:tblPr>
      <w:tblGrid>
        <w:gridCol w:w="1980"/>
        <w:gridCol w:w="982"/>
        <w:gridCol w:w="983"/>
        <w:gridCol w:w="982"/>
        <w:gridCol w:w="983"/>
        <w:gridCol w:w="982"/>
        <w:gridCol w:w="983"/>
        <w:gridCol w:w="982"/>
        <w:gridCol w:w="983"/>
      </w:tblGrid>
      <w:tr w:rsidR="00E35A81" w:rsidRPr="005B3A22" w14:paraId="55B0121E" w14:textId="77777777" w:rsidTr="00BE075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right w:val="nil"/>
            </w:tcBorders>
            <w:vAlign w:val="center"/>
          </w:tcPr>
          <w:p w14:paraId="681107FC" w14:textId="77777777" w:rsidR="00E35A81" w:rsidRPr="005B3A22" w:rsidRDefault="00E35A81" w:rsidP="00BE075F">
            <w:pPr>
              <w:spacing w:line="240" w:lineRule="auto"/>
              <w:rPr>
                <w:rFonts w:asciiTheme="minorHAnsi" w:hAnsiTheme="minorHAnsi" w:cstheme="minorHAnsi"/>
                <w:sz w:val="20"/>
                <w:szCs w:val="20"/>
                <w:lang w:val="en-US"/>
              </w:rPr>
            </w:pPr>
            <w:bookmarkStart w:id="4" w:name="_Hlk43049547"/>
          </w:p>
        </w:tc>
        <w:tc>
          <w:tcPr>
            <w:tcW w:w="982" w:type="dxa"/>
            <w:tcBorders>
              <w:top w:val="single" w:sz="4" w:space="0" w:color="auto"/>
              <w:left w:val="nil"/>
              <w:bottom w:val="single" w:sz="4" w:space="0" w:color="auto"/>
              <w:right w:val="nil"/>
            </w:tcBorders>
            <w:vAlign w:val="center"/>
          </w:tcPr>
          <w:p w14:paraId="706C33C6"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1.</w:t>
            </w:r>
          </w:p>
        </w:tc>
        <w:tc>
          <w:tcPr>
            <w:tcW w:w="983" w:type="dxa"/>
            <w:tcBorders>
              <w:top w:val="single" w:sz="4" w:space="0" w:color="auto"/>
              <w:left w:val="nil"/>
              <w:bottom w:val="single" w:sz="4" w:space="0" w:color="auto"/>
              <w:right w:val="nil"/>
            </w:tcBorders>
            <w:vAlign w:val="center"/>
          </w:tcPr>
          <w:p w14:paraId="020B1BFC"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2.</w:t>
            </w:r>
          </w:p>
        </w:tc>
        <w:tc>
          <w:tcPr>
            <w:tcW w:w="982" w:type="dxa"/>
            <w:tcBorders>
              <w:top w:val="single" w:sz="4" w:space="0" w:color="auto"/>
              <w:left w:val="nil"/>
              <w:bottom w:val="single" w:sz="4" w:space="0" w:color="auto"/>
              <w:right w:val="nil"/>
            </w:tcBorders>
            <w:vAlign w:val="center"/>
          </w:tcPr>
          <w:p w14:paraId="7F3D3922"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3.</w:t>
            </w:r>
          </w:p>
        </w:tc>
        <w:tc>
          <w:tcPr>
            <w:tcW w:w="983" w:type="dxa"/>
            <w:tcBorders>
              <w:top w:val="single" w:sz="4" w:space="0" w:color="auto"/>
              <w:left w:val="nil"/>
              <w:bottom w:val="single" w:sz="4" w:space="0" w:color="auto"/>
              <w:right w:val="nil"/>
            </w:tcBorders>
            <w:vAlign w:val="center"/>
          </w:tcPr>
          <w:p w14:paraId="6AC5BC18"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4.</w:t>
            </w:r>
          </w:p>
        </w:tc>
        <w:tc>
          <w:tcPr>
            <w:tcW w:w="982" w:type="dxa"/>
            <w:tcBorders>
              <w:top w:val="single" w:sz="4" w:space="0" w:color="auto"/>
              <w:left w:val="nil"/>
              <w:bottom w:val="single" w:sz="4" w:space="0" w:color="auto"/>
              <w:right w:val="nil"/>
            </w:tcBorders>
            <w:vAlign w:val="center"/>
          </w:tcPr>
          <w:p w14:paraId="3ECDE778"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5.</w:t>
            </w:r>
          </w:p>
        </w:tc>
        <w:tc>
          <w:tcPr>
            <w:tcW w:w="983" w:type="dxa"/>
            <w:tcBorders>
              <w:top w:val="single" w:sz="4" w:space="0" w:color="auto"/>
              <w:left w:val="nil"/>
              <w:bottom w:val="single" w:sz="4" w:space="0" w:color="auto"/>
              <w:right w:val="nil"/>
            </w:tcBorders>
            <w:vAlign w:val="center"/>
          </w:tcPr>
          <w:p w14:paraId="7C35BF15"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6.</w:t>
            </w:r>
          </w:p>
        </w:tc>
        <w:tc>
          <w:tcPr>
            <w:tcW w:w="982" w:type="dxa"/>
            <w:tcBorders>
              <w:top w:val="single" w:sz="4" w:space="0" w:color="auto"/>
              <w:left w:val="nil"/>
              <w:bottom w:val="single" w:sz="4" w:space="0" w:color="auto"/>
              <w:right w:val="nil"/>
            </w:tcBorders>
            <w:vAlign w:val="center"/>
          </w:tcPr>
          <w:p w14:paraId="34F07653"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7.</w:t>
            </w:r>
          </w:p>
        </w:tc>
        <w:tc>
          <w:tcPr>
            <w:tcW w:w="983" w:type="dxa"/>
            <w:tcBorders>
              <w:top w:val="single" w:sz="4" w:space="0" w:color="auto"/>
              <w:left w:val="nil"/>
              <w:bottom w:val="single" w:sz="4" w:space="0" w:color="auto"/>
              <w:right w:val="nil"/>
            </w:tcBorders>
            <w:vAlign w:val="center"/>
          </w:tcPr>
          <w:p w14:paraId="07F824FF" w14:textId="77777777" w:rsidR="00E35A81" w:rsidRPr="005B3A22" w:rsidRDefault="00E35A81" w:rsidP="00BE075F">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8.</w:t>
            </w:r>
          </w:p>
        </w:tc>
      </w:tr>
      <w:tr w:rsidR="00E35A81" w:rsidRPr="005B3A22" w14:paraId="0ECDE060" w14:textId="77777777" w:rsidTr="00BE075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right w:val="nil"/>
            </w:tcBorders>
            <w:vAlign w:val="center"/>
          </w:tcPr>
          <w:p w14:paraId="5EB3EDAD" w14:textId="77777777" w:rsidR="00E35A81" w:rsidRPr="005B3A22" w:rsidRDefault="00E35A81" w:rsidP="00E35A81">
            <w:pPr>
              <w:numPr>
                <w:ilvl w:val="0"/>
                <w:numId w:val="2"/>
              </w:numPr>
              <w:spacing w:before="120" w:line="240" w:lineRule="auto"/>
              <w:jc w:val="left"/>
              <w:rPr>
                <w:rFonts w:asciiTheme="minorHAnsi" w:hAnsiTheme="minorHAnsi" w:cstheme="minorHAnsi"/>
                <w:sz w:val="20"/>
                <w:szCs w:val="20"/>
                <w:lang w:val="en-US"/>
              </w:rPr>
            </w:pPr>
            <w:r w:rsidRPr="008B393D">
              <w:rPr>
                <w:rFonts w:asciiTheme="minorHAnsi" w:hAnsiTheme="minorHAnsi" w:cstheme="minorHAnsi"/>
                <w:sz w:val="20"/>
                <w:szCs w:val="20"/>
                <w:lang w:val="en-US"/>
              </w:rPr>
              <w:t>Attraction to children</w:t>
            </w:r>
          </w:p>
        </w:tc>
        <w:tc>
          <w:tcPr>
            <w:tcW w:w="982" w:type="dxa"/>
            <w:tcBorders>
              <w:top w:val="single" w:sz="4" w:space="0" w:color="auto"/>
              <w:left w:val="nil"/>
              <w:bottom w:val="single" w:sz="4" w:space="0" w:color="auto"/>
              <w:right w:val="nil"/>
            </w:tcBorders>
            <w:vAlign w:val="center"/>
          </w:tcPr>
          <w:p w14:paraId="37B1EB74"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i/>
                <w:sz w:val="20"/>
                <w:szCs w:val="20"/>
                <w:lang w:val="en-US"/>
              </w:rPr>
              <w:t>α =</w:t>
            </w:r>
          </w:p>
        </w:tc>
        <w:tc>
          <w:tcPr>
            <w:tcW w:w="983" w:type="dxa"/>
            <w:tcBorders>
              <w:top w:val="single" w:sz="4" w:space="0" w:color="auto"/>
              <w:left w:val="nil"/>
              <w:bottom w:val="single" w:sz="4" w:space="0" w:color="auto"/>
              <w:right w:val="nil"/>
            </w:tcBorders>
            <w:vAlign w:val="center"/>
          </w:tcPr>
          <w:p w14:paraId="3FA2804E"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2" w:type="dxa"/>
            <w:tcBorders>
              <w:top w:val="single" w:sz="4" w:space="0" w:color="auto"/>
              <w:left w:val="nil"/>
              <w:bottom w:val="single" w:sz="4" w:space="0" w:color="auto"/>
              <w:right w:val="nil"/>
            </w:tcBorders>
            <w:vAlign w:val="center"/>
          </w:tcPr>
          <w:p w14:paraId="58210EE5"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single" w:sz="4" w:space="0" w:color="auto"/>
              <w:left w:val="nil"/>
              <w:bottom w:val="single" w:sz="4" w:space="0" w:color="auto"/>
              <w:right w:val="nil"/>
            </w:tcBorders>
            <w:vAlign w:val="center"/>
          </w:tcPr>
          <w:p w14:paraId="074549E0"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2" w:type="dxa"/>
            <w:tcBorders>
              <w:top w:val="single" w:sz="4" w:space="0" w:color="auto"/>
              <w:left w:val="nil"/>
              <w:bottom w:val="single" w:sz="4" w:space="0" w:color="auto"/>
              <w:right w:val="nil"/>
            </w:tcBorders>
            <w:vAlign w:val="center"/>
          </w:tcPr>
          <w:p w14:paraId="082FD252"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single" w:sz="4" w:space="0" w:color="auto"/>
              <w:left w:val="nil"/>
              <w:bottom w:val="single" w:sz="4" w:space="0" w:color="auto"/>
              <w:right w:val="nil"/>
            </w:tcBorders>
            <w:vAlign w:val="center"/>
          </w:tcPr>
          <w:p w14:paraId="2DA45341"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2" w:type="dxa"/>
            <w:tcBorders>
              <w:top w:val="single" w:sz="4" w:space="0" w:color="auto"/>
              <w:left w:val="nil"/>
              <w:bottom w:val="single" w:sz="4" w:space="0" w:color="auto"/>
              <w:right w:val="nil"/>
            </w:tcBorders>
            <w:vAlign w:val="center"/>
          </w:tcPr>
          <w:p w14:paraId="141AB8B0"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single" w:sz="4" w:space="0" w:color="auto"/>
              <w:left w:val="nil"/>
              <w:bottom w:val="single" w:sz="4" w:space="0" w:color="auto"/>
              <w:right w:val="nil"/>
            </w:tcBorders>
            <w:vAlign w:val="center"/>
          </w:tcPr>
          <w:p w14:paraId="602BE3C5"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r>
      <w:tr w:rsidR="00E35A81" w:rsidRPr="008B393D" w14:paraId="39F90A19" w14:textId="77777777" w:rsidTr="00BE075F">
        <w:trPr>
          <w:trHeight w:val="425"/>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right w:val="nil"/>
            </w:tcBorders>
            <w:vAlign w:val="center"/>
          </w:tcPr>
          <w:p w14:paraId="0B257442" w14:textId="77777777" w:rsidR="00E35A81" w:rsidRPr="005B3A22" w:rsidRDefault="00E35A81" w:rsidP="00E35A81">
            <w:pPr>
              <w:numPr>
                <w:ilvl w:val="0"/>
                <w:numId w:val="2"/>
              </w:numPr>
              <w:spacing w:before="120" w:line="240" w:lineRule="auto"/>
              <w:rPr>
                <w:rFonts w:asciiTheme="minorHAnsi" w:hAnsiTheme="minorHAnsi" w:cstheme="minorHAnsi"/>
                <w:sz w:val="20"/>
                <w:szCs w:val="20"/>
                <w:lang w:val="en-US"/>
              </w:rPr>
            </w:pPr>
            <w:r w:rsidRPr="008B393D">
              <w:rPr>
                <w:rFonts w:asciiTheme="minorHAnsi" w:hAnsiTheme="minorHAnsi" w:cstheme="minorHAnsi"/>
                <w:sz w:val="20"/>
                <w:szCs w:val="20"/>
                <w:lang w:val="en-US"/>
              </w:rPr>
              <w:t>Sex drive</w:t>
            </w:r>
          </w:p>
        </w:tc>
        <w:tc>
          <w:tcPr>
            <w:tcW w:w="982" w:type="dxa"/>
            <w:tcBorders>
              <w:top w:val="single" w:sz="4" w:space="0" w:color="auto"/>
              <w:left w:val="nil"/>
              <w:bottom w:val="nil"/>
              <w:right w:val="nil"/>
            </w:tcBorders>
            <w:vAlign w:val="center"/>
          </w:tcPr>
          <w:p w14:paraId="36E9AFFD" w14:textId="77777777" w:rsidR="00E35A81" w:rsidRPr="0044485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w:t>
            </w:r>
            <w:r w:rsidRPr="00444852">
              <w:rPr>
                <w:rFonts w:asciiTheme="minorHAnsi" w:hAnsiTheme="minorHAnsi" w:cstheme="minorHAnsi"/>
                <w:bCs/>
                <w:sz w:val="20"/>
                <w:szCs w:val="20"/>
                <w:lang w:val="en-US"/>
              </w:rPr>
              <w:t>14**</w:t>
            </w:r>
          </w:p>
          <w:p w14:paraId="3E11569A"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sidRPr="00444852">
              <w:rPr>
                <w:rFonts w:asciiTheme="minorHAnsi" w:hAnsiTheme="minorHAnsi" w:cstheme="minorHAnsi"/>
                <w:bCs/>
                <w:sz w:val="20"/>
                <w:szCs w:val="20"/>
                <w:lang w:val="en-US"/>
              </w:rPr>
              <w:t>.08**</w:t>
            </w:r>
          </w:p>
        </w:tc>
        <w:tc>
          <w:tcPr>
            <w:tcW w:w="983" w:type="dxa"/>
            <w:tcBorders>
              <w:top w:val="single" w:sz="4" w:space="0" w:color="auto"/>
              <w:left w:val="nil"/>
              <w:bottom w:val="nil"/>
              <w:right w:val="nil"/>
            </w:tcBorders>
            <w:vAlign w:val="center"/>
          </w:tcPr>
          <w:p w14:paraId="3A3415AE"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i/>
                <w:sz w:val="20"/>
                <w:szCs w:val="20"/>
                <w:lang w:val="en-US"/>
              </w:rPr>
              <w:t>--</w:t>
            </w:r>
          </w:p>
        </w:tc>
        <w:tc>
          <w:tcPr>
            <w:tcW w:w="982" w:type="dxa"/>
            <w:tcBorders>
              <w:top w:val="single" w:sz="4" w:space="0" w:color="auto"/>
              <w:left w:val="nil"/>
              <w:bottom w:val="nil"/>
              <w:right w:val="nil"/>
            </w:tcBorders>
            <w:vAlign w:val="center"/>
          </w:tcPr>
          <w:p w14:paraId="7B3095D7"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single" w:sz="4" w:space="0" w:color="auto"/>
              <w:left w:val="nil"/>
              <w:bottom w:val="nil"/>
              <w:right w:val="nil"/>
            </w:tcBorders>
            <w:vAlign w:val="center"/>
          </w:tcPr>
          <w:p w14:paraId="11F14CF3"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p>
        </w:tc>
        <w:tc>
          <w:tcPr>
            <w:tcW w:w="982" w:type="dxa"/>
            <w:tcBorders>
              <w:top w:val="single" w:sz="4" w:space="0" w:color="auto"/>
              <w:left w:val="nil"/>
              <w:bottom w:val="nil"/>
              <w:right w:val="nil"/>
            </w:tcBorders>
            <w:vAlign w:val="center"/>
          </w:tcPr>
          <w:p w14:paraId="7121B2DB"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single" w:sz="4" w:space="0" w:color="auto"/>
              <w:left w:val="nil"/>
              <w:bottom w:val="nil"/>
              <w:right w:val="nil"/>
            </w:tcBorders>
            <w:vAlign w:val="center"/>
          </w:tcPr>
          <w:p w14:paraId="34D77EAF"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p>
        </w:tc>
        <w:tc>
          <w:tcPr>
            <w:tcW w:w="982" w:type="dxa"/>
            <w:tcBorders>
              <w:top w:val="single" w:sz="4" w:space="0" w:color="auto"/>
              <w:left w:val="nil"/>
              <w:bottom w:val="nil"/>
              <w:right w:val="nil"/>
            </w:tcBorders>
            <w:vAlign w:val="center"/>
          </w:tcPr>
          <w:p w14:paraId="4A23D49E"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single" w:sz="4" w:space="0" w:color="auto"/>
              <w:left w:val="nil"/>
              <w:bottom w:val="nil"/>
              <w:right w:val="nil"/>
            </w:tcBorders>
            <w:vAlign w:val="center"/>
          </w:tcPr>
          <w:p w14:paraId="5BA09175"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p>
        </w:tc>
      </w:tr>
      <w:tr w:rsidR="00E35A81" w:rsidRPr="005B3A22" w14:paraId="660B1C32" w14:textId="77777777" w:rsidTr="00BE075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right w:val="nil"/>
            </w:tcBorders>
            <w:vAlign w:val="center"/>
          </w:tcPr>
          <w:p w14:paraId="22053DB2" w14:textId="77777777" w:rsidR="00E35A81" w:rsidRPr="005B3A22" w:rsidRDefault="00E35A81" w:rsidP="00E35A81">
            <w:pPr>
              <w:numPr>
                <w:ilvl w:val="0"/>
                <w:numId w:val="2"/>
              </w:numPr>
              <w:spacing w:before="120" w:line="240" w:lineRule="auto"/>
              <w:rPr>
                <w:rFonts w:asciiTheme="minorHAnsi" w:hAnsiTheme="minorHAnsi" w:cstheme="minorHAnsi"/>
                <w:sz w:val="20"/>
                <w:szCs w:val="20"/>
                <w:lang w:val="en-US"/>
              </w:rPr>
            </w:pPr>
            <w:r w:rsidRPr="008B393D">
              <w:rPr>
                <w:rFonts w:asciiTheme="minorHAnsi" w:hAnsiTheme="minorHAnsi" w:cstheme="minorHAnsi"/>
                <w:sz w:val="20"/>
                <w:szCs w:val="20"/>
                <w:lang w:val="en-US"/>
              </w:rPr>
              <w:t>C</w:t>
            </w:r>
            <w:r>
              <w:rPr>
                <w:rFonts w:asciiTheme="minorHAnsi" w:hAnsiTheme="minorHAnsi" w:cstheme="minorHAnsi"/>
                <w:sz w:val="20"/>
                <w:szCs w:val="20"/>
                <w:lang w:val="en-US"/>
              </w:rPr>
              <w:t>ompulsive sex.</w:t>
            </w:r>
          </w:p>
        </w:tc>
        <w:tc>
          <w:tcPr>
            <w:tcW w:w="982" w:type="dxa"/>
            <w:tcBorders>
              <w:top w:val="nil"/>
              <w:left w:val="nil"/>
              <w:bottom w:val="nil"/>
              <w:right w:val="nil"/>
            </w:tcBorders>
            <w:vAlign w:val="center"/>
          </w:tcPr>
          <w:p w14:paraId="3E1C9C9F" w14:textId="77777777" w:rsidR="00E35A81" w:rsidRPr="0044485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w:t>
            </w:r>
            <w:r w:rsidRPr="00444852">
              <w:rPr>
                <w:rFonts w:asciiTheme="minorHAnsi" w:hAnsiTheme="minorHAnsi" w:cstheme="minorHAnsi"/>
                <w:bCs/>
                <w:sz w:val="20"/>
                <w:szCs w:val="20"/>
                <w:lang w:val="en-US"/>
              </w:rPr>
              <w:t>15**</w:t>
            </w:r>
          </w:p>
          <w:p w14:paraId="6AB15A1F"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444852">
              <w:rPr>
                <w:rFonts w:asciiTheme="minorHAnsi" w:hAnsiTheme="minorHAnsi" w:cstheme="minorHAnsi"/>
                <w:bCs/>
                <w:sz w:val="20"/>
                <w:szCs w:val="20"/>
                <w:lang w:val="en-US"/>
              </w:rPr>
              <w:t>(.09**)</w:t>
            </w:r>
          </w:p>
        </w:tc>
        <w:tc>
          <w:tcPr>
            <w:tcW w:w="983" w:type="dxa"/>
            <w:tcBorders>
              <w:top w:val="nil"/>
              <w:left w:val="nil"/>
              <w:bottom w:val="nil"/>
              <w:right w:val="nil"/>
            </w:tcBorders>
            <w:vAlign w:val="center"/>
          </w:tcPr>
          <w:p w14:paraId="30DB59B7"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.27**</w:t>
            </w:r>
          </w:p>
          <w:p w14:paraId="6A0D7E05"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(.22**)</w:t>
            </w:r>
          </w:p>
        </w:tc>
        <w:tc>
          <w:tcPr>
            <w:tcW w:w="982" w:type="dxa"/>
            <w:tcBorders>
              <w:top w:val="nil"/>
              <w:left w:val="nil"/>
              <w:bottom w:val="nil"/>
              <w:right w:val="nil"/>
            </w:tcBorders>
            <w:vAlign w:val="center"/>
          </w:tcPr>
          <w:p w14:paraId="22A87D08"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i/>
                <w:sz w:val="20"/>
                <w:szCs w:val="20"/>
                <w:lang w:val="en-US"/>
              </w:rPr>
              <w:t>α = .</w:t>
            </w:r>
          </w:p>
        </w:tc>
        <w:tc>
          <w:tcPr>
            <w:tcW w:w="983" w:type="dxa"/>
            <w:tcBorders>
              <w:top w:val="nil"/>
              <w:left w:val="nil"/>
              <w:bottom w:val="nil"/>
              <w:right w:val="nil"/>
            </w:tcBorders>
            <w:vAlign w:val="center"/>
          </w:tcPr>
          <w:p w14:paraId="34D14F02"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w:t>
            </w:r>
          </w:p>
        </w:tc>
        <w:tc>
          <w:tcPr>
            <w:tcW w:w="982" w:type="dxa"/>
            <w:tcBorders>
              <w:top w:val="nil"/>
              <w:left w:val="nil"/>
              <w:bottom w:val="nil"/>
              <w:right w:val="nil"/>
            </w:tcBorders>
            <w:vAlign w:val="center"/>
          </w:tcPr>
          <w:p w14:paraId="5CD0D4EB"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nil"/>
              <w:left w:val="nil"/>
              <w:bottom w:val="nil"/>
              <w:right w:val="nil"/>
            </w:tcBorders>
            <w:vAlign w:val="center"/>
          </w:tcPr>
          <w:p w14:paraId="5285295D"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2" w:type="dxa"/>
            <w:tcBorders>
              <w:top w:val="nil"/>
              <w:left w:val="nil"/>
              <w:bottom w:val="nil"/>
              <w:right w:val="nil"/>
            </w:tcBorders>
            <w:vAlign w:val="center"/>
          </w:tcPr>
          <w:p w14:paraId="5990C780"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c>
          <w:tcPr>
            <w:tcW w:w="983" w:type="dxa"/>
            <w:tcBorders>
              <w:top w:val="nil"/>
              <w:left w:val="nil"/>
              <w:bottom w:val="nil"/>
              <w:right w:val="nil"/>
            </w:tcBorders>
            <w:vAlign w:val="center"/>
          </w:tcPr>
          <w:p w14:paraId="224256DD"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p>
        </w:tc>
      </w:tr>
      <w:tr w:rsidR="00E35A81" w:rsidRPr="008B393D" w14:paraId="6CCC3807" w14:textId="77777777" w:rsidTr="00BE075F">
        <w:trPr>
          <w:trHeight w:val="381"/>
        </w:trPr>
        <w:tc>
          <w:tcPr>
            <w:cnfStyle w:val="001000000000" w:firstRow="0" w:lastRow="0" w:firstColumn="1" w:lastColumn="0" w:oddVBand="0" w:evenVBand="0" w:oddHBand="0" w:evenHBand="0" w:firstRowFirstColumn="0" w:firstRowLastColumn="0" w:lastRowFirstColumn="0" w:lastRowLastColumn="0"/>
            <w:tcW w:w="1980" w:type="dxa"/>
            <w:tcBorders>
              <w:top w:val="nil"/>
              <w:bottom w:val="single" w:sz="4" w:space="0" w:color="auto"/>
              <w:right w:val="nil"/>
            </w:tcBorders>
            <w:vAlign w:val="center"/>
          </w:tcPr>
          <w:p w14:paraId="5345A80B" w14:textId="77777777" w:rsidR="00E35A81" w:rsidRPr="005B3A22" w:rsidRDefault="00E35A81" w:rsidP="00E35A81">
            <w:pPr>
              <w:numPr>
                <w:ilvl w:val="0"/>
                <w:numId w:val="2"/>
              </w:numPr>
              <w:spacing w:before="120" w:line="240" w:lineRule="auto"/>
              <w:rPr>
                <w:rFonts w:asciiTheme="minorHAnsi" w:hAnsiTheme="minorHAnsi" w:cstheme="minorHAnsi"/>
                <w:sz w:val="20"/>
                <w:szCs w:val="20"/>
                <w:lang w:val="en-US"/>
              </w:rPr>
            </w:pPr>
            <w:r w:rsidRPr="008B393D">
              <w:rPr>
                <w:rFonts w:asciiTheme="minorHAnsi" w:hAnsiTheme="minorHAnsi" w:cstheme="minorHAnsi"/>
                <w:sz w:val="20"/>
                <w:szCs w:val="20"/>
                <w:lang w:val="en-US"/>
              </w:rPr>
              <w:t>P</w:t>
            </w:r>
            <w:r>
              <w:rPr>
                <w:rFonts w:asciiTheme="minorHAnsi" w:hAnsiTheme="minorHAnsi" w:cstheme="minorHAnsi"/>
                <w:sz w:val="20"/>
                <w:szCs w:val="20"/>
                <w:lang w:val="en-US"/>
              </w:rPr>
              <w:t>robl. porn use</w:t>
            </w:r>
          </w:p>
        </w:tc>
        <w:tc>
          <w:tcPr>
            <w:tcW w:w="982" w:type="dxa"/>
            <w:tcBorders>
              <w:top w:val="nil"/>
              <w:left w:val="nil"/>
              <w:bottom w:val="single" w:sz="4" w:space="0" w:color="auto"/>
              <w:right w:val="nil"/>
            </w:tcBorders>
            <w:vAlign w:val="center"/>
          </w:tcPr>
          <w:p w14:paraId="324C8DD5" w14:textId="77777777" w:rsidR="00E35A81" w:rsidRPr="0044485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.1</w:t>
            </w:r>
            <w:r w:rsidRPr="00444852">
              <w:rPr>
                <w:rFonts w:asciiTheme="minorHAnsi" w:hAnsiTheme="minorHAnsi" w:cstheme="minorHAnsi"/>
                <w:bCs/>
                <w:sz w:val="20"/>
                <w:szCs w:val="20"/>
                <w:lang w:val="en-US"/>
              </w:rPr>
              <w:t>7</w:t>
            </w:r>
            <w:r w:rsidRPr="005B3A22">
              <w:rPr>
                <w:rFonts w:asciiTheme="minorHAnsi" w:hAnsiTheme="minorHAnsi" w:cstheme="minorHAnsi"/>
                <w:bCs/>
                <w:sz w:val="20"/>
                <w:szCs w:val="20"/>
                <w:lang w:val="en-US"/>
              </w:rPr>
              <w:t>*</w:t>
            </w:r>
            <w:r w:rsidRPr="00444852">
              <w:rPr>
                <w:rFonts w:asciiTheme="minorHAnsi" w:hAnsiTheme="minorHAnsi" w:cstheme="minorHAnsi"/>
                <w:bCs/>
                <w:sz w:val="20"/>
                <w:szCs w:val="20"/>
                <w:lang w:val="en-US"/>
              </w:rPr>
              <w:t>*</w:t>
            </w:r>
          </w:p>
          <w:p w14:paraId="3DE9E412"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sidRPr="00444852">
              <w:rPr>
                <w:rFonts w:asciiTheme="minorHAnsi" w:hAnsiTheme="minorHAnsi" w:cstheme="minorHAnsi"/>
                <w:bCs/>
                <w:sz w:val="20"/>
                <w:szCs w:val="20"/>
                <w:lang w:val="en-US"/>
              </w:rPr>
              <w:t>(.13**)</w:t>
            </w:r>
          </w:p>
        </w:tc>
        <w:tc>
          <w:tcPr>
            <w:tcW w:w="983" w:type="dxa"/>
            <w:tcBorders>
              <w:top w:val="nil"/>
              <w:left w:val="nil"/>
              <w:bottom w:val="single" w:sz="4" w:space="0" w:color="auto"/>
              <w:right w:val="nil"/>
            </w:tcBorders>
            <w:vAlign w:val="center"/>
          </w:tcPr>
          <w:p w14:paraId="50DF4926"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.44**</w:t>
            </w:r>
          </w:p>
          <w:p w14:paraId="21062301"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US"/>
              </w:rPr>
            </w:pPr>
            <w:r>
              <w:rPr>
                <w:rFonts w:asciiTheme="minorHAnsi" w:hAnsiTheme="minorHAnsi" w:cstheme="minorHAnsi"/>
                <w:bCs/>
                <w:sz w:val="20"/>
                <w:szCs w:val="20"/>
                <w:lang w:val="en-US"/>
              </w:rPr>
              <w:t>(.45**)</w:t>
            </w:r>
          </w:p>
        </w:tc>
        <w:tc>
          <w:tcPr>
            <w:tcW w:w="982" w:type="dxa"/>
            <w:tcBorders>
              <w:top w:val="nil"/>
              <w:left w:val="nil"/>
              <w:bottom w:val="single" w:sz="4" w:space="0" w:color="auto"/>
              <w:right w:val="nil"/>
            </w:tcBorders>
            <w:vAlign w:val="center"/>
          </w:tcPr>
          <w:p w14:paraId="03799BEF"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w:t>
            </w:r>
            <w:r>
              <w:rPr>
                <w:rFonts w:asciiTheme="minorHAnsi" w:hAnsiTheme="minorHAnsi" w:cstheme="minorHAnsi"/>
                <w:sz w:val="20"/>
                <w:szCs w:val="20"/>
                <w:lang w:val="en-US"/>
              </w:rPr>
              <w:t>50</w:t>
            </w:r>
            <w:r w:rsidRPr="005B3A22">
              <w:rPr>
                <w:rFonts w:asciiTheme="minorHAnsi" w:hAnsiTheme="minorHAnsi" w:cstheme="minorHAnsi"/>
                <w:sz w:val="20"/>
                <w:szCs w:val="20"/>
                <w:lang w:val="en-US"/>
              </w:rPr>
              <w:t>**</w:t>
            </w:r>
          </w:p>
          <w:p w14:paraId="6B5FC6A2"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(.41**)</w:t>
            </w:r>
          </w:p>
        </w:tc>
        <w:tc>
          <w:tcPr>
            <w:tcW w:w="983" w:type="dxa"/>
            <w:tcBorders>
              <w:top w:val="nil"/>
              <w:left w:val="nil"/>
              <w:bottom w:val="single" w:sz="4" w:space="0" w:color="auto"/>
              <w:right w:val="nil"/>
            </w:tcBorders>
            <w:vAlign w:val="center"/>
          </w:tcPr>
          <w:p w14:paraId="54543880"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i/>
                <w:sz w:val="20"/>
                <w:szCs w:val="20"/>
                <w:lang w:val="en-US"/>
              </w:rPr>
              <w:t xml:space="preserve">α = </w:t>
            </w:r>
            <w:r>
              <w:rPr>
                <w:rFonts w:asciiTheme="minorHAnsi" w:hAnsiTheme="minorHAnsi" w:cstheme="minorHAnsi"/>
                <w:i/>
                <w:sz w:val="20"/>
                <w:szCs w:val="20"/>
                <w:lang w:val="en-US"/>
              </w:rPr>
              <w:t>.</w:t>
            </w:r>
          </w:p>
        </w:tc>
        <w:tc>
          <w:tcPr>
            <w:tcW w:w="982" w:type="dxa"/>
            <w:tcBorders>
              <w:top w:val="nil"/>
              <w:left w:val="nil"/>
              <w:bottom w:val="single" w:sz="4" w:space="0" w:color="auto"/>
              <w:right w:val="nil"/>
            </w:tcBorders>
            <w:vAlign w:val="center"/>
          </w:tcPr>
          <w:p w14:paraId="3E0865E2"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p>
        </w:tc>
        <w:tc>
          <w:tcPr>
            <w:tcW w:w="983" w:type="dxa"/>
            <w:tcBorders>
              <w:top w:val="nil"/>
              <w:left w:val="nil"/>
              <w:bottom w:val="single" w:sz="4" w:space="0" w:color="auto"/>
              <w:right w:val="nil"/>
            </w:tcBorders>
            <w:vAlign w:val="center"/>
          </w:tcPr>
          <w:p w14:paraId="633971B5"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p>
        </w:tc>
        <w:tc>
          <w:tcPr>
            <w:tcW w:w="982" w:type="dxa"/>
            <w:tcBorders>
              <w:top w:val="nil"/>
              <w:left w:val="nil"/>
              <w:bottom w:val="single" w:sz="4" w:space="0" w:color="auto"/>
              <w:right w:val="nil"/>
            </w:tcBorders>
            <w:vAlign w:val="center"/>
          </w:tcPr>
          <w:p w14:paraId="2DCC0818"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p>
        </w:tc>
        <w:tc>
          <w:tcPr>
            <w:tcW w:w="983" w:type="dxa"/>
            <w:tcBorders>
              <w:top w:val="nil"/>
              <w:left w:val="nil"/>
              <w:bottom w:val="single" w:sz="4" w:space="0" w:color="auto"/>
              <w:right w:val="nil"/>
            </w:tcBorders>
            <w:vAlign w:val="center"/>
          </w:tcPr>
          <w:p w14:paraId="075F444F"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p>
        </w:tc>
      </w:tr>
      <w:tr w:rsidR="00E35A81" w:rsidRPr="008B393D" w14:paraId="5580EBEC" w14:textId="77777777" w:rsidTr="00BE075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right w:val="nil"/>
            </w:tcBorders>
            <w:vAlign w:val="center"/>
          </w:tcPr>
          <w:p w14:paraId="718E609F" w14:textId="77777777" w:rsidR="00E35A81" w:rsidRPr="005B3A22" w:rsidRDefault="00E35A81" w:rsidP="00E35A81">
            <w:pPr>
              <w:numPr>
                <w:ilvl w:val="0"/>
                <w:numId w:val="2"/>
              </w:numPr>
              <w:spacing w:before="120" w:line="240" w:lineRule="auto"/>
              <w:rPr>
                <w:rFonts w:asciiTheme="minorHAnsi" w:hAnsiTheme="minorHAnsi" w:cstheme="minorHAnsi"/>
                <w:sz w:val="20"/>
                <w:szCs w:val="20"/>
                <w:lang w:val="en-US"/>
              </w:rPr>
            </w:pPr>
            <w:r>
              <w:rPr>
                <w:rFonts w:asciiTheme="minorHAnsi" w:hAnsiTheme="minorHAnsi" w:cstheme="minorHAnsi"/>
                <w:sz w:val="20"/>
                <w:szCs w:val="20"/>
                <w:lang w:val="en-US"/>
              </w:rPr>
              <w:t>Mating effort</w:t>
            </w:r>
          </w:p>
        </w:tc>
        <w:tc>
          <w:tcPr>
            <w:tcW w:w="982" w:type="dxa"/>
            <w:tcBorders>
              <w:top w:val="single" w:sz="4" w:space="0" w:color="auto"/>
              <w:left w:val="nil"/>
              <w:bottom w:val="single" w:sz="4" w:space="0" w:color="auto"/>
              <w:right w:val="nil"/>
            </w:tcBorders>
            <w:vAlign w:val="center"/>
          </w:tcPr>
          <w:p w14:paraId="7E1DAC2B"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-.01</w:t>
            </w:r>
          </w:p>
          <w:p w14:paraId="5362E9ED"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(-.00)</w:t>
            </w:r>
          </w:p>
        </w:tc>
        <w:tc>
          <w:tcPr>
            <w:tcW w:w="983" w:type="dxa"/>
            <w:tcBorders>
              <w:top w:val="single" w:sz="4" w:space="0" w:color="auto"/>
              <w:left w:val="nil"/>
              <w:bottom w:val="single" w:sz="4" w:space="0" w:color="auto"/>
              <w:right w:val="nil"/>
            </w:tcBorders>
            <w:vAlign w:val="center"/>
          </w:tcPr>
          <w:p w14:paraId="14B51021"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.01</w:t>
            </w:r>
          </w:p>
          <w:p w14:paraId="01386C1A"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lang w:val="en-US"/>
              </w:rPr>
            </w:pPr>
            <w:r>
              <w:rPr>
                <w:rFonts w:asciiTheme="minorHAnsi" w:hAnsiTheme="minorHAnsi" w:cstheme="minorHAnsi"/>
                <w:bCs/>
                <w:sz w:val="20"/>
                <w:szCs w:val="20"/>
                <w:lang w:val="en-US"/>
              </w:rPr>
              <w:t>(.02)</w:t>
            </w:r>
          </w:p>
        </w:tc>
        <w:tc>
          <w:tcPr>
            <w:tcW w:w="982" w:type="dxa"/>
            <w:tcBorders>
              <w:top w:val="single" w:sz="4" w:space="0" w:color="auto"/>
              <w:left w:val="nil"/>
              <w:bottom w:val="single" w:sz="4" w:space="0" w:color="auto"/>
              <w:right w:val="nil"/>
            </w:tcBorders>
            <w:vAlign w:val="center"/>
          </w:tcPr>
          <w:p w14:paraId="6C97D811"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w:t>
            </w:r>
            <w:r>
              <w:rPr>
                <w:rFonts w:asciiTheme="minorHAnsi" w:hAnsiTheme="minorHAnsi" w:cstheme="minorHAnsi"/>
                <w:sz w:val="20"/>
                <w:szCs w:val="20"/>
                <w:lang w:val="en-US"/>
              </w:rPr>
              <w:t>16</w:t>
            </w:r>
            <w:r w:rsidRPr="005B3A22">
              <w:rPr>
                <w:rFonts w:asciiTheme="minorHAnsi" w:hAnsiTheme="minorHAnsi" w:cstheme="minorHAnsi"/>
                <w:sz w:val="20"/>
                <w:szCs w:val="20"/>
                <w:lang w:val="en-US"/>
              </w:rPr>
              <w:t>**</w:t>
            </w:r>
          </w:p>
          <w:p w14:paraId="1848EDFA"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(.17**)</w:t>
            </w:r>
          </w:p>
        </w:tc>
        <w:tc>
          <w:tcPr>
            <w:tcW w:w="983" w:type="dxa"/>
            <w:tcBorders>
              <w:top w:val="single" w:sz="4" w:space="0" w:color="auto"/>
              <w:left w:val="nil"/>
              <w:bottom w:val="single" w:sz="4" w:space="0" w:color="auto"/>
              <w:right w:val="nil"/>
            </w:tcBorders>
            <w:vAlign w:val="center"/>
          </w:tcPr>
          <w:p w14:paraId="40DE611E"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w:t>
            </w:r>
            <w:r w:rsidRPr="005B3A22">
              <w:rPr>
                <w:rFonts w:asciiTheme="minorHAnsi" w:hAnsiTheme="minorHAnsi" w:cstheme="minorHAnsi"/>
                <w:sz w:val="20"/>
                <w:szCs w:val="20"/>
                <w:lang w:val="en-US"/>
              </w:rPr>
              <w:t>.</w:t>
            </w:r>
            <w:r>
              <w:rPr>
                <w:rFonts w:asciiTheme="minorHAnsi" w:hAnsiTheme="minorHAnsi" w:cstheme="minorHAnsi"/>
                <w:sz w:val="20"/>
                <w:szCs w:val="20"/>
                <w:lang w:val="en-US"/>
              </w:rPr>
              <w:t>02</w:t>
            </w:r>
          </w:p>
          <w:p w14:paraId="2E4098D0"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(-.02)</w:t>
            </w:r>
          </w:p>
        </w:tc>
        <w:tc>
          <w:tcPr>
            <w:tcW w:w="982" w:type="dxa"/>
            <w:tcBorders>
              <w:top w:val="single" w:sz="4" w:space="0" w:color="auto"/>
              <w:left w:val="nil"/>
              <w:bottom w:val="single" w:sz="4" w:space="0" w:color="auto"/>
              <w:right w:val="nil"/>
            </w:tcBorders>
            <w:vAlign w:val="center"/>
          </w:tcPr>
          <w:p w14:paraId="7F332007"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i/>
                <w:sz w:val="20"/>
                <w:szCs w:val="20"/>
                <w:lang w:val="en-US"/>
              </w:rPr>
              <w:t>α = .</w:t>
            </w:r>
          </w:p>
        </w:tc>
        <w:tc>
          <w:tcPr>
            <w:tcW w:w="983" w:type="dxa"/>
            <w:tcBorders>
              <w:top w:val="single" w:sz="4" w:space="0" w:color="auto"/>
              <w:left w:val="nil"/>
              <w:bottom w:val="single" w:sz="4" w:space="0" w:color="auto"/>
              <w:right w:val="nil"/>
            </w:tcBorders>
            <w:vAlign w:val="center"/>
          </w:tcPr>
          <w:p w14:paraId="67609CC9"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p>
        </w:tc>
        <w:tc>
          <w:tcPr>
            <w:tcW w:w="982" w:type="dxa"/>
            <w:tcBorders>
              <w:top w:val="single" w:sz="4" w:space="0" w:color="auto"/>
              <w:left w:val="nil"/>
              <w:bottom w:val="single" w:sz="4" w:space="0" w:color="auto"/>
              <w:right w:val="nil"/>
            </w:tcBorders>
            <w:vAlign w:val="center"/>
          </w:tcPr>
          <w:p w14:paraId="006BA8C2"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p>
        </w:tc>
        <w:tc>
          <w:tcPr>
            <w:tcW w:w="983" w:type="dxa"/>
            <w:tcBorders>
              <w:top w:val="single" w:sz="4" w:space="0" w:color="auto"/>
              <w:left w:val="nil"/>
              <w:bottom w:val="single" w:sz="4" w:space="0" w:color="auto"/>
              <w:right w:val="nil"/>
            </w:tcBorders>
            <w:vAlign w:val="center"/>
          </w:tcPr>
          <w:p w14:paraId="3D35D6DF"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p>
        </w:tc>
      </w:tr>
      <w:tr w:rsidR="00E35A81" w:rsidRPr="005B3A22" w14:paraId="37BBAF1D" w14:textId="77777777" w:rsidTr="00BE075F">
        <w:trPr>
          <w:trHeight w:val="3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right w:val="nil"/>
            </w:tcBorders>
            <w:vAlign w:val="center"/>
          </w:tcPr>
          <w:p w14:paraId="4DE7A9E8" w14:textId="77777777" w:rsidR="00E35A81" w:rsidRPr="005B3A22" w:rsidRDefault="00E35A81" w:rsidP="00E35A81">
            <w:pPr>
              <w:numPr>
                <w:ilvl w:val="0"/>
                <w:numId w:val="2"/>
              </w:numPr>
              <w:spacing w:before="120" w:line="240" w:lineRule="auto"/>
              <w:rPr>
                <w:rFonts w:asciiTheme="minorHAnsi" w:hAnsiTheme="minorHAnsi" w:cstheme="minorHAnsi"/>
                <w:sz w:val="20"/>
                <w:szCs w:val="20"/>
                <w:lang w:val="en-US"/>
              </w:rPr>
            </w:pPr>
            <w:r w:rsidRPr="005B3A22">
              <w:rPr>
                <w:rFonts w:asciiTheme="minorHAnsi" w:hAnsiTheme="minorHAnsi" w:cstheme="minorHAnsi"/>
                <w:sz w:val="20"/>
                <w:szCs w:val="20"/>
                <w:lang w:val="en-US"/>
              </w:rPr>
              <w:t>S</w:t>
            </w:r>
            <w:r>
              <w:rPr>
                <w:rFonts w:asciiTheme="minorHAnsi" w:hAnsiTheme="minorHAnsi" w:cstheme="minorHAnsi"/>
                <w:sz w:val="20"/>
                <w:szCs w:val="20"/>
                <w:lang w:val="en-US"/>
              </w:rPr>
              <w:t>ocial anxiety</w:t>
            </w:r>
          </w:p>
        </w:tc>
        <w:tc>
          <w:tcPr>
            <w:tcW w:w="982" w:type="dxa"/>
            <w:tcBorders>
              <w:top w:val="single" w:sz="4" w:space="0" w:color="auto"/>
              <w:left w:val="nil"/>
              <w:bottom w:val="nil"/>
              <w:right w:val="nil"/>
            </w:tcBorders>
            <w:vAlign w:val="center"/>
          </w:tcPr>
          <w:p w14:paraId="4B6DF5B5"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.04</w:t>
            </w:r>
          </w:p>
          <w:p w14:paraId="54780515"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(.03)</w:t>
            </w:r>
          </w:p>
        </w:tc>
        <w:tc>
          <w:tcPr>
            <w:tcW w:w="983" w:type="dxa"/>
            <w:tcBorders>
              <w:top w:val="single" w:sz="4" w:space="0" w:color="auto"/>
              <w:left w:val="nil"/>
              <w:bottom w:val="nil"/>
              <w:right w:val="nil"/>
            </w:tcBorders>
            <w:vAlign w:val="center"/>
          </w:tcPr>
          <w:p w14:paraId="1B67D8CA"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w:t>
            </w:r>
            <w:r>
              <w:rPr>
                <w:rFonts w:asciiTheme="minorHAnsi" w:hAnsiTheme="minorHAnsi" w:cstheme="minorHAnsi"/>
                <w:bCs/>
                <w:sz w:val="20"/>
                <w:szCs w:val="20"/>
                <w:lang w:val="en-US"/>
              </w:rPr>
              <w:t>12**</w:t>
            </w:r>
          </w:p>
          <w:p w14:paraId="79F46EE8"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(.08**)</w:t>
            </w:r>
          </w:p>
        </w:tc>
        <w:tc>
          <w:tcPr>
            <w:tcW w:w="982" w:type="dxa"/>
            <w:tcBorders>
              <w:top w:val="single" w:sz="4" w:space="0" w:color="auto"/>
              <w:left w:val="nil"/>
              <w:bottom w:val="nil"/>
              <w:right w:val="nil"/>
            </w:tcBorders>
            <w:vAlign w:val="center"/>
          </w:tcPr>
          <w:p w14:paraId="314FBCF5"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.1</w:t>
            </w:r>
            <w:r>
              <w:rPr>
                <w:rFonts w:asciiTheme="minorHAnsi" w:hAnsiTheme="minorHAnsi" w:cstheme="minorHAnsi"/>
                <w:sz w:val="20"/>
                <w:szCs w:val="20"/>
                <w:lang w:val="en-US"/>
              </w:rPr>
              <w:t>2</w:t>
            </w:r>
            <w:r w:rsidRPr="005B3A22">
              <w:rPr>
                <w:rFonts w:asciiTheme="minorHAnsi" w:hAnsiTheme="minorHAnsi" w:cstheme="minorHAnsi"/>
                <w:sz w:val="20"/>
                <w:szCs w:val="20"/>
                <w:lang w:val="en-US"/>
              </w:rPr>
              <w:t>**</w:t>
            </w:r>
          </w:p>
          <w:p w14:paraId="5B10D473"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(.10**)</w:t>
            </w:r>
          </w:p>
        </w:tc>
        <w:tc>
          <w:tcPr>
            <w:tcW w:w="983" w:type="dxa"/>
            <w:tcBorders>
              <w:top w:val="single" w:sz="4" w:space="0" w:color="auto"/>
              <w:left w:val="nil"/>
              <w:bottom w:val="nil"/>
              <w:right w:val="nil"/>
            </w:tcBorders>
            <w:vAlign w:val="center"/>
          </w:tcPr>
          <w:p w14:paraId="2FB32AA0" w14:textId="77777777" w:rsidR="00E35A81" w:rsidRDefault="00E35A81" w:rsidP="00BE075F">
            <w:pPr>
              <w:tabs>
                <w:tab w:val="decimal" w:pos="175"/>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w:t>
            </w:r>
            <w:r>
              <w:rPr>
                <w:rFonts w:asciiTheme="minorHAnsi" w:hAnsiTheme="minorHAnsi" w:cstheme="minorHAnsi"/>
                <w:sz w:val="20"/>
                <w:szCs w:val="20"/>
                <w:lang w:val="en-US"/>
              </w:rPr>
              <w:t>20</w:t>
            </w:r>
            <w:r w:rsidRPr="005B3A22">
              <w:rPr>
                <w:rFonts w:asciiTheme="minorHAnsi" w:hAnsiTheme="minorHAnsi" w:cstheme="minorHAnsi"/>
                <w:sz w:val="20"/>
                <w:szCs w:val="20"/>
                <w:lang w:val="en-US"/>
              </w:rPr>
              <w:t>**</w:t>
            </w:r>
          </w:p>
          <w:p w14:paraId="077716B8" w14:textId="77777777" w:rsidR="00E35A81" w:rsidRPr="005B3A22" w:rsidRDefault="00E35A81" w:rsidP="00BE075F">
            <w:pPr>
              <w:tabs>
                <w:tab w:val="decimal" w:pos="175"/>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(.19**)</w:t>
            </w:r>
          </w:p>
        </w:tc>
        <w:tc>
          <w:tcPr>
            <w:tcW w:w="982" w:type="dxa"/>
            <w:tcBorders>
              <w:top w:val="single" w:sz="4" w:space="0" w:color="auto"/>
              <w:left w:val="nil"/>
              <w:bottom w:val="nil"/>
              <w:right w:val="nil"/>
            </w:tcBorders>
            <w:vAlign w:val="center"/>
          </w:tcPr>
          <w:p w14:paraId="7EAF351B"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w:t>
            </w:r>
            <w:r w:rsidRPr="005B3A22">
              <w:rPr>
                <w:rFonts w:asciiTheme="minorHAnsi" w:hAnsiTheme="minorHAnsi" w:cstheme="minorHAnsi"/>
                <w:sz w:val="20"/>
                <w:szCs w:val="20"/>
                <w:lang w:val="en-US"/>
              </w:rPr>
              <w:t>.</w:t>
            </w:r>
            <w:r>
              <w:rPr>
                <w:rFonts w:asciiTheme="minorHAnsi" w:hAnsiTheme="minorHAnsi" w:cstheme="minorHAnsi"/>
                <w:sz w:val="20"/>
                <w:szCs w:val="20"/>
                <w:lang w:val="en-US"/>
              </w:rPr>
              <w:t>25*</w:t>
            </w:r>
            <w:r w:rsidRPr="005B3A22">
              <w:rPr>
                <w:rFonts w:asciiTheme="minorHAnsi" w:hAnsiTheme="minorHAnsi" w:cstheme="minorHAnsi"/>
                <w:sz w:val="20"/>
                <w:szCs w:val="20"/>
                <w:lang w:val="en-US"/>
              </w:rPr>
              <w:t>*</w:t>
            </w:r>
          </w:p>
          <w:p w14:paraId="229549B7"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(-.25**)</w:t>
            </w:r>
          </w:p>
        </w:tc>
        <w:tc>
          <w:tcPr>
            <w:tcW w:w="983" w:type="dxa"/>
            <w:tcBorders>
              <w:top w:val="single" w:sz="4" w:space="0" w:color="auto"/>
              <w:left w:val="nil"/>
              <w:bottom w:val="nil"/>
              <w:right w:val="nil"/>
            </w:tcBorders>
            <w:vAlign w:val="center"/>
          </w:tcPr>
          <w:p w14:paraId="5439C387"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w:t>
            </w:r>
          </w:p>
        </w:tc>
        <w:tc>
          <w:tcPr>
            <w:tcW w:w="982" w:type="dxa"/>
            <w:tcBorders>
              <w:top w:val="single" w:sz="4" w:space="0" w:color="auto"/>
              <w:left w:val="nil"/>
              <w:bottom w:val="nil"/>
              <w:right w:val="nil"/>
            </w:tcBorders>
            <w:vAlign w:val="center"/>
          </w:tcPr>
          <w:p w14:paraId="470EE7E9"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p>
        </w:tc>
        <w:tc>
          <w:tcPr>
            <w:tcW w:w="983" w:type="dxa"/>
            <w:tcBorders>
              <w:top w:val="single" w:sz="4" w:space="0" w:color="auto"/>
              <w:left w:val="nil"/>
              <w:bottom w:val="nil"/>
              <w:right w:val="nil"/>
            </w:tcBorders>
            <w:vAlign w:val="center"/>
          </w:tcPr>
          <w:p w14:paraId="21E3B5A1"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p>
        </w:tc>
      </w:tr>
      <w:tr w:rsidR="00E35A81" w:rsidRPr="005B3A22" w14:paraId="7D8527E9" w14:textId="77777777" w:rsidTr="00BE075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980" w:type="dxa"/>
            <w:tcBorders>
              <w:top w:val="nil"/>
              <w:bottom w:val="single" w:sz="4" w:space="0" w:color="auto"/>
              <w:right w:val="nil"/>
            </w:tcBorders>
            <w:vAlign w:val="center"/>
          </w:tcPr>
          <w:p w14:paraId="3639CC45" w14:textId="77777777" w:rsidR="00E35A81" w:rsidRPr="005B3A22" w:rsidRDefault="00E35A81" w:rsidP="00E35A81">
            <w:pPr>
              <w:numPr>
                <w:ilvl w:val="0"/>
                <w:numId w:val="2"/>
              </w:numPr>
              <w:spacing w:before="120" w:line="240" w:lineRule="auto"/>
              <w:rPr>
                <w:rFonts w:asciiTheme="minorHAnsi" w:hAnsiTheme="minorHAnsi" w:cstheme="minorHAnsi"/>
                <w:sz w:val="20"/>
                <w:szCs w:val="20"/>
                <w:lang w:val="en-US"/>
              </w:rPr>
            </w:pPr>
            <w:r>
              <w:rPr>
                <w:rFonts w:asciiTheme="minorHAnsi" w:hAnsiTheme="minorHAnsi" w:cstheme="minorHAnsi"/>
                <w:sz w:val="20"/>
                <w:szCs w:val="20"/>
                <w:lang w:val="en-US"/>
              </w:rPr>
              <w:t>Loneliness</w:t>
            </w:r>
            <w:r w:rsidRPr="005B3A22">
              <w:rPr>
                <w:rFonts w:asciiTheme="minorHAnsi" w:hAnsiTheme="minorHAnsi" w:cstheme="minorHAnsi"/>
                <w:sz w:val="20"/>
                <w:szCs w:val="20"/>
                <w:lang w:val="en-US"/>
              </w:rPr>
              <w:t xml:space="preserve"> </w:t>
            </w:r>
          </w:p>
        </w:tc>
        <w:tc>
          <w:tcPr>
            <w:tcW w:w="982" w:type="dxa"/>
            <w:tcBorders>
              <w:top w:val="nil"/>
              <w:left w:val="nil"/>
              <w:bottom w:val="single" w:sz="4" w:space="0" w:color="auto"/>
              <w:right w:val="nil"/>
            </w:tcBorders>
            <w:vAlign w:val="center"/>
          </w:tcPr>
          <w:p w14:paraId="625E39A6"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.0</w:t>
            </w:r>
            <w:r>
              <w:rPr>
                <w:rFonts w:asciiTheme="minorHAnsi" w:hAnsiTheme="minorHAnsi" w:cstheme="minorHAnsi"/>
                <w:bCs/>
                <w:sz w:val="20"/>
                <w:szCs w:val="20"/>
                <w:lang w:val="en-US"/>
              </w:rPr>
              <w:t>4*</w:t>
            </w:r>
          </w:p>
          <w:p w14:paraId="53D67330"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(.04*)</w:t>
            </w:r>
          </w:p>
        </w:tc>
        <w:tc>
          <w:tcPr>
            <w:tcW w:w="983" w:type="dxa"/>
            <w:tcBorders>
              <w:top w:val="nil"/>
              <w:left w:val="nil"/>
              <w:bottom w:val="single" w:sz="4" w:space="0" w:color="auto"/>
              <w:right w:val="nil"/>
            </w:tcBorders>
            <w:vAlign w:val="center"/>
          </w:tcPr>
          <w:p w14:paraId="650DE921"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sidRPr="005B3A22">
              <w:rPr>
                <w:rFonts w:asciiTheme="minorHAnsi" w:hAnsiTheme="minorHAnsi" w:cstheme="minorHAnsi"/>
                <w:bCs/>
                <w:sz w:val="20"/>
                <w:szCs w:val="20"/>
                <w:lang w:val="en-US"/>
              </w:rPr>
              <w:t>.0</w:t>
            </w:r>
            <w:r>
              <w:rPr>
                <w:rFonts w:asciiTheme="minorHAnsi" w:hAnsiTheme="minorHAnsi" w:cstheme="minorHAnsi"/>
                <w:bCs/>
                <w:sz w:val="20"/>
                <w:szCs w:val="20"/>
                <w:lang w:val="en-US"/>
              </w:rPr>
              <w:t>8**</w:t>
            </w:r>
          </w:p>
          <w:p w14:paraId="61B57805"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(.04*)</w:t>
            </w:r>
          </w:p>
        </w:tc>
        <w:tc>
          <w:tcPr>
            <w:tcW w:w="982" w:type="dxa"/>
            <w:tcBorders>
              <w:top w:val="nil"/>
              <w:left w:val="nil"/>
              <w:bottom w:val="single" w:sz="4" w:space="0" w:color="auto"/>
              <w:right w:val="nil"/>
            </w:tcBorders>
            <w:vAlign w:val="center"/>
          </w:tcPr>
          <w:p w14:paraId="09CA3A47"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w:t>
            </w:r>
            <w:r>
              <w:rPr>
                <w:rFonts w:asciiTheme="minorHAnsi" w:hAnsiTheme="minorHAnsi" w:cstheme="minorHAnsi"/>
                <w:sz w:val="20"/>
                <w:szCs w:val="20"/>
                <w:lang w:val="en-US"/>
              </w:rPr>
              <w:t>20**</w:t>
            </w:r>
          </w:p>
          <w:p w14:paraId="2E2A5CD5"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(.18**)</w:t>
            </w:r>
          </w:p>
        </w:tc>
        <w:tc>
          <w:tcPr>
            <w:tcW w:w="983" w:type="dxa"/>
            <w:tcBorders>
              <w:top w:val="nil"/>
              <w:left w:val="nil"/>
              <w:bottom w:val="single" w:sz="4" w:space="0" w:color="auto"/>
              <w:right w:val="nil"/>
            </w:tcBorders>
            <w:vAlign w:val="center"/>
          </w:tcPr>
          <w:p w14:paraId="2A382335"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.22**</w:t>
            </w:r>
          </w:p>
          <w:p w14:paraId="46AB7B33"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(.19**)</w:t>
            </w:r>
          </w:p>
        </w:tc>
        <w:tc>
          <w:tcPr>
            <w:tcW w:w="982" w:type="dxa"/>
            <w:tcBorders>
              <w:top w:val="nil"/>
              <w:left w:val="nil"/>
              <w:bottom w:val="single" w:sz="4" w:space="0" w:color="auto"/>
              <w:right w:val="nil"/>
            </w:tcBorders>
            <w:vAlign w:val="center"/>
          </w:tcPr>
          <w:p w14:paraId="3BA2304A" w14:textId="77777777" w:rsidR="00E35A81"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w:t>
            </w:r>
            <w:r w:rsidRPr="005B3A22">
              <w:rPr>
                <w:rFonts w:asciiTheme="minorHAnsi" w:hAnsiTheme="minorHAnsi" w:cstheme="minorHAnsi"/>
                <w:sz w:val="20"/>
                <w:szCs w:val="20"/>
                <w:lang w:val="en-US"/>
              </w:rPr>
              <w:t>.</w:t>
            </w:r>
            <w:r>
              <w:rPr>
                <w:rFonts w:asciiTheme="minorHAnsi" w:hAnsiTheme="minorHAnsi" w:cstheme="minorHAnsi"/>
                <w:sz w:val="20"/>
                <w:szCs w:val="20"/>
                <w:lang w:val="en-US"/>
              </w:rPr>
              <w:t>19**</w:t>
            </w:r>
          </w:p>
          <w:p w14:paraId="58235BC7" w14:textId="77777777" w:rsidR="00E35A81" w:rsidRPr="005B3A22"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(-.18**)</w:t>
            </w:r>
          </w:p>
        </w:tc>
        <w:tc>
          <w:tcPr>
            <w:tcW w:w="983" w:type="dxa"/>
            <w:tcBorders>
              <w:top w:val="nil"/>
              <w:left w:val="nil"/>
              <w:bottom w:val="single" w:sz="4" w:space="0" w:color="auto"/>
              <w:right w:val="nil"/>
            </w:tcBorders>
            <w:vAlign w:val="center"/>
          </w:tcPr>
          <w:p w14:paraId="5F84B36A" w14:textId="77777777" w:rsidR="00E35A81" w:rsidRDefault="00E35A81" w:rsidP="00BE075F">
            <w:pPr>
              <w:tabs>
                <w:tab w:val="decimal" w:pos="147"/>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0"/>
                <w:szCs w:val="20"/>
                <w:lang w:val="en-US"/>
              </w:rPr>
            </w:pPr>
            <w:r>
              <w:rPr>
                <w:rFonts w:asciiTheme="minorHAnsi" w:hAnsiTheme="minorHAnsi" w:cstheme="minorHAnsi"/>
                <w:iCs/>
                <w:sz w:val="20"/>
                <w:szCs w:val="20"/>
                <w:lang w:val="en-US"/>
              </w:rPr>
              <w:t>.47**</w:t>
            </w:r>
          </w:p>
          <w:p w14:paraId="00E3C659" w14:textId="77777777" w:rsidR="00E35A81" w:rsidRPr="005B3A22" w:rsidRDefault="00E35A81" w:rsidP="00BE075F">
            <w:pPr>
              <w:tabs>
                <w:tab w:val="decimal" w:pos="147"/>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0"/>
                <w:szCs w:val="20"/>
                <w:lang w:val="en-US"/>
              </w:rPr>
            </w:pPr>
            <w:r>
              <w:rPr>
                <w:rFonts w:asciiTheme="minorHAnsi" w:hAnsiTheme="minorHAnsi" w:cstheme="minorHAnsi"/>
                <w:iCs/>
                <w:sz w:val="20"/>
                <w:szCs w:val="20"/>
                <w:lang w:val="en-US"/>
              </w:rPr>
              <w:t>(</w:t>
            </w:r>
            <w:r w:rsidRPr="005B3A22">
              <w:rPr>
                <w:rFonts w:asciiTheme="minorHAnsi" w:hAnsiTheme="minorHAnsi" w:cstheme="minorHAnsi"/>
                <w:iCs/>
                <w:sz w:val="20"/>
                <w:szCs w:val="20"/>
                <w:lang w:val="en-US"/>
              </w:rPr>
              <w:t>.</w:t>
            </w:r>
            <w:r>
              <w:rPr>
                <w:rFonts w:asciiTheme="minorHAnsi" w:hAnsiTheme="minorHAnsi" w:cstheme="minorHAnsi"/>
                <w:iCs/>
                <w:sz w:val="20"/>
                <w:szCs w:val="20"/>
                <w:lang w:val="en-US"/>
              </w:rPr>
              <w:t>46**)</w:t>
            </w:r>
          </w:p>
        </w:tc>
        <w:tc>
          <w:tcPr>
            <w:tcW w:w="982" w:type="dxa"/>
            <w:tcBorders>
              <w:top w:val="nil"/>
              <w:left w:val="nil"/>
              <w:bottom w:val="single" w:sz="4" w:space="0" w:color="auto"/>
              <w:right w:val="nil"/>
            </w:tcBorders>
            <w:vAlign w:val="center"/>
          </w:tcPr>
          <w:p w14:paraId="3D3CF9D5" w14:textId="77777777" w:rsidR="00E35A81" w:rsidRPr="005B3A22" w:rsidRDefault="00E35A81" w:rsidP="00BE075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0"/>
                <w:szCs w:val="20"/>
                <w:lang w:val="en-US"/>
              </w:rPr>
            </w:pPr>
            <w:r w:rsidRPr="005B3A22">
              <w:rPr>
                <w:rFonts w:asciiTheme="minorHAnsi" w:hAnsiTheme="minorHAnsi" w:cstheme="minorHAnsi"/>
                <w:iCs/>
                <w:sz w:val="20"/>
                <w:szCs w:val="20"/>
                <w:lang w:val="en-US"/>
              </w:rPr>
              <w:t>--</w:t>
            </w:r>
          </w:p>
        </w:tc>
        <w:tc>
          <w:tcPr>
            <w:tcW w:w="983" w:type="dxa"/>
            <w:tcBorders>
              <w:top w:val="nil"/>
              <w:left w:val="nil"/>
              <w:bottom w:val="single" w:sz="4" w:space="0" w:color="auto"/>
              <w:right w:val="nil"/>
            </w:tcBorders>
            <w:vAlign w:val="center"/>
          </w:tcPr>
          <w:p w14:paraId="67492E61" w14:textId="77777777" w:rsidR="00E35A81" w:rsidRPr="005B3A22" w:rsidRDefault="00E35A81" w:rsidP="00BE075F">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0"/>
                <w:szCs w:val="20"/>
                <w:lang w:val="en-US"/>
              </w:rPr>
            </w:pPr>
          </w:p>
        </w:tc>
      </w:tr>
      <w:tr w:rsidR="00E35A81" w:rsidRPr="005B3A22" w14:paraId="33387479" w14:textId="77777777" w:rsidTr="00BE075F">
        <w:trPr>
          <w:trHeight w:val="44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right w:val="nil"/>
            </w:tcBorders>
            <w:vAlign w:val="center"/>
          </w:tcPr>
          <w:p w14:paraId="78590C54" w14:textId="77777777" w:rsidR="00E35A81" w:rsidRPr="005B3A22" w:rsidRDefault="00E35A81" w:rsidP="00E35A81">
            <w:pPr>
              <w:numPr>
                <w:ilvl w:val="0"/>
                <w:numId w:val="2"/>
              </w:numPr>
              <w:spacing w:before="120" w:line="240" w:lineRule="auto"/>
              <w:rPr>
                <w:rFonts w:asciiTheme="minorHAnsi" w:hAnsiTheme="minorHAnsi" w:cstheme="minorHAnsi"/>
                <w:sz w:val="20"/>
                <w:szCs w:val="20"/>
                <w:lang w:val="en-US"/>
              </w:rPr>
            </w:pPr>
            <w:r>
              <w:rPr>
                <w:rFonts w:asciiTheme="minorHAnsi" w:hAnsiTheme="minorHAnsi" w:cstheme="minorHAnsi"/>
                <w:sz w:val="20"/>
                <w:szCs w:val="20"/>
                <w:lang w:val="en-US"/>
              </w:rPr>
              <w:t>Mating value</w:t>
            </w:r>
          </w:p>
        </w:tc>
        <w:tc>
          <w:tcPr>
            <w:tcW w:w="982" w:type="dxa"/>
            <w:tcBorders>
              <w:top w:val="single" w:sz="4" w:space="0" w:color="auto"/>
              <w:left w:val="nil"/>
              <w:bottom w:val="single" w:sz="4" w:space="0" w:color="auto"/>
              <w:right w:val="nil"/>
            </w:tcBorders>
            <w:vAlign w:val="center"/>
          </w:tcPr>
          <w:p w14:paraId="0B3AE7EF"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w:t>
            </w:r>
            <w:r w:rsidRPr="005B3A22">
              <w:rPr>
                <w:rFonts w:asciiTheme="minorHAnsi" w:hAnsiTheme="minorHAnsi" w:cstheme="minorHAnsi"/>
                <w:bCs/>
                <w:sz w:val="20"/>
                <w:szCs w:val="20"/>
                <w:lang w:val="en-US"/>
              </w:rPr>
              <w:t>.0</w:t>
            </w:r>
            <w:r>
              <w:rPr>
                <w:rFonts w:asciiTheme="minorHAnsi" w:hAnsiTheme="minorHAnsi" w:cstheme="minorHAnsi"/>
                <w:bCs/>
                <w:sz w:val="20"/>
                <w:szCs w:val="20"/>
                <w:lang w:val="en-US"/>
              </w:rPr>
              <w:t>5*</w:t>
            </w:r>
          </w:p>
          <w:p w14:paraId="6DE06136"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(-.05*)</w:t>
            </w:r>
          </w:p>
        </w:tc>
        <w:tc>
          <w:tcPr>
            <w:tcW w:w="983" w:type="dxa"/>
            <w:tcBorders>
              <w:top w:val="single" w:sz="4" w:space="0" w:color="auto"/>
              <w:left w:val="nil"/>
              <w:bottom w:val="single" w:sz="4" w:space="0" w:color="auto"/>
              <w:right w:val="nil"/>
            </w:tcBorders>
            <w:vAlign w:val="center"/>
          </w:tcPr>
          <w:p w14:paraId="53FE46F5"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w:t>
            </w:r>
            <w:r w:rsidRPr="005B3A22">
              <w:rPr>
                <w:rFonts w:asciiTheme="minorHAnsi" w:hAnsiTheme="minorHAnsi" w:cstheme="minorHAnsi"/>
                <w:bCs/>
                <w:sz w:val="20"/>
                <w:szCs w:val="20"/>
                <w:lang w:val="en-US"/>
              </w:rPr>
              <w:t>.0</w:t>
            </w:r>
            <w:r>
              <w:rPr>
                <w:rFonts w:asciiTheme="minorHAnsi" w:hAnsiTheme="minorHAnsi" w:cstheme="minorHAnsi"/>
                <w:bCs/>
                <w:sz w:val="20"/>
                <w:szCs w:val="20"/>
                <w:lang w:val="en-US"/>
              </w:rPr>
              <w:t>6**</w:t>
            </w:r>
          </w:p>
          <w:p w14:paraId="5CF50609"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lang w:val="en-US"/>
              </w:rPr>
            </w:pPr>
            <w:r>
              <w:rPr>
                <w:rFonts w:asciiTheme="minorHAnsi" w:hAnsiTheme="minorHAnsi" w:cstheme="minorHAnsi"/>
                <w:bCs/>
                <w:sz w:val="20"/>
                <w:szCs w:val="20"/>
                <w:lang w:val="en-US"/>
              </w:rPr>
              <w:t>(-.01)</w:t>
            </w:r>
          </w:p>
        </w:tc>
        <w:tc>
          <w:tcPr>
            <w:tcW w:w="982" w:type="dxa"/>
            <w:tcBorders>
              <w:top w:val="single" w:sz="4" w:space="0" w:color="auto"/>
              <w:left w:val="nil"/>
              <w:bottom w:val="single" w:sz="4" w:space="0" w:color="auto"/>
              <w:right w:val="nil"/>
            </w:tcBorders>
            <w:vAlign w:val="center"/>
          </w:tcPr>
          <w:p w14:paraId="3EF569BA"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.00</w:t>
            </w:r>
          </w:p>
          <w:p w14:paraId="67E5D1F8"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(.03)</w:t>
            </w:r>
          </w:p>
        </w:tc>
        <w:tc>
          <w:tcPr>
            <w:tcW w:w="983" w:type="dxa"/>
            <w:tcBorders>
              <w:top w:val="single" w:sz="4" w:space="0" w:color="auto"/>
              <w:left w:val="nil"/>
              <w:bottom w:val="single" w:sz="4" w:space="0" w:color="auto"/>
              <w:right w:val="nil"/>
            </w:tcBorders>
            <w:vAlign w:val="center"/>
          </w:tcPr>
          <w:p w14:paraId="76B50948"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w:t>
            </w:r>
            <w:r w:rsidRPr="005B3A22">
              <w:rPr>
                <w:rFonts w:asciiTheme="minorHAnsi" w:hAnsiTheme="minorHAnsi" w:cstheme="minorHAnsi"/>
                <w:sz w:val="20"/>
                <w:szCs w:val="20"/>
                <w:lang w:val="en-US"/>
              </w:rPr>
              <w:t>.</w:t>
            </w:r>
            <w:r>
              <w:rPr>
                <w:rFonts w:asciiTheme="minorHAnsi" w:hAnsiTheme="minorHAnsi" w:cstheme="minorHAnsi"/>
                <w:sz w:val="20"/>
                <w:szCs w:val="20"/>
                <w:lang w:val="en-US"/>
              </w:rPr>
              <w:t>1</w:t>
            </w:r>
            <w:r w:rsidRPr="005B3A22">
              <w:rPr>
                <w:rFonts w:asciiTheme="minorHAnsi" w:hAnsiTheme="minorHAnsi" w:cstheme="minorHAnsi"/>
                <w:sz w:val="20"/>
                <w:szCs w:val="20"/>
                <w:lang w:val="en-US"/>
              </w:rPr>
              <w:t>2</w:t>
            </w:r>
            <w:r>
              <w:rPr>
                <w:rFonts w:asciiTheme="minorHAnsi" w:hAnsiTheme="minorHAnsi" w:cstheme="minorHAnsi"/>
                <w:sz w:val="20"/>
                <w:szCs w:val="20"/>
                <w:lang w:val="en-US"/>
              </w:rPr>
              <w:t>**</w:t>
            </w:r>
          </w:p>
          <w:p w14:paraId="1A320878"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Pr>
                <w:rFonts w:asciiTheme="minorHAnsi" w:hAnsiTheme="minorHAnsi" w:cstheme="minorHAnsi"/>
                <w:sz w:val="20"/>
                <w:szCs w:val="20"/>
                <w:lang w:val="en-US"/>
              </w:rPr>
              <w:t>(-.10**)</w:t>
            </w:r>
          </w:p>
        </w:tc>
        <w:tc>
          <w:tcPr>
            <w:tcW w:w="982" w:type="dxa"/>
            <w:tcBorders>
              <w:top w:val="single" w:sz="4" w:space="0" w:color="auto"/>
              <w:left w:val="nil"/>
              <w:bottom w:val="single" w:sz="4" w:space="0" w:color="auto"/>
              <w:right w:val="nil"/>
            </w:tcBorders>
            <w:vAlign w:val="center"/>
          </w:tcPr>
          <w:p w14:paraId="0C7B9A12"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B3A22">
              <w:rPr>
                <w:rFonts w:asciiTheme="minorHAnsi" w:hAnsiTheme="minorHAnsi" w:cstheme="minorHAnsi"/>
                <w:sz w:val="20"/>
                <w:szCs w:val="20"/>
                <w:lang w:val="en-US"/>
              </w:rPr>
              <w:t>.</w:t>
            </w:r>
            <w:r>
              <w:rPr>
                <w:rFonts w:asciiTheme="minorHAnsi" w:hAnsiTheme="minorHAnsi" w:cstheme="minorHAnsi"/>
                <w:sz w:val="20"/>
                <w:szCs w:val="20"/>
                <w:lang w:val="en-US"/>
              </w:rPr>
              <w:t>2</w:t>
            </w:r>
            <w:r w:rsidRPr="005B3A22">
              <w:rPr>
                <w:rFonts w:asciiTheme="minorHAnsi" w:hAnsiTheme="minorHAnsi" w:cstheme="minorHAnsi"/>
                <w:sz w:val="20"/>
                <w:szCs w:val="20"/>
                <w:lang w:val="en-US"/>
              </w:rPr>
              <w:t>2*</w:t>
            </w:r>
            <w:r>
              <w:rPr>
                <w:rFonts w:asciiTheme="minorHAnsi" w:hAnsiTheme="minorHAnsi" w:cstheme="minorHAnsi"/>
                <w:sz w:val="20"/>
                <w:szCs w:val="20"/>
                <w:lang w:val="en-US"/>
              </w:rPr>
              <w:t>*</w:t>
            </w:r>
          </w:p>
          <w:p w14:paraId="7CD25A09"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0"/>
                <w:szCs w:val="20"/>
                <w:lang w:val="en-US"/>
              </w:rPr>
            </w:pPr>
            <w:r>
              <w:rPr>
                <w:rFonts w:asciiTheme="minorHAnsi" w:hAnsiTheme="minorHAnsi" w:cstheme="minorHAnsi"/>
                <w:sz w:val="20"/>
                <w:szCs w:val="20"/>
                <w:lang w:val="en-US"/>
              </w:rPr>
              <w:t>(.22**)</w:t>
            </w:r>
          </w:p>
        </w:tc>
        <w:tc>
          <w:tcPr>
            <w:tcW w:w="983" w:type="dxa"/>
            <w:tcBorders>
              <w:top w:val="single" w:sz="4" w:space="0" w:color="auto"/>
              <w:left w:val="nil"/>
              <w:bottom w:val="single" w:sz="4" w:space="0" w:color="auto"/>
              <w:right w:val="nil"/>
            </w:tcBorders>
            <w:vAlign w:val="center"/>
          </w:tcPr>
          <w:p w14:paraId="2CD4FFA2" w14:textId="77777777" w:rsidR="00E35A81" w:rsidRDefault="00E35A81" w:rsidP="00BE075F">
            <w:pPr>
              <w:tabs>
                <w:tab w:val="decimal" w:pos="147"/>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0"/>
                <w:szCs w:val="20"/>
                <w:lang w:val="en-US"/>
              </w:rPr>
            </w:pPr>
            <w:r>
              <w:rPr>
                <w:rFonts w:asciiTheme="minorHAnsi" w:hAnsiTheme="minorHAnsi" w:cstheme="minorHAnsi"/>
                <w:iCs/>
                <w:sz w:val="20"/>
                <w:szCs w:val="20"/>
                <w:lang w:val="en-US"/>
              </w:rPr>
              <w:t>-</w:t>
            </w:r>
            <w:r w:rsidRPr="005B3A22">
              <w:rPr>
                <w:rFonts w:asciiTheme="minorHAnsi" w:hAnsiTheme="minorHAnsi" w:cstheme="minorHAnsi"/>
                <w:iCs/>
                <w:sz w:val="20"/>
                <w:szCs w:val="20"/>
                <w:lang w:val="en-US"/>
              </w:rPr>
              <w:t>.</w:t>
            </w:r>
            <w:r>
              <w:rPr>
                <w:rFonts w:asciiTheme="minorHAnsi" w:hAnsiTheme="minorHAnsi" w:cstheme="minorHAnsi"/>
                <w:iCs/>
                <w:sz w:val="20"/>
                <w:szCs w:val="20"/>
                <w:lang w:val="en-US"/>
              </w:rPr>
              <w:t>38**</w:t>
            </w:r>
          </w:p>
          <w:p w14:paraId="025FC724" w14:textId="77777777" w:rsidR="00E35A81" w:rsidRPr="005B3A22" w:rsidRDefault="00E35A81" w:rsidP="00BE075F">
            <w:pPr>
              <w:tabs>
                <w:tab w:val="decimal" w:pos="147"/>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0"/>
                <w:szCs w:val="20"/>
                <w:lang w:val="en-US"/>
              </w:rPr>
            </w:pPr>
            <w:r>
              <w:rPr>
                <w:rFonts w:asciiTheme="minorHAnsi" w:hAnsiTheme="minorHAnsi" w:cstheme="minorHAnsi"/>
                <w:iCs/>
                <w:sz w:val="20"/>
                <w:szCs w:val="20"/>
                <w:lang w:val="en-US"/>
              </w:rPr>
              <w:t>(-.36**)</w:t>
            </w:r>
          </w:p>
        </w:tc>
        <w:tc>
          <w:tcPr>
            <w:tcW w:w="982" w:type="dxa"/>
            <w:tcBorders>
              <w:top w:val="single" w:sz="4" w:space="0" w:color="auto"/>
              <w:left w:val="nil"/>
              <w:bottom w:val="single" w:sz="4" w:space="0" w:color="auto"/>
              <w:right w:val="nil"/>
            </w:tcBorders>
            <w:vAlign w:val="center"/>
          </w:tcPr>
          <w:p w14:paraId="2F676906" w14:textId="77777777" w:rsidR="00E35A81"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0"/>
                <w:szCs w:val="20"/>
                <w:lang w:val="en-US"/>
              </w:rPr>
            </w:pPr>
            <w:r>
              <w:rPr>
                <w:rFonts w:asciiTheme="minorHAnsi" w:hAnsiTheme="minorHAnsi" w:cstheme="minorHAnsi"/>
                <w:iCs/>
                <w:sz w:val="20"/>
                <w:szCs w:val="20"/>
                <w:lang w:val="en-US"/>
              </w:rPr>
              <w:t>-</w:t>
            </w:r>
            <w:r w:rsidRPr="005B3A22">
              <w:rPr>
                <w:rFonts w:asciiTheme="minorHAnsi" w:hAnsiTheme="minorHAnsi" w:cstheme="minorHAnsi"/>
                <w:iCs/>
                <w:sz w:val="20"/>
                <w:szCs w:val="20"/>
                <w:lang w:val="en-US"/>
              </w:rPr>
              <w:t>.</w:t>
            </w:r>
            <w:r>
              <w:rPr>
                <w:rFonts w:asciiTheme="minorHAnsi" w:hAnsiTheme="minorHAnsi" w:cstheme="minorHAnsi"/>
                <w:iCs/>
                <w:sz w:val="20"/>
                <w:szCs w:val="20"/>
                <w:lang w:val="en-US"/>
              </w:rPr>
              <w:t>29</w:t>
            </w:r>
            <w:r w:rsidRPr="005B3A22">
              <w:rPr>
                <w:rFonts w:asciiTheme="minorHAnsi" w:hAnsiTheme="minorHAnsi" w:cstheme="minorHAnsi"/>
                <w:iCs/>
                <w:sz w:val="20"/>
                <w:szCs w:val="20"/>
                <w:lang w:val="en-US"/>
              </w:rPr>
              <w:t>**</w:t>
            </w:r>
          </w:p>
          <w:p w14:paraId="2D34E6D2" w14:textId="77777777" w:rsidR="00E35A81" w:rsidRPr="005B3A22" w:rsidRDefault="00E35A81" w:rsidP="00BE075F">
            <w:pPr>
              <w:tabs>
                <w:tab w:val="decimal" w:pos="162"/>
              </w:tabs>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0"/>
                <w:szCs w:val="20"/>
                <w:lang w:val="en-US"/>
              </w:rPr>
            </w:pPr>
            <w:r>
              <w:rPr>
                <w:rFonts w:asciiTheme="minorHAnsi" w:hAnsiTheme="minorHAnsi" w:cstheme="minorHAnsi"/>
                <w:iCs/>
                <w:sz w:val="20"/>
                <w:szCs w:val="20"/>
                <w:lang w:val="en-US"/>
              </w:rPr>
              <w:t>(-.27**)</w:t>
            </w:r>
          </w:p>
        </w:tc>
        <w:tc>
          <w:tcPr>
            <w:tcW w:w="983" w:type="dxa"/>
            <w:tcBorders>
              <w:top w:val="single" w:sz="4" w:space="0" w:color="auto"/>
              <w:left w:val="nil"/>
              <w:bottom w:val="single" w:sz="4" w:space="0" w:color="auto"/>
              <w:right w:val="nil"/>
            </w:tcBorders>
            <w:vAlign w:val="center"/>
          </w:tcPr>
          <w:p w14:paraId="6187D663" w14:textId="77777777" w:rsidR="00E35A81" w:rsidRPr="005B3A22" w:rsidRDefault="00E35A81" w:rsidP="00BE075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0"/>
                <w:szCs w:val="20"/>
                <w:lang w:val="en-US"/>
              </w:rPr>
            </w:pPr>
            <w:r w:rsidRPr="005B3A22">
              <w:rPr>
                <w:rFonts w:asciiTheme="minorHAnsi" w:hAnsiTheme="minorHAnsi" w:cstheme="minorHAnsi"/>
                <w:iCs/>
                <w:sz w:val="20"/>
                <w:szCs w:val="20"/>
                <w:lang w:val="en-US"/>
              </w:rPr>
              <w:t>--</w:t>
            </w:r>
          </w:p>
        </w:tc>
      </w:tr>
      <w:tr w:rsidR="00E35A81" w:rsidRPr="005B3A22" w14:paraId="23B2DA68" w14:textId="77777777" w:rsidTr="00BE075F">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right w:val="nil"/>
            </w:tcBorders>
            <w:vAlign w:val="center"/>
          </w:tcPr>
          <w:p w14:paraId="17D91E00" w14:textId="77777777" w:rsidR="00E35A81" w:rsidRPr="005B3A22" w:rsidRDefault="00E35A81" w:rsidP="00E35A81">
            <w:pPr>
              <w:numPr>
                <w:ilvl w:val="0"/>
                <w:numId w:val="2"/>
              </w:numPr>
              <w:spacing w:before="120" w:line="240" w:lineRule="auto"/>
              <w:jc w:val="left"/>
              <w:rPr>
                <w:rFonts w:asciiTheme="minorHAnsi" w:hAnsiTheme="minorHAnsi" w:cstheme="minorHAnsi"/>
                <w:sz w:val="20"/>
                <w:szCs w:val="20"/>
                <w:lang w:val="en-US"/>
              </w:rPr>
            </w:pPr>
            <w:r>
              <w:rPr>
                <w:rFonts w:asciiTheme="minorHAnsi" w:hAnsiTheme="minorHAnsi" w:cstheme="minorHAnsi"/>
                <w:sz w:val="20"/>
                <w:szCs w:val="20"/>
                <w:lang w:val="en-US"/>
              </w:rPr>
              <w:t>Proclivity crim. sexual deviance</w:t>
            </w:r>
          </w:p>
        </w:tc>
        <w:tc>
          <w:tcPr>
            <w:tcW w:w="982" w:type="dxa"/>
            <w:tcBorders>
              <w:top w:val="single" w:sz="4" w:space="0" w:color="auto"/>
              <w:left w:val="nil"/>
              <w:bottom w:val="single" w:sz="4" w:space="0" w:color="auto"/>
              <w:right w:val="nil"/>
            </w:tcBorders>
            <w:vAlign w:val="center"/>
          </w:tcPr>
          <w:p w14:paraId="7F60A9E2"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FF0000"/>
                <w:sz w:val="20"/>
                <w:szCs w:val="20"/>
                <w:lang w:val="en-US"/>
              </w:rPr>
            </w:pPr>
            <w:r w:rsidRPr="00AD4B1D">
              <w:rPr>
                <w:rFonts w:asciiTheme="minorHAnsi" w:hAnsiTheme="minorHAnsi" w:cstheme="minorHAnsi"/>
                <w:bCs/>
                <w:color w:val="FF0000"/>
                <w:sz w:val="20"/>
                <w:szCs w:val="20"/>
                <w:lang w:val="en-US"/>
              </w:rPr>
              <w:t>.63**</w:t>
            </w:r>
          </w:p>
          <w:p w14:paraId="3A6232AC"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FF0000"/>
                <w:sz w:val="20"/>
                <w:szCs w:val="20"/>
                <w:lang w:val="en-US"/>
              </w:rPr>
            </w:pPr>
            <w:r w:rsidRPr="00AD4B1D">
              <w:rPr>
                <w:rFonts w:asciiTheme="minorHAnsi" w:hAnsiTheme="minorHAnsi" w:cstheme="minorHAnsi"/>
                <w:bCs/>
                <w:color w:val="FF0000"/>
                <w:sz w:val="20"/>
                <w:szCs w:val="20"/>
                <w:lang w:val="en-US"/>
              </w:rPr>
              <w:t>(.49**)</w:t>
            </w:r>
          </w:p>
        </w:tc>
        <w:tc>
          <w:tcPr>
            <w:tcW w:w="983" w:type="dxa"/>
            <w:tcBorders>
              <w:top w:val="single" w:sz="4" w:space="0" w:color="auto"/>
              <w:left w:val="nil"/>
              <w:bottom w:val="single" w:sz="4" w:space="0" w:color="auto"/>
              <w:right w:val="nil"/>
            </w:tcBorders>
            <w:vAlign w:val="center"/>
          </w:tcPr>
          <w:p w14:paraId="643EB5CB"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FF0000"/>
                <w:sz w:val="20"/>
                <w:szCs w:val="20"/>
                <w:lang w:val="en-US"/>
              </w:rPr>
            </w:pPr>
            <w:r w:rsidRPr="00AD4B1D">
              <w:rPr>
                <w:rFonts w:asciiTheme="minorHAnsi" w:hAnsiTheme="minorHAnsi" w:cstheme="minorHAnsi"/>
                <w:bCs/>
                <w:color w:val="FF0000"/>
                <w:sz w:val="20"/>
                <w:szCs w:val="20"/>
                <w:lang w:val="en-US"/>
              </w:rPr>
              <w:t>.19**</w:t>
            </w:r>
          </w:p>
          <w:p w14:paraId="54D10742"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FF0000"/>
                <w:sz w:val="20"/>
                <w:szCs w:val="20"/>
                <w:lang w:val="en-US"/>
              </w:rPr>
            </w:pPr>
            <w:r w:rsidRPr="00AD4B1D">
              <w:rPr>
                <w:rFonts w:asciiTheme="minorHAnsi" w:hAnsiTheme="minorHAnsi" w:cstheme="minorHAnsi"/>
                <w:bCs/>
                <w:color w:val="FF0000"/>
                <w:sz w:val="20"/>
                <w:szCs w:val="20"/>
                <w:lang w:val="en-US"/>
              </w:rPr>
              <w:t>(.10**)</w:t>
            </w:r>
          </w:p>
        </w:tc>
        <w:tc>
          <w:tcPr>
            <w:tcW w:w="982" w:type="dxa"/>
            <w:tcBorders>
              <w:top w:val="single" w:sz="4" w:space="0" w:color="auto"/>
              <w:left w:val="nil"/>
              <w:bottom w:val="single" w:sz="4" w:space="0" w:color="auto"/>
              <w:right w:val="nil"/>
            </w:tcBorders>
            <w:vAlign w:val="center"/>
          </w:tcPr>
          <w:p w14:paraId="721058FF"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0"/>
                <w:szCs w:val="20"/>
                <w:lang w:val="en-US"/>
              </w:rPr>
            </w:pPr>
            <w:r w:rsidRPr="00AD4B1D">
              <w:rPr>
                <w:rFonts w:asciiTheme="minorHAnsi" w:hAnsiTheme="minorHAnsi" w:cstheme="minorHAnsi"/>
                <w:color w:val="FF0000"/>
                <w:sz w:val="20"/>
                <w:szCs w:val="20"/>
                <w:lang w:val="en-US"/>
              </w:rPr>
              <w:t>.17**</w:t>
            </w:r>
          </w:p>
          <w:p w14:paraId="78332FA9"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0"/>
                <w:szCs w:val="20"/>
                <w:lang w:val="en-US"/>
              </w:rPr>
            </w:pPr>
            <w:r w:rsidRPr="00AD4B1D">
              <w:rPr>
                <w:rFonts w:asciiTheme="minorHAnsi" w:hAnsiTheme="minorHAnsi" w:cstheme="minorHAnsi"/>
                <w:color w:val="FF0000"/>
                <w:sz w:val="20"/>
                <w:szCs w:val="20"/>
                <w:lang w:val="en-US"/>
              </w:rPr>
              <w:t>(.12**)</w:t>
            </w:r>
          </w:p>
        </w:tc>
        <w:tc>
          <w:tcPr>
            <w:tcW w:w="983" w:type="dxa"/>
            <w:tcBorders>
              <w:top w:val="single" w:sz="4" w:space="0" w:color="auto"/>
              <w:left w:val="nil"/>
              <w:bottom w:val="single" w:sz="4" w:space="0" w:color="auto"/>
              <w:right w:val="nil"/>
            </w:tcBorders>
            <w:vAlign w:val="center"/>
          </w:tcPr>
          <w:p w14:paraId="5EB85E81"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0"/>
                <w:szCs w:val="20"/>
                <w:lang w:val="en-US"/>
              </w:rPr>
            </w:pPr>
            <w:r w:rsidRPr="00AD4B1D">
              <w:rPr>
                <w:rFonts w:asciiTheme="minorHAnsi" w:hAnsiTheme="minorHAnsi" w:cstheme="minorHAnsi"/>
                <w:color w:val="FF0000"/>
                <w:sz w:val="20"/>
                <w:szCs w:val="20"/>
                <w:lang w:val="en-US"/>
              </w:rPr>
              <w:t>.20**</w:t>
            </w:r>
          </w:p>
          <w:p w14:paraId="620E5B4B"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0"/>
                <w:szCs w:val="20"/>
                <w:lang w:val="en-US"/>
              </w:rPr>
            </w:pPr>
            <w:r w:rsidRPr="00AD4B1D">
              <w:rPr>
                <w:rFonts w:asciiTheme="minorHAnsi" w:hAnsiTheme="minorHAnsi" w:cstheme="minorHAnsi"/>
                <w:color w:val="FF0000"/>
                <w:sz w:val="20"/>
                <w:szCs w:val="20"/>
                <w:lang w:val="en-US"/>
              </w:rPr>
              <w:t>(.14**)</w:t>
            </w:r>
          </w:p>
        </w:tc>
        <w:tc>
          <w:tcPr>
            <w:tcW w:w="982" w:type="dxa"/>
            <w:tcBorders>
              <w:top w:val="single" w:sz="4" w:space="0" w:color="auto"/>
              <w:left w:val="nil"/>
              <w:bottom w:val="single" w:sz="4" w:space="0" w:color="auto"/>
              <w:right w:val="nil"/>
            </w:tcBorders>
            <w:vAlign w:val="center"/>
          </w:tcPr>
          <w:p w14:paraId="5BD143AE"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0"/>
                <w:szCs w:val="20"/>
                <w:lang w:val="en-US"/>
              </w:rPr>
            </w:pPr>
            <w:r w:rsidRPr="00AD4B1D">
              <w:rPr>
                <w:rFonts w:asciiTheme="minorHAnsi" w:hAnsiTheme="minorHAnsi" w:cstheme="minorHAnsi"/>
                <w:color w:val="FF0000"/>
                <w:sz w:val="20"/>
                <w:szCs w:val="20"/>
                <w:lang w:val="en-US"/>
              </w:rPr>
              <w:t>.02</w:t>
            </w:r>
          </w:p>
          <w:p w14:paraId="061E5896"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0"/>
                <w:szCs w:val="20"/>
                <w:lang w:val="en-US"/>
              </w:rPr>
            </w:pPr>
            <w:r w:rsidRPr="00AD4B1D">
              <w:rPr>
                <w:rFonts w:asciiTheme="minorHAnsi" w:hAnsiTheme="minorHAnsi" w:cstheme="minorHAnsi"/>
                <w:color w:val="FF0000"/>
                <w:sz w:val="20"/>
                <w:szCs w:val="20"/>
                <w:lang w:val="en-US"/>
              </w:rPr>
              <w:t>(.03)</w:t>
            </w:r>
          </w:p>
        </w:tc>
        <w:tc>
          <w:tcPr>
            <w:tcW w:w="983" w:type="dxa"/>
            <w:tcBorders>
              <w:top w:val="single" w:sz="4" w:space="0" w:color="auto"/>
              <w:left w:val="nil"/>
              <w:bottom w:val="single" w:sz="4" w:space="0" w:color="auto"/>
              <w:right w:val="nil"/>
            </w:tcBorders>
            <w:vAlign w:val="center"/>
          </w:tcPr>
          <w:p w14:paraId="553914F5"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FF0000"/>
                <w:sz w:val="20"/>
                <w:szCs w:val="20"/>
                <w:lang w:val="en-US"/>
              </w:rPr>
            </w:pPr>
            <w:r w:rsidRPr="00AD4B1D">
              <w:rPr>
                <w:rFonts w:asciiTheme="minorHAnsi" w:hAnsiTheme="minorHAnsi" w:cstheme="minorHAnsi"/>
                <w:iCs/>
                <w:color w:val="FF0000"/>
                <w:sz w:val="20"/>
                <w:szCs w:val="20"/>
                <w:lang w:val="en-US"/>
              </w:rPr>
              <w:t>.05*</w:t>
            </w:r>
          </w:p>
          <w:p w14:paraId="09E5EA20"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FF0000"/>
                <w:sz w:val="20"/>
                <w:szCs w:val="20"/>
                <w:lang w:val="en-US"/>
              </w:rPr>
            </w:pPr>
            <w:r w:rsidRPr="00AD4B1D">
              <w:rPr>
                <w:rFonts w:asciiTheme="minorHAnsi" w:hAnsiTheme="minorHAnsi" w:cstheme="minorHAnsi"/>
                <w:iCs/>
                <w:color w:val="FF0000"/>
                <w:sz w:val="20"/>
                <w:szCs w:val="20"/>
                <w:lang w:val="en-US"/>
              </w:rPr>
              <w:t>(.04*)</w:t>
            </w:r>
          </w:p>
        </w:tc>
        <w:tc>
          <w:tcPr>
            <w:tcW w:w="982" w:type="dxa"/>
            <w:tcBorders>
              <w:top w:val="single" w:sz="4" w:space="0" w:color="auto"/>
              <w:left w:val="nil"/>
              <w:bottom w:val="single" w:sz="4" w:space="0" w:color="auto"/>
              <w:right w:val="nil"/>
            </w:tcBorders>
            <w:vAlign w:val="center"/>
          </w:tcPr>
          <w:p w14:paraId="54538F69"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FF0000"/>
                <w:sz w:val="20"/>
                <w:szCs w:val="20"/>
                <w:lang w:val="en-US"/>
              </w:rPr>
            </w:pPr>
            <w:r w:rsidRPr="00AD4B1D">
              <w:rPr>
                <w:rFonts w:asciiTheme="minorHAnsi" w:hAnsiTheme="minorHAnsi" w:cstheme="minorHAnsi"/>
                <w:iCs/>
                <w:color w:val="FF0000"/>
                <w:sz w:val="20"/>
                <w:szCs w:val="20"/>
                <w:lang w:val="en-US"/>
              </w:rPr>
              <w:t>.05*</w:t>
            </w:r>
          </w:p>
          <w:p w14:paraId="24B19B6B"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FF0000"/>
                <w:sz w:val="20"/>
                <w:szCs w:val="20"/>
                <w:lang w:val="en-US"/>
              </w:rPr>
            </w:pPr>
            <w:r w:rsidRPr="00AD4B1D">
              <w:rPr>
                <w:rFonts w:asciiTheme="minorHAnsi" w:hAnsiTheme="minorHAnsi" w:cstheme="minorHAnsi"/>
                <w:iCs/>
                <w:color w:val="FF0000"/>
                <w:sz w:val="20"/>
                <w:szCs w:val="20"/>
                <w:lang w:val="en-US"/>
              </w:rPr>
              <w:t>(.04*)</w:t>
            </w:r>
          </w:p>
        </w:tc>
        <w:tc>
          <w:tcPr>
            <w:tcW w:w="983" w:type="dxa"/>
            <w:tcBorders>
              <w:top w:val="single" w:sz="4" w:space="0" w:color="auto"/>
              <w:left w:val="nil"/>
              <w:bottom w:val="single" w:sz="4" w:space="0" w:color="auto"/>
              <w:right w:val="nil"/>
            </w:tcBorders>
            <w:vAlign w:val="center"/>
          </w:tcPr>
          <w:p w14:paraId="4CA41D67"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FF0000"/>
                <w:sz w:val="20"/>
                <w:szCs w:val="20"/>
                <w:lang w:val="en-US"/>
              </w:rPr>
            </w:pPr>
            <w:r w:rsidRPr="00AD4B1D">
              <w:rPr>
                <w:rFonts w:asciiTheme="minorHAnsi" w:hAnsiTheme="minorHAnsi" w:cstheme="minorHAnsi"/>
                <w:iCs/>
                <w:color w:val="FF0000"/>
                <w:sz w:val="20"/>
                <w:szCs w:val="20"/>
                <w:lang w:val="en-US"/>
              </w:rPr>
              <w:t>-.06**</w:t>
            </w:r>
          </w:p>
          <w:p w14:paraId="4F08E7D6" w14:textId="77777777" w:rsidR="00E35A81" w:rsidRPr="00AD4B1D" w:rsidRDefault="00E35A81" w:rsidP="00BE075F">
            <w:pPr>
              <w:tabs>
                <w:tab w:val="decimal" w:pos="162"/>
              </w:tabs>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FF0000"/>
                <w:sz w:val="20"/>
                <w:szCs w:val="20"/>
                <w:lang w:val="en-US"/>
              </w:rPr>
            </w:pPr>
            <w:r w:rsidRPr="00AD4B1D">
              <w:rPr>
                <w:rFonts w:asciiTheme="minorHAnsi" w:hAnsiTheme="minorHAnsi" w:cstheme="minorHAnsi"/>
                <w:iCs/>
                <w:color w:val="FF0000"/>
                <w:sz w:val="20"/>
                <w:szCs w:val="20"/>
                <w:lang w:val="en-US"/>
              </w:rPr>
              <w:t>(-.06**)</w:t>
            </w:r>
          </w:p>
        </w:tc>
      </w:tr>
    </w:tbl>
    <w:bookmarkEnd w:id="4"/>
    <w:p w14:paraId="1F717D35" w14:textId="77777777" w:rsidR="00E35A81" w:rsidRPr="005B3A22" w:rsidRDefault="00E35A81" w:rsidP="00E35A81">
      <w:pPr>
        <w:spacing w:before="120" w:after="0" w:line="276" w:lineRule="auto"/>
        <w:jc w:val="both"/>
        <w:rPr>
          <w:rFonts w:ascii="Times New Roman" w:eastAsiaTheme="minorEastAsia" w:hAnsi="Times New Roman"/>
          <w:kern w:val="24"/>
          <w:sz w:val="20"/>
          <w:szCs w:val="20"/>
          <w:lang w:val="en-US" w:eastAsia="ja-JP"/>
        </w:rPr>
      </w:pPr>
      <w:r w:rsidRPr="005B3A22">
        <w:rPr>
          <w:rFonts w:ascii="Times New Roman" w:eastAsiaTheme="minorEastAsia" w:hAnsi="Times New Roman"/>
          <w:i/>
          <w:iCs/>
          <w:kern w:val="24"/>
          <w:sz w:val="20"/>
          <w:szCs w:val="20"/>
          <w:lang w:val="en-US" w:eastAsia="ja-JP"/>
        </w:rPr>
        <w:t>Note.</w:t>
      </w:r>
      <w:r w:rsidRPr="005B3A22">
        <w:rPr>
          <w:rFonts w:ascii="Times New Roman" w:eastAsiaTheme="minorEastAsia" w:hAnsi="Times New Roman"/>
          <w:kern w:val="24"/>
          <w:sz w:val="18"/>
          <w:szCs w:val="18"/>
          <w:lang w:val="en-US" w:eastAsia="ja-JP"/>
        </w:rPr>
        <w:t xml:space="preserve"> </w:t>
      </w:r>
      <w:r w:rsidRPr="005B3A22">
        <w:rPr>
          <w:rFonts w:ascii="Times New Roman" w:eastAsiaTheme="minorEastAsia" w:hAnsi="Times New Roman"/>
          <w:kern w:val="24"/>
          <w:sz w:val="20"/>
          <w:szCs w:val="20"/>
          <w:lang w:val="en-US" w:eastAsia="ja-JP"/>
        </w:rPr>
        <w:t xml:space="preserve">* </w:t>
      </w:r>
      <w:r w:rsidRPr="005B3A22">
        <w:rPr>
          <w:rFonts w:ascii="Times New Roman" w:eastAsiaTheme="minorEastAsia" w:hAnsi="Times New Roman"/>
          <w:i/>
          <w:iCs/>
          <w:kern w:val="24"/>
          <w:sz w:val="20"/>
          <w:szCs w:val="20"/>
          <w:lang w:val="en-US" w:eastAsia="ja-JP"/>
        </w:rPr>
        <w:t>p</w:t>
      </w:r>
      <w:r w:rsidRPr="005B3A22">
        <w:rPr>
          <w:rFonts w:ascii="Times New Roman" w:eastAsiaTheme="minorEastAsia" w:hAnsi="Times New Roman"/>
          <w:kern w:val="24"/>
          <w:sz w:val="20"/>
          <w:szCs w:val="20"/>
          <w:lang w:val="en-US" w:eastAsia="ja-JP"/>
        </w:rPr>
        <w:t xml:space="preserve"> &lt; .05, ** </w:t>
      </w:r>
      <w:r w:rsidRPr="005B3A22">
        <w:rPr>
          <w:rFonts w:ascii="Times New Roman" w:eastAsiaTheme="minorEastAsia" w:hAnsi="Times New Roman"/>
          <w:i/>
          <w:iCs/>
          <w:kern w:val="24"/>
          <w:sz w:val="20"/>
          <w:szCs w:val="20"/>
          <w:lang w:val="en-US" w:eastAsia="ja-JP"/>
        </w:rPr>
        <w:t>p</w:t>
      </w:r>
      <w:r w:rsidRPr="005B3A22">
        <w:rPr>
          <w:rFonts w:ascii="Times New Roman" w:eastAsiaTheme="minorEastAsia" w:hAnsi="Times New Roman"/>
          <w:kern w:val="24"/>
          <w:sz w:val="20"/>
          <w:szCs w:val="20"/>
          <w:lang w:val="en-US" w:eastAsia="ja-JP"/>
        </w:rPr>
        <w:t xml:space="preserve"> &lt; .01.</w:t>
      </w:r>
    </w:p>
    <w:p w14:paraId="7A052C75" w14:textId="77777777" w:rsidR="00E35A81" w:rsidRPr="00B56EB9" w:rsidRDefault="00E35A81">
      <w:pPr>
        <w:rPr>
          <w:lang w:val="en-US"/>
        </w:rPr>
      </w:pPr>
    </w:p>
    <w:sectPr w:rsidR="00E35A81" w:rsidRPr="00B56E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Quinten MSB Berlin" w:date="2024-01-20T13:33:00Z" w:initials="LQMB">
    <w:p w14:paraId="51162D10" w14:textId="77777777" w:rsidR="00B56EB9" w:rsidRDefault="00B56EB9" w:rsidP="00B56EB9">
      <w:pPr>
        <w:pStyle w:val="Kommentartext"/>
        <w:rPr>
          <w:lang w:val="en-US"/>
        </w:rPr>
      </w:pPr>
      <w:r>
        <w:rPr>
          <w:rStyle w:val="Kommentarzeichen"/>
        </w:rPr>
        <w:annotationRef/>
      </w:r>
      <w:r w:rsidRPr="00865199">
        <w:rPr>
          <w:lang w:val="en-US"/>
        </w:rPr>
        <w:t>Vs. EFA males only</w:t>
      </w:r>
      <w:r>
        <w:rPr>
          <w:lang w:val="en-US"/>
        </w:rPr>
        <w:t xml:space="preserve"> -&gt; paper (see next section)</w:t>
      </w:r>
    </w:p>
    <w:p w14:paraId="5ACB9F78" w14:textId="77777777" w:rsidR="00B56EB9" w:rsidRDefault="00B56EB9" w:rsidP="00B56EB9">
      <w:pPr>
        <w:pStyle w:val="Kommentartext"/>
        <w:rPr>
          <w:lang w:val="en-US"/>
        </w:rPr>
      </w:pPr>
      <w:r>
        <w:rPr>
          <w:lang w:val="en-US"/>
        </w:rPr>
        <w:t>EFA whole sample &amp; EFA females only -&gt; online?</w:t>
      </w:r>
    </w:p>
    <w:p w14:paraId="50B1A492" w14:textId="77777777" w:rsidR="00B56EB9" w:rsidRDefault="00B56EB9" w:rsidP="00B56EB9">
      <w:pPr>
        <w:pStyle w:val="Kommentartext"/>
        <w:rPr>
          <w:lang w:val="en-US"/>
        </w:rPr>
      </w:pPr>
    </w:p>
    <w:p w14:paraId="4A03570C" w14:textId="77777777" w:rsidR="00B56EB9" w:rsidRDefault="00B56EB9" w:rsidP="00B56EB9">
      <w:pPr>
        <w:pStyle w:val="Kommentartext"/>
        <w:rPr>
          <w:lang w:val="en-US"/>
        </w:rPr>
      </w:pPr>
      <w:r>
        <w:rPr>
          <w:lang w:val="en-US"/>
        </w:rPr>
        <w:t>OR</w:t>
      </w:r>
    </w:p>
    <w:p w14:paraId="7D2F314F" w14:textId="77777777" w:rsidR="00B56EB9" w:rsidRDefault="00B56EB9" w:rsidP="00B56EB9">
      <w:pPr>
        <w:pStyle w:val="Kommentartext"/>
        <w:rPr>
          <w:lang w:val="en-US"/>
        </w:rPr>
      </w:pPr>
    </w:p>
    <w:p w14:paraId="1683AE9E" w14:textId="77777777" w:rsidR="00B56EB9" w:rsidRDefault="00B56EB9" w:rsidP="00B56EB9">
      <w:pPr>
        <w:pStyle w:val="Kommentartext"/>
        <w:rPr>
          <w:lang w:val="en-US"/>
        </w:rPr>
      </w:pPr>
      <w:r>
        <w:rPr>
          <w:lang w:val="en-US"/>
        </w:rPr>
        <w:t>Not include YP items in EFA as different meaning assumed for different subsamples</w:t>
      </w:r>
    </w:p>
    <w:p w14:paraId="54CEB43F" w14:textId="77777777" w:rsidR="00B56EB9" w:rsidRPr="00865199" w:rsidRDefault="00B56EB9" w:rsidP="00B56EB9">
      <w:pPr>
        <w:pStyle w:val="Kommentartext"/>
        <w:numPr>
          <w:ilvl w:val="0"/>
          <w:numId w:val="1"/>
        </w:numPr>
        <w:rPr>
          <w:lang w:val="en-US"/>
        </w:rPr>
      </w:pPr>
      <w:r>
        <w:rPr>
          <w:lang w:val="en-US"/>
        </w:rPr>
        <w:t>Whole sample or males only?</w:t>
      </w:r>
    </w:p>
  </w:comment>
  <w:comment w:id="1" w:author="Laura Quinten MSB Berlin" w:date="2024-01-20T17:20:00Z" w:initials="LQMB">
    <w:p w14:paraId="73DE0EBA" w14:textId="77777777" w:rsidR="00204FFF" w:rsidRPr="00D96A8E" w:rsidRDefault="00204FFF" w:rsidP="00204FFF">
      <w:pPr>
        <w:pStyle w:val="Kommentartext"/>
        <w:rPr>
          <w:lang w:val="en-US"/>
        </w:rPr>
      </w:pPr>
      <w:r>
        <w:rPr>
          <w:rStyle w:val="Kommentarzeichen"/>
        </w:rPr>
        <w:annotationRef/>
      </w:r>
      <w:r w:rsidRPr="00D96A8E">
        <w:rPr>
          <w:lang w:val="en-US"/>
        </w:rPr>
        <w:t xml:space="preserve">Or </w:t>
      </w:r>
      <w:r>
        <w:rPr>
          <w:lang w:val="en-US"/>
        </w:rPr>
        <w:t>6 factor -&gt; ändert nix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EB43F" w15:done="0"/>
  <w15:commentEx w15:paraId="73DE0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64A30" w16cex:dateUtc="2024-01-20T12:33:00Z"/>
  <w16cex:commentExtensible w16cex:durableId="29567F6F" w16cex:dateUtc="2024-01-20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EB43F" w16cid:durableId="29564A30"/>
  <w16cid:commentId w16cid:paraId="73DE0EBA" w16cid:durableId="29567F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043F"/>
    <w:multiLevelType w:val="hybridMultilevel"/>
    <w:tmpl w:val="0F4E6B48"/>
    <w:lvl w:ilvl="0" w:tplc="84D2CF0C">
      <w:start w:val="12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A63B20"/>
    <w:multiLevelType w:val="hybridMultilevel"/>
    <w:tmpl w:val="5E50ACB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Quinten MSB Berlin">
    <w15:presenceInfo w15:providerId="AD" w15:userId="S::laura.quinten@medicalschool-berlin.de::b8eee3cc-2a72-4db3-b12d-6ef0a92e5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B9"/>
    <w:rsid w:val="00164280"/>
    <w:rsid w:val="00204FFF"/>
    <w:rsid w:val="00B56EB9"/>
    <w:rsid w:val="00E35A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24B0"/>
  <w15:chartTrackingRefBased/>
  <w15:docId w15:val="{F4170237-2AB1-443E-8E96-2AC07CAA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berschrift3"/>
    <w:next w:val="Standard"/>
    <w:link w:val="berschrift2Zchn"/>
    <w:uiPriority w:val="9"/>
    <w:unhideWhenUsed/>
    <w:qFormat/>
    <w:rsid w:val="00204FFF"/>
    <w:pPr>
      <w:keepNext w:val="0"/>
      <w:keepLines w:val="0"/>
      <w:spacing w:before="0" w:line="480" w:lineRule="auto"/>
      <w:outlineLvl w:val="1"/>
    </w:pPr>
    <w:rPr>
      <w:rFonts w:ascii="Times New Roman" w:eastAsiaTheme="minorHAnsi" w:hAnsi="Times New Roman" w:cs="Times New Roman"/>
      <w:b/>
      <w:bCs/>
      <w:color w:val="000000"/>
      <w:lang w:val="en-GB"/>
    </w:rPr>
  </w:style>
  <w:style w:type="paragraph" w:styleId="berschrift3">
    <w:name w:val="heading 3"/>
    <w:basedOn w:val="Standard"/>
    <w:next w:val="Standard"/>
    <w:link w:val="berschrift3Zchn"/>
    <w:uiPriority w:val="9"/>
    <w:semiHidden/>
    <w:unhideWhenUsed/>
    <w:qFormat/>
    <w:rsid w:val="00204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B56EB9"/>
    <w:rPr>
      <w:sz w:val="16"/>
      <w:szCs w:val="16"/>
    </w:rPr>
  </w:style>
  <w:style w:type="paragraph" w:styleId="Kommentartext">
    <w:name w:val="annotation text"/>
    <w:basedOn w:val="Standard"/>
    <w:link w:val="KommentartextZchn"/>
    <w:uiPriority w:val="99"/>
    <w:unhideWhenUsed/>
    <w:qFormat/>
    <w:rsid w:val="00B56EB9"/>
    <w:pPr>
      <w:spacing w:line="240" w:lineRule="auto"/>
    </w:pPr>
    <w:rPr>
      <w:sz w:val="20"/>
      <w:szCs w:val="20"/>
    </w:rPr>
  </w:style>
  <w:style w:type="character" w:customStyle="1" w:styleId="KommentartextZchn">
    <w:name w:val="Kommentartext Zchn"/>
    <w:basedOn w:val="Absatz-Standardschriftart"/>
    <w:link w:val="Kommentartext"/>
    <w:uiPriority w:val="99"/>
    <w:qFormat/>
    <w:rsid w:val="00B56EB9"/>
    <w:rPr>
      <w:sz w:val="20"/>
      <w:szCs w:val="20"/>
    </w:rPr>
  </w:style>
  <w:style w:type="character" w:customStyle="1" w:styleId="berschrift2Zchn">
    <w:name w:val="Überschrift 2 Zchn"/>
    <w:basedOn w:val="Absatz-Standardschriftart"/>
    <w:link w:val="berschrift2"/>
    <w:uiPriority w:val="9"/>
    <w:rsid w:val="00204FFF"/>
    <w:rPr>
      <w:rFonts w:ascii="Times New Roman" w:hAnsi="Times New Roman" w:cs="Times New Roman"/>
      <w:b/>
      <w:bCs/>
      <w:color w:val="000000"/>
      <w:sz w:val="24"/>
      <w:szCs w:val="24"/>
      <w:lang w:val="en-GB"/>
    </w:rPr>
  </w:style>
  <w:style w:type="character" w:customStyle="1" w:styleId="berschrift3Zchn">
    <w:name w:val="Überschrift 3 Zchn"/>
    <w:basedOn w:val="Absatz-Standardschriftart"/>
    <w:link w:val="berschrift3"/>
    <w:uiPriority w:val="9"/>
    <w:semiHidden/>
    <w:rsid w:val="00204FFF"/>
    <w:rPr>
      <w:rFonts w:asciiTheme="majorHAnsi" w:eastAsiaTheme="majorEastAsia" w:hAnsiTheme="majorHAnsi" w:cstheme="majorBidi"/>
      <w:color w:val="1F3763" w:themeColor="accent1" w:themeShade="7F"/>
      <w:sz w:val="24"/>
      <w:szCs w:val="24"/>
    </w:rPr>
  </w:style>
  <w:style w:type="table" w:customStyle="1" w:styleId="EinfacheTabelle212">
    <w:name w:val="Einfache Tabelle 212"/>
    <w:basedOn w:val="NormaleTabelle"/>
    <w:uiPriority w:val="42"/>
    <w:rsid w:val="00E35A81"/>
    <w:pPr>
      <w:spacing w:after="0" w:line="360" w:lineRule="auto"/>
      <w:jc w:val="both"/>
    </w:pPr>
    <w:rPr>
      <w:rFonts w:ascii="Times New Roman" w:eastAsia="MS Mincho" w:hAnsi="Times New Roman"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1314</Words>
  <Characters>8284</Characters>
  <Application>Microsoft Office Word</Application>
  <DocSecurity>0</DocSecurity>
  <Lines>69</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Quinten MSB Berlin</dc:creator>
  <cp:keywords/>
  <dc:description/>
  <cp:lastModifiedBy>Laura Quinten MSB Berlin</cp:lastModifiedBy>
  <cp:revision>3</cp:revision>
  <dcterms:created xsi:type="dcterms:W3CDTF">2024-01-22T08:21:00Z</dcterms:created>
  <dcterms:modified xsi:type="dcterms:W3CDTF">2024-01-22T09:54:00Z</dcterms:modified>
</cp:coreProperties>
</file>