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5B6B69"/>
          <w:sz w:val="30"/>
          <w:szCs w:val="30"/>
        </w:rPr>
        <w:t xml:space="preserve">PROJECT DOSSIER</w:t>
      </w:r>
    </w:p>
    <w:p>
      <w:pPr>
        <w:spacing w:before="200"/>
        <w:jc w:val="center"/>
      </w:pPr>
      <w:r>
        <w:rPr>
          <w:b/>
          <w:bCs/>
          <w:color w:val="008D7F"/>
          <w:sz w:val="56"/>
          <w:szCs w:val="56"/>
        </w:rPr>
        <w:t xml:space="preserve">InfoSec Assurance Agent Platform</w:t>
      </w:r>
    </w:p>
    <w:p>
      <w:pPr>
        <w:spacing w:before="120"/>
        <w:jc w:val="center"/>
      </w:pPr>
      <w:r>
        <w:rPr>
          <w:color w:val="0B3B36"/>
          <w:sz w:val="28"/>
          <w:szCs w:val="28"/>
        </w:rPr>
        <w:t xml:space="preserve">The Euronext GRC / TPRM assurance toolset on Microsoft Foundry</w:t>
      </w:r>
    </w:p>
    <w:p>
      <w:pPr>
        <w:spacing w:before="500"/>
        <w:jc w:val="center"/>
      </w:pPr>
      <w:r>
        <w:rPr>
          <w:color w:val="5B6B69"/>
          <w:sz w:val="22"/>
          <w:szCs w:val="22"/>
        </w:rPr>
        <w:t xml:space="preserve">Project · Plan · Requirements · Workflows · Architecture · Connections</w:t>
      </w:r>
    </w:p>
    <w:p>
      <w:pPr>
        <w:spacing w:before="140"/>
        <w:jc w:val="center"/>
      </w:pPr>
      <w:r>
        <w:rPr>
          <w:i/>
          <w:iCs/>
          <w:color w:val="008D7F"/>
          <w:sz w:val="21"/>
          <w:szCs w:val="21"/>
        </w:rPr>
        <w:t xml:space="preserve">Part I for stakeholders  ·  Part II for implementers</w:t>
      </w:r>
    </w:p>
    <w:p>
      <w:pPr>
        <w:spacing w:before="1500"/>
        <w:jc w:val="center"/>
      </w:pPr>
      <w:r>
        <w:rPr>
          <w:color w:val="5B6B69"/>
          <w:sz w:val="20"/>
          <w:szCs w:val="20"/>
        </w:rPr>
        <w:t xml:space="preserve">Version 2.0  ·  13 September 2026  ·  Classification: Euronext Internal</w:t>
      </w:r>
    </w:p>
    <w:p>
      <w:r>
        <w:br w:type="page"/>
      </w:r>
    </w:p>
    <w:p>
      <w:pPr>
        <w:pStyle w:val="Heading1"/>
        <w:spacing w:after="160" w:before="3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Item</w:t>
            </w:r>
          </w:p>
        </w:tc>
        <w:tc>
          <w:tcPr>
            <w:tcW w:type="dxa" w:w="6760"/>
            <w:shd w:fill="008D7F"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b w:val="false"/>
                <w:bCs w:val="false"/>
                <w:sz w:val="19"/>
                <w:szCs w:val="19"/>
              </w:rPr>
              <w:t xml:space="preserve">Title</w:t>
            </w:r>
          </w:p>
        </w:tc>
        <w:tc>
          <w:tcPr>
            <w:tcW w:type="dxa" w:w="6760"/>
            <w:tcMar>
              <w:top w:type="dxa" w:w="60"/>
              <w:left w:type="dxa" w:w="100"/>
              <w:bottom w:type="dxa" w:w="60"/>
              <w:right w:type="dxa" w:w="100"/>
            </w:tcMar>
          </w:tcPr>
          <w:p>
            <w:r>
              <w:rPr>
                <w:b w:val="false"/>
                <w:bCs w:val="false"/>
                <w:sz w:val="19"/>
                <w:szCs w:val="19"/>
              </w:rPr>
              <w:t xml:space="preserve">Project Dossier — InfoSec Assurance Agent Platform on Microsoft Foundry (the product formerly named Azure AI Foundry)</w:t>
            </w:r>
          </w:p>
        </w:tc>
      </w:tr>
      <w:tr>
        <w:tc>
          <w:tcPr>
            <w:tcW w:type="dxa" w:w="2600"/>
            <w:shd w:fill="E4F3F1" w:val="clear"/>
            <w:tcMar>
              <w:top w:type="dxa" w:w="60"/>
              <w:left w:type="dxa" w:w="100"/>
              <w:bottom w:type="dxa" w:w="60"/>
              <w:right w:type="dxa" w:w="100"/>
            </w:tcMar>
          </w:tcPr>
          <w:p>
            <w:r>
              <w:rPr>
                <w:b w:val="false"/>
                <w:bCs w:val="false"/>
                <w:sz w:val="19"/>
                <w:szCs w:val="19"/>
              </w:rPr>
              <w:t xml:space="preserve">Version / Status</w:t>
            </w:r>
          </w:p>
        </w:tc>
        <w:tc>
          <w:tcPr>
            <w:tcW w:type="dxa" w:w="6760"/>
            <w:shd w:fill="E4F3F1" w:val="clear"/>
            <w:tcMar>
              <w:top w:type="dxa" w:w="60"/>
              <w:left w:type="dxa" w:w="100"/>
              <w:bottom w:type="dxa" w:w="60"/>
              <w:right w:type="dxa" w:w="100"/>
            </w:tcMar>
          </w:tcPr>
          <w:p>
            <w:r>
              <w:rPr>
                <w:b w:val="false"/>
                <w:bCs w:val="false"/>
                <w:sz w:val="19"/>
                <w:szCs w:val="19"/>
              </w:rPr>
              <w:t xml:space="preserve">2.0 — Draft for owner review and Tier-C approval</w:t>
            </w:r>
          </w:p>
        </w:tc>
      </w:tr>
      <w:tr>
        <w:tc>
          <w:tcPr>
            <w:tcW w:type="dxa" w:w="2600"/>
            <w:tcMar>
              <w:top w:type="dxa" w:w="60"/>
              <w:left w:type="dxa" w:w="100"/>
              <w:bottom w:type="dxa" w:w="60"/>
              <w:right w:type="dxa" w:w="100"/>
            </w:tcMar>
          </w:tcPr>
          <w:p>
            <w:r>
              <w:rPr>
                <w:b w:val="false"/>
                <w:bCs w:val="false"/>
                <w:sz w:val="19"/>
                <w:szCs w:val="19"/>
              </w:rPr>
              <w:t xml:space="preserve">Date</w:t>
            </w:r>
          </w:p>
        </w:tc>
        <w:tc>
          <w:tcPr>
            <w:tcW w:type="dxa" w:w="6760"/>
            <w:tcMar>
              <w:top w:type="dxa" w:w="60"/>
              <w:left w:type="dxa" w:w="100"/>
              <w:bottom w:type="dxa" w:w="60"/>
              <w:right w:type="dxa" w:w="100"/>
            </w:tcMar>
          </w:tcPr>
          <w:p>
            <w:r>
              <w:rPr>
                <w:b w:val="false"/>
                <w:bCs w:val="false"/>
                <w:sz w:val="19"/>
                <w:szCs w:val="19"/>
              </w:rPr>
              <w:t xml:space="preserve">13 September 2026</w:t>
            </w:r>
          </w:p>
        </w:tc>
      </w:tr>
      <w:tr>
        <w:tc>
          <w:tcPr>
            <w:tcW w:type="dxa" w:w="2600"/>
            <w:shd w:fill="E4F3F1" w:val="clear"/>
            <w:tcMar>
              <w:top w:type="dxa" w:w="60"/>
              <w:left w:type="dxa" w:w="100"/>
              <w:bottom w:type="dxa" w:w="60"/>
              <w:right w:type="dxa" w:w="100"/>
            </w:tcMar>
          </w:tcPr>
          <w:p>
            <w:r>
              <w:rPr>
                <w:b w:val="false"/>
                <w:bCs w:val="false"/>
                <w:sz w:val="19"/>
                <w:szCs w:val="19"/>
              </w:rPr>
              <w:t xml:space="preserve">Owner (accountable)</w:t>
            </w:r>
          </w:p>
        </w:tc>
        <w:tc>
          <w:tcPr>
            <w:tcW w:type="dxa" w:w="6760"/>
            <w:shd w:fill="E4F3F1" w:val="clear"/>
            <w:tcMar>
              <w:top w:type="dxa" w:w="60"/>
              <w:left w:type="dxa" w:w="100"/>
              <w:bottom w:type="dxa" w:w="60"/>
              <w:right w:type="dxa" w:w="100"/>
            </w:tcMar>
          </w:tcPr>
          <w:p>
            <w:r>
              <w:rPr>
                <w:b w:val="false"/>
                <w:bCs w:val="false"/>
                <w:sz w:val="19"/>
                <w:szCs w:val="19"/>
              </w:rPr>
              <w:t xml:space="preserve">Francisco Gustavo Gomes — InfoSec Assurance &amp; Third-Party Risk</w:t>
            </w:r>
          </w:p>
        </w:tc>
      </w:tr>
      <w:tr>
        <w:tc>
          <w:tcPr>
            <w:tcW w:type="dxa" w:w="2600"/>
            <w:tcMar>
              <w:top w:type="dxa" w:w="60"/>
              <w:left w:type="dxa" w:w="100"/>
              <w:bottom w:type="dxa" w:w="60"/>
              <w:right w:type="dxa" w:w="100"/>
            </w:tcMar>
          </w:tcPr>
          <w:p>
            <w:r>
              <w:rPr>
                <w:b w:val="false"/>
                <w:bCs w:val="false"/>
                <w:sz w:val="19"/>
                <w:szCs w:val="19"/>
              </w:rPr>
              <w:t xml:space="preserve">Audience</w:t>
            </w:r>
          </w:p>
        </w:tc>
        <w:tc>
          <w:tcPr>
            <w:tcW w:type="dxa" w:w="6760"/>
            <w:tcMar>
              <w:top w:type="dxa" w:w="60"/>
              <w:left w:type="dxa" w:w="100"/>
              <w:bottom w:type="dxa" w:w="60"/>
              <w:right w:type="dxa" w:w="100"/>
            </w:tcMar>
          </w:tcPr>
          <w:p>
            <w:r>
              <w:rPr>
                <w:b w:val="false"/>
                <w:bCs w:val="false"/>
                <w:sz w:val="19"/>
                <w:szCs w:val="19"/>
              </w:rPr>
              <w:t xml:space="preserve">Part I: CISO, DPO, ICT risk, procurement and the assurance team. Part II: platform engineers implementing and operating the solution in Microsoft Foundry</w:t>
            </w:r>
          </w:p>
        </w:tc>
      </w:tr>
      <w:tr>
        <w:tc>
          <w:tcPr>
            <w:tcW w:type="dxa" w:w="2600"/>
            <w:shd w:fill="E4F3F1" w:val="clear"/>
            <w:tcMar>
              <w:top w:type="dxa" w:w="60"/>
              <w:left w:type="dxa" w:w="100"/>
              <w:bottom w:type="dxa" w:w="60"/>
              <w:right w:type="dxa" w:w="100"/>
            </w:tcMar>
          </w:tcPr>
          <w:p>
            <w:r>
              <w:rPr>
                <w:b w:val="false"/>
                <w:bCs w:val="false"/>
                <w:sz w:val="19"/>
                <w:szCs w:val="19"/>
              </w:rPr>
              <w:t xml:space="preserve">Repository</w:t>
            </w:r>
          </w:p>
        </w:tc>
        <w:tc>
          <w:tcPr>
            <w:tcW w:type="dxa" w:w="6760"/>
            <w:shd w:fill="E4F3F1" w:val="clear"/>
            <w:tcMar>
              <w:top w:type="dxa" w:w="60"/>
              <w:left w:type="dxa" w:w="100"/>
              <w:bottom w:type="dxa" w:w="60"/>
              <w:right w:type="dxa" w:w="100"/>
            </w:tcMar>
          </w:tcPr>
          <w:p>
            <w:r>
              <w:rPr>
                <w:b w:val="false"/>
                <w:bCs w:val="false"/>
                <w:sz w:val="19"/>
                <w:szCs w:val="19"/>
              </w:rPr>
              <w:t xml:space="preserve">github.com/fgomes77/infosec-assurance-azure-foundry — the conversion kit under convertion/ is the source of truth; this document is a rendering of it</w:t>
            </w:r>
          </w:p>
        </w:tc>
      </w:tr>
      <w:tr>
        <w:tc>
          <w:tcPr>
            <w:tcW w:type="dxa" w:w="2600"/>
            <w:tcMar>
              <w:top w:type="dxa" w:w="60"/>
              <w:left w:type="dxa" w:w="100"/>
              <w:bottom w:type="dxa" w:w="60"/>
              <w:right w:type="dxa" w:w="100"/>
            </w:tcMar>
          </w:tcPr>
          <w:p>
            <w:r>
              <w:rPr>
                <w:b w:val="false"/>
                <w:bCs w:val="false"/>
                <w:sz w:val="19"/>
                <w:szCs w:val="19"/>
              </w:rPr>
              <w:t xml:space="preserve">Classification</w:t>
            </w:r>
          </w:p>
        </w:tc>
        <w:tc>
          <w:tcPr>
            <w:tcW w:type="dxa" w:w="6760"/>
            <w:tcMar>
              <w:top w:type="dxa" w:w="60"/>
              <w:left w:type="dxa" w:w="100"/>
              <w:bottom w:type="dxa" w:w="60"/>
              <w:right w:type="dxa" w:w="100"/>
            </w:tcMar>
          </w:tcPr>
          <w:p>
            <w:r>
              <w:rPr>
                <w:b w:val="false"/>
                <w:bCs w:val="false"/>
                <w:sz w:val="19"/>
                <w:szCs w:val="19"/>
              </w:rPr>
              <w:t xml:space="preserve">Euronext Internal — internal system names only; no credentials, no personal data, every identity a placeholder</w:t>
            </w:r>
          </w:p>
        </w:tc>
      </w:tr>
      <w:tr>
        <w:tc>
          <w:tcPr>
            <w:tcW w:type="dxa" w:w="2600"/>
            <w:shd w:fill="E4F3F1" w:val="clear"/>
            <w:tcMar>
              <w:top w:type="dxa" w:w="60"/>
              <w:left w:type="dxa" w:w="100"/>
              <w:bottom w:type="dxa" w:w="60"/>
              <w:right w:type="dxa" w:w="100"/>
            </w:tcMar>
          </w:tcPr>
          <w:p>
            <w:r>
              <w:rPr>
                <w:b w:val="false"/>
                <w:bCs w:val="false"/>
                <w:sz w:val="19"/>
                <w:szCs w:val="19"/>
              </w:rPr>
              <w:t xml:space="preserve">Change control</w:t>
            </w:r>
          </w:p>
        </w:tc>
        <w:tc>
          <w:tcPr>
            <w:tcW w:type="dxa" w:w="6760"/>
            <w:shd w:fill="E4F3F1" w:val="clear"/>
            <w:tcMar>
              <w:top w:type="dxa" w:w="60"/>
              <w:left w:type="dxa" w:w="100"/>
              <w:bottom w:type="dxa" w:w="60"/>
              <w:right w:type="dxa" w:w="100"/>
            </w:tcMar>
          </w:tcPr>
          <w:p>
            <w:r>
              <w:rPr>
                <w:b w:val="false"/>
                <w:bCs w:val="false"/>
                <w:sz w:val="19"/>
                <w:szCs w:val="19"/>
              </w:rPr>
              <w:t xml:space="preserve">Tier C (owner-only) per convertion/team/TEAM_MODEL.md §12.1; the deputy approver reviews owner-authored changes (.github/CODEOWNERS)</w:t>
            </w:r>
          </w:p>
        </w:tc>
      </w:tr>
    </w:tbl>
    <w:p>
      <w:pPr>
        <w:spacing w:after="200"/>
      </w:pPr>
    </w:p>
    <w:p>
      <w:pPr>
        <w:pStyle w:val="Heading2"/>
        <w:spacing w:after="120" w:before="260"/>
      </w:pPr>
      <w:r>
        <w:t xml:space="preserve">How to read this document</w:t>
      </w:r>
    </w:p>
    <w:p>
      <w:pPr>
        <w:spacing w:after="140"/>
        <w:jc w:val="both"/>
      </w:pPr>
      <w:r>
        <w:t xml:space="preserve">The document is in two parts because it answers two different questions. Part I answers “what is being built, why, what it costs, what it changes for the team, and how the risk is held” — it needs no Azure knowledge. Part II answers “how is it built in Microsoft Foundry, resource by resource, agent by agent, gate by gate” — it assumes an engineer with access to the subscription. Both parts describe the same platform and are generated from the same kit, so they cannot drift apart: if a number appears in both, it came from the same file.</w:t>
      </w:r>
    </w:p>
    <w:p>
      <w:pPr>
        <w:spacing w:after="140"/>
        <w:jc w:val="both"/>
      </w:pPr>
      <w:r>
        <w:t xml:space="preserve">Every claim that a reader may want to verify carries the path of the artefact that implements it (for example convertion/workflows/pipelines.json). Those paths are the evidence trail for an ISMS audit as much as they are a convenience for the reader.</w:t>
      </w:r>
    </w:p>
    <w:p>
      <w:pPr>
        <w:spacing w:after="200"/>
      </w:pPr>
    </w:p>
    <w:p>
      <w:pPr>
        <w:pStyle w:val="Heading2"/>
        <w:spacing w:after="120" w:before="2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pacing w:before="1400"/>
        <w:jc w:val="center"/>
      </w:pPr>
      <w:r>
        <w:rPr>
          <w:b/>
          <w:bCs/>
          <w:color w:val="5B6B69"/>
          <w:sz w:val="26"/>
          <w:szCs w:val="26"/>
        </w:rPr>
        <w:t xml:space="preserve">PART I</w:t>
      </w:r>
    </w:p>
    <w:p>
      <w:pPr>
        <w:spacing w:before="160"/>
        <w:jc w:val="center"/>
      </w:pPr>
      <w:r>
        <w:rPr>
          <w:b/>
          <w:bCs/>
          <w:color w:val="008D7F"/>
          <w:sz w:val="44"/>
          <w:szCs w:val="44"/>
        </w:rPr>
        <w:t xml:space="preserve">For Stakeholders</w:t>
      </w:r>
    </w:p>
    <w:p>
      <w:pPr>
        <w:spacing w:after="1400" w:before="200"/>
        <w:jc w:val="center"/>
      </w:pPr>
      <w:r>
        <w:rPr>
          <w:color w:val="0B3B36"/>
          <w:sz w:val="22"/>
          <w:szCs w:val="22"/>
        </w:rPr>
        <w:t xml:space="preserve">The business case, the ten systems, governance, cost, risk and the plan</w:t>
      </w:r>
    </w:p>
    <w:p>
      <w:r>
        <w:br w:type="page"/>
      </w:r>
    </w:p>
    <w:p>
      <w:pPr>
        <w:pStyle w:val="Heading1"/>
        <w:spacing w:after="160" w:before="360"/>
      </w:pPr>
      <w:r>
        <w:t xml:space="preserve">1. Executive Summary</w:t>
      </w:r>
    </w:p>
    <w:p>
      <w:pPr>
        <w:spacing w:after="140"/>
        <w:jc w:val="both"/>
      </w:pPr>
      <w:r>
        <w:t xml:space="preserve">The InfoSec Assurance team runs Euronext's third-party security assurance, ISMS and ICT-GRC work on a toolset of 35 AI skills built on claude.ai: supplier OSINT assessments, OneTrust-driven reports for the DPO and the CISO forums, evidence review, SOC and penetration-test analysis, and day-to-day regulatory advice across ISO 27001, DORA, NIS2, the EU AI Act and ISO 42001. That toolset works, but it lives outside the Euronext tenant, outside its identity model, outside its data-residency boundary and outside its change control.</w:t>
      </w:r>
    </w:p>
    <w:p>
      <w:pPr>
        <w:spacing w:after="140"/>
        <w:jc w:val="both"/>
      </w:pPr>
      <w:r>
        <w:t xml:space="preserve">This project moves the whole toolset into Microsoft Foundry inside the Euronext Azure tenant, without changing the deliverables the team produces. Fidelity is enforced mechanically: the skills' instructions, templates, thresholds and report generators are converted and then hash-verified against the export, so a deliverable produced on the new platform matches the one produced on the old. Around that core the project adds what an enterprise platform needs and a SaaS toolset could not provide — EU data residency, Entra-only identity, read-only access to enterprise systems, an independent verification step, a human approval gate before every write, full audit evidence, and a documented cost and change model.</w:t>
      </w:r>
    </w:p>
    <w:p>
      <w:pPr>
        <w:spacing w:after="140"/>
        <w:jc w:val="both"/>
      </w:pPr>
      <w:r>
        <w:t xml:space="preserve">Ten business systems are delivered (requirements a–j, §4). The platform is deployed as infrastructure-as-code, and every change to it passes an automated gate set before a human can approve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008D7F" w:val="clear"/>
            <w:tcMar>
              <w:top w:type="dxa" w:w="60"/>
              <w:left w:type="dxa" w:w="100"/>
              <w:bottom w:type="dxa" w:w="60"/>
              <w:right w:type="dxa" w:w="100"/>
            </w:tcMar>
          </w:tcPr>
          <w:p>
            <w:r>
              <w:rPr>
                <w:b/>
                <w:bCs/>
                <w:color w:val="FFFFFF"/>
                <w:sz w:val="19"/>
                <w:szCs w:val="19"/>
              </w:rPr>
              <w:t xml:space="preserve">In one line</w:t>
            </w:r>
          </w:p>
        </w:tc>
        <w:tc>
          <w:tcPr>
            <w:tcW w:type="dxa" w:w="7160"/>
            <w:shd w:fill="008D7F" w:val="clear"/>
            <w:tcMar>
              <w:top w:type="dxa" w:w="60"/>
              <w:left w:type="dxa" w:w="100"/>
              <w:bottom w:type="dxa" w:w="60"/>
              <w:right w:type="dxa" w:w="100"/>
            </w:tcMar>
          </w:tcPr>
          <w:p>
            <w:r>
              <w:rPr>
                <w:b/>
                <w:bCs/>
                <w:color w:val="FFFFFF"/>
                <w:sz w:val="19"/>
                <w:szCs w:val="19"/>
              </w:rPr>
              <w:t xml:space="preserve">Detail</w:t>
            </w:r>
          </w:p>
        </w:tc>
      </w:tr>
      <w:tr>
        <w:tc>
          <w:tcPr>
            <w:tcW w:type="dxa" w:w="2200"/>
            <w:tcMar>
              <w:top w:type="dxa" w:w="60"/>
              <w:left w:type="dxa" w:w="100"/>
              <w:bottom w:type="dxa" w:w="60"/>
              <w:right w:type="dxa" w:w="100"/>
            </w:tcMar>
          </w:tcPr>
          <w:p>
            <w:r>
              <w:rPr>
                <w:b w:val="false"/>
                <w:bCs w:val="false"/>
                <w:sz w:val="19"/>
                <w:szCs w:val="19"/>
              </w:rPr>
              <w:t xml:space="preserve">What</w:t>
            </w:r>
          </w:p>
        </w:tc>
        <w:tc>
          <w:tcPr>
            <w:tcW w:type="dxa" w:w="7160"/>
            <w:tcMar>
              <w:top w:type="dxa" w:w="60"/>
              <w:left w:type="dxa" w:w="100"/>
              <w:bottom w:type="dxa" w:w="60"/>
              <w:right w:type="dxa" w:w="100"/>
            </w:tcMar>
          </w:tcPr>
          <w:p>
            <w:r>
              <w:rPr>
                <w:b w:val="false"/>
                <w:bCs w:val="false"/>
                <w:sz w:val="19"/>
                <w:szCs w:val="19"/>
              </w:rPr>
              <w:t xml:space="preserve">35 exported skills → a governed agent platform in Microsoft Foundry: 36 registered agents, 12 delivery pipelines, 17 workflows, 20 read-only enterprise connections</w:t>
            </w:r>
          </w:p>
        </w:tc>
      </w:tr>
      <w:tr>
        <w:tc>
          <w:tcPr>
            <w:tcW w:type="dxa" w:w="2200"/>
            <w:shd w:fill="E4F3F1" w:val="clear"/>
            <w:tcMar>
              <w:top w:type="dxa" w:w="60"/>
              <w:left w:type="dxa" w:w="100"/>
              <w:bottom w:type="dxa" w:w="60"/>
              <w:right w:type="dxa" w:w="100"/>
            </w:tcMar>
          </w:tcPr>
          <w:p>
            <w:r>
              <w:rPr>
                <w:b w:val="false"/>
                <w:bCs w:val="false"/>
                <w:sz w:val="19"/>
                <w:szCs w:val="19"/>
              </w:rPr>
              <w:t xml:space="preserve">Why now</w:t>
            </w:r>
          </w:p>
        </w:tc>
        <w:tc>
          <w:tcPr>
            <w:tcW w:type="dxa" w:w="7160"/>
            <w:shd w:fill="E4F3F1" w:val="clear"/>
            <w:tcMar>
              <w:top w:type="dxa" w:w="60"/>
              <w:left w:type="dxa" w:w="100"/>
              <w:bottom w:type="dxa" w:w="60"/>
              <w:right w:type="dxa" w:w="100"/>
            </w:tcMar>
          </w:tcPr>
          <w:p>
            <w:r>
              <w:rPr>
                <w:b w:val="false"/>
                <w:bCs w:val="false"/>
                <w:sz w:val="19"/>
                <w:szCs w:val="19"/>
              </w:rPr>
              <w:t xml:space="preserve">Residency, identity, auditability and change control cannot be retrofitted onto a SaaS account; the regulatory obligations (DORA, NIS2, EU AI Act) apply to the tooling as well as to the assessments it produces</w:t>
            </w:r>
          </w:p>
        </w:tc>
      </w:tr>
      <w:tr>
        <w:tc>
          <w:tcPr>
            <w:tcW w:type="dxa" w:w="2200"/>
            <w:tcMar>
              <w:top w:type="dxa" w:w="60"/>
              <w:left w:type="dxa" w:w="100"/>
              <w:bottom w:type="dxa" w:w="60"/>
              <w:right w:type="dxa" w:w="100"/>
            </w:tcMar>
          </w:tcPr>
          <w:p>
            <w:r>
              <w:rPr>
                <w:b w:val="false"/>
                <w:bCs w:val="false"/>
                <w:sz w:val="19"/>
                <w:szCs w:val="19"/>
              </w:rPr>
              <w:t xml:space="preserve">Deliverable fidelity</w:t>
            </w:r>
          </w:p>
        </w:tc>
        <w:tc>
          <w:tcPr>
            <w:tcW w:type="dxa" w:w="7160"/>
            <w:tcMar>
              <w:top w:type="dxa" w:w="60"/>
              <w:left w:type="dxa" w:w="100"/>
              <w:bottom w:type="dxa" w:w="60"/>
              <w:right w:type="dxa" w:w="100"/>
            </w:tcMar>
          </w:tcPr>
          <w:p>
            <w:r>
              <w:rPr>
                <w:b w:val="false"/>
                <w:bCs w:val="false"/>
                <w:sz w:val="19"/>
                <w:szCs w:val="19"/>
              </w:rPr>
              <w:t xml:space="preserve">Byte-verified conversion — the same templates, thresholds and generators produce the same reports</w:t>
            </w:r>
          </w:p>
        </w:tc>
      </w:tr>
      <w:tr>
        <w:tc>
          <w:tcPr>
            <w:tcW w:type="dxa" w:w="2200"/>
            <w:shd w:fill="E4F3F1" w:val="clear"/>
            <w:tcMar>
              <w:top w:type="dxa" w:w="60"/>
              <w:left w:type="dxa" w:w="100"/>
              <w:bottom w:type="dxa" w:w="60"/>
              <w:right w:type="dxa" w:w="100"/>
            </w:tcMar>
          </w:tcPr>
          <w:p>
            <w:r>
              <w:rPr>
                <w:b w:val="false"/>
                <w:bCs w:val="false"/>
                <w:sz w:val="19"/>
                <w:szCs w:val="19"/>
              </w:rPr>
              <w:t xml:space="preserve">Who operates it</w:t>
            </w:r>
          </w:p>
        </w:tc>
        <w:tc>
          <w:tcPr>
            <w:tcW w:type="dxa" w:w="7160"/>
            <w:shd w:fill="E4F3F1" w:val="clear"/>
            <w:tcMar>
              <w:top w:type="dxa" w:w="60"/>
              <w:left w:type="dxa" w:w="100"/>
              <w:bottom w:type="dxa" w:w="60"/>
              <w:right w:type="dxa" w:w="100"/>
            </w:tcMar>
          </w:tcPr>
          <w:p>
            <w:r>
              <w:rPr>
                <w:b w:val="false"/>
                <w:bCs w:val="false"/>
                <w:sz w:val="19"/>
                <w:szCs w:val="19"/>
              </w:rPr>
              <w:t xml:space="preserve">Five assurance users; one accountable owner for creation, planning, maintenance, optimisation and updates</w:t>
            </w:r>
          </w:p>
        </w:tc>
      </w:tr>
      <w:tr>
        <w:tc>
          <w:tcPr>
            <w:tcW w:type="dxa" w:w="2200"/>
            <w:tcMar>
              <w:top w:type="dxa" w:w="60"/>
              <w:left w:type="dxa" w:w="100"/>
              <w:bottom w:type="dxa" w:w="60"/>
              <w:right w:type="dxa" w:w="100"/>
            </w:tcMar>
          </w:tcPr>
          <w:p>
            <w:r>
              <w:rPr>
                <w:b w:val="false"/>
                <w:bCs w:val="false"/>
                <w:sz w:val="19"/>
                <w:szCs w:val="19"/>
              </w:rPr>
              <w:t xml:space="preserve">What the team must do differently</w:t>
            </w:r>
          </w:p>
        </w:tc>
        <w:tc>
          <w:tcPr>
            <w:tcW w:type="dxa" w:w="7160"/>
            <w:tcMar>
              <w:top w:type="dxa" w:w="60"/>
              <w:left w:type="dxa" w:w="100"/>
              <w:bottom w:type="dxa" w:w="60"/>
              <w:right w:type="dxa" w:w="100"/>
            </w:tcMar>
          </w:tcPr>
          <w:p>
            <w:r>
              <w:rPr>
                <w:b w:val="false"/>
                <w:bCs w:val="false"/>
                <w:sz w:val="19"/>
                <w:szCs w:val="19"/>
              </w:rPr>
              <w:t xml:space="preserve">Approve each deliverable before it is stored or sent — the platform drafts and verifies, a person decides</w:t>
            </w:r>
          </w:p>
        </w:tc>
      </w:tr>
      <w:tr>
        <w:tc>
          <w:tcPr>
            <w:tcW w:type="dxa" w:w="2200"/>
            <w:shd w:fill="E4F3F1" w:val="clear"/>
            <w:tcMar>
              <w:top w:type="dxa" w:w="60"/>
              <w:left w:type="dxa" w:w="100"/>
              <w:bottom w:type="dxa" w:w="60"/>
              <w:right w:type="dxa" w:w="100"/>
            </w:tcMar>
          </w:tcPr>
          <w:p>
            <w:r>
              <w:rPr>
                <w:b w:val="false"/>
                <w:bCs w:val="false"/>
                <w:sz w:val="19"/>
                <w:szCs w:val="19"/>
              </w:rPr>
              <w:t xml:space="preserve">Status</w:t>
            </w:r>
          </w:p>
        </w:tc>
        <w:tc>
          <w:tcPr>
            <w:tcW w:type="dxa" w:w="7160"/>
            <w:shd w:fill="E4F3F1" w:val="clear"/>
            <w:tcMar>
              <w:top w:type="dxa" w:w="60"/>
              <w:left w:type="dxa" w:w="100"/>
              <w:bottom w:type="dxa" w:w="60"/>
              <w:right w:type="dxa" w:w="100"/>
            </w:tcMar>
          </w:tcPr>
          <w:p>
            <w:r>
              <w:rPr>
                <w:b w:val="false"/>
                <w:bCs w:val="false"/>
                <w:sz w:val="19"/>
                <w:szCs w:val="19"/>
              </w:rPr>
              <w:t xml:space="preserve">Built and gated in the repository; pending owner approval and tenant deployment</w:t>
            </w:r>
          </w:p>
        </w:tc>
      </w:tr>
    </w:tbl>
    <w:p>
      <w:pPr>
        <w:pStyle w:val="Heading1"/>
        <w:spacing w:after="160" w:before="360"/>
      </w:pPr>
      <w:r>
        <w:t xml:space="preserve">2. Context and Problem Statement</w:t>
      </w:r>
    </w:p>
    <w:p>
      <w:pPr>
        <w:spacing w:after="140"/>
        <w:jc w:val="both"/>
      </w:pPr>
      <w:r>
        <w:t xml:space="preserve">The assurance toolset grew on claude.ai because that is where it could be built quickly. It now carries real operational weight: supplier assessments that feed contract decisions, DPO reports, CISO forum material and the evidence register behind third-party risk. Four properties of the current arrangement are incompatible with that weight.</w:t>
      </w:r>
    </w:p>
    <w:p>
      <w:pPr>
        <w:pStyle w:val="ListParagraph"/>
        <w:numPr>
          <w:ilvl w:val="0"/>
          <w:numId w:val="2"/>
        </w:numPr>
        <w:spacing w:after="80"/>
      </w:pPr>
      <w:r>
        <w:rPr>
          <w:b/>
          <w:bCs/>
        </w:rPr>
        <w:t xml:space="preserve">Residency and data protection: </w:t>
      </w:r>
      <w:r>
        <w:t xml:space="preserve">supplier evidence and Euronext internal context are processed outside the tenant's data boundary, with a third-party processor relationship the DPO did not design.</w:t>
      </w:r>
    </w:p>
    <w:p>
      <w:pPr>
        <w:pStyle w:val="ListParagraph"/>
        <w:numPr>
          <w:ilvl w:val="0"/>
          <w:numId w:val="2"/>
        </w:numPr>
        <w:spacing w:after="80"/>
      </w:pPr>
      <w:r>
        <w:rPr>
          <w:b/>
          <w:bCs/>
        </w:rPr>
        <w:t xml:space="preserve">Identity and access: </w:t>
      </w:r>
      <w:r>
        <w:t xml:space="preserve">access is by account, not by Entra identity; there is no conditional access, no PIM, no leaver process tied to the corporate directory.</w:t>
      </w:r>
    </w:p>
    <w:p>
      <w:pPr>
        <w:pStyle w:val="ListParagraph"/>
        <w:numPr>
          <w:ilvl w:val="0"/>
          <w:numId w:val="2"/>
        </w:numPr>
        <w:spacing w:after="80"/>
      </w:pPr>
      <w:r>
        <w:rPr>
          <w:b/>
          <w:bCs/>
        </w:rPr>
        <w:t xml:space="preserve">Auditability: </w:t>
      </w:r>
      <w:r>
        <w:t xml:space="preserve">there is no durable, exportable record of who approved which deliverable on which evidence — the record an ISO 27001 audit and DORA Art. 28 ask for.</w:t>
      </w:r>
    </w:p>
    <w:p>
      <w:pPr>
        <w:pStyle w:val="ListParagraph"/>
        <w:numPr>
          <w:ilvl w:val="0"/>
          <w:numId w:val="2"/>
        </w:numPr>
        <w:spacing w:after="80"/>
      </w:pPr>
      <w:r>
        <w:rPr>
          <w:b/>
          <w:bCs/>
        </w:rPr>
        <w:t xml:space="preserve">Change control: </w:t>
      </w:r>
      <w:r>
        <w:t xml:space="preserve">a prompt or template can be changed by anyone with the account, with no review, no version and no way to reproduce last quarter's output.</w:t>
      </w:r>
    </w:p>
    <w:p>
      <w:pPr>
        <w:spacing w:after="140"/>
        <w:jc w:val="both"/>
      </w:pPr>
      <w:r>
        <w:t xml:space="preserve">None of these are arguments against the toolset — they are arguments about where it should run. The project therefore preserves the toolset and changes its foundation.</w:t>
      </w:r>
    </w:p>
    <w:p>
      <w:pPr>
        <w:pStyle w:val="Heading1"/>
        <w:spacing w:after="160" w:before="360"/>
      </w:pPr>
      <w:r>
        <w:t xml:space="preserve">3. Objectives, Scope and Success Criteria</w:t>
      </w:r>
    </w:p>
    <w:p>
      <w:pPr>
        <w:pStyle w:val="Heading2"/>
        <w:spacing w:after="120" w:before="260"/>
      </w:pPr>
      <w:r>
        <w:t xml:space="preserve">3.1 Objectives</w:t>
      </w:r>
    </w:p>
    <w:p>
      <w:pPr>
        <w:pStyle w:val="ListParagraph"/>
        <w:numPr>
          <w:ilvl w:val="0"/>
          <w:numId w:val="2"/>
        </w:numPr>
        <w:spacing w:after="80"/>
      </w:pPr>
      <w:r>
        <w:t xml:space="preserve">Preserve deliverable quality exactly: the same reports, from the same rules, on Euronext infrastructure.</w:t>
      </w:r>
    </w:p>
    <w:p>
      <w:pPr>
        <w:pStyle w:val="ListParagraph"/>
        <w:numPr>
          <w:ilvl w:val="0"/>
          <w:numId w:val="2"/>
        </w:numPr>
        <w:spacing w:after="80"/>
      </w:pPr>
      <w:r>
        <w:t xml:space="preserve">Bring the toolset inside the tenant: EU data residency, Entra-only identity, Key Vault-held secrets, tenant-owned storage.</w:t>
      </w:r>
    </w:p>
    <w:p>
      <w:pPr>
        <w:pStyle w:val="ListParagraph"/>
        <w:numPr>
          <w:ilvl w:val="0"/>
          <w:numId w:val="2"/>
        </w:numPr>
        <w:spacing w:after="80"/>
      </w:pPr>
      <w:r>
        <w:t xml:space="preserve">Make every write deliberate: an independent verification step and a human approval gate before anything is stored, posted or sent.</w:t>
      </w:r>
    </w:p>
    <w:p>
      <w:pPr>
        <w:pStyle w:val="ListParagraph"/>
        <w:numPr>
          <w:ilvl w:val="0"/>
          <w:numId w:val="2"/>
        </w:numPr>
        <w:spacing w:after="80"/>
      </w:pPr>
      <w:r>
        <w:t xml:space="preserve">Give the team read-only reach into the systems they already use — Confluence, Jira, SharePoint, OneTrust, Defender, the ENX gateway — without any ability to write to them.</w:t>
      </w:r>
    </w:p>
    <w:p>
      <w:pPr>
        <w:pStyle w:val="ListParagraph"/>
        <w:numPr>
          <w:ilvl w:val="0"/>
          <w:numId w:val="2"/>
        </w:numPr>
        <w:spacing w:after="80"/>
      </w:pPr>
      <w:r>
        <w:t xml:space="preserve">Operate it as a managed service: monitored, budgeted, versioned, reviewed and improvable, with a named accountable owner.</w:t>
      </w:r>
    </w:p>
    <w:p>
      <w:pPr>
        <w:pStyle w:val="Heading2"/>
        <w:spacing w:after="120" w:before="260"/>
      </w:pPr>
      <w:r>
        <w:t xml:space="preserve">3.2 In scope</w:t>
      </w:r>
    </w:p>
    <w:p>
      <w:pPr>
        <w:pStyle w:val="ListParagraph"/>
        <w:numPr>
          <w:ilvl w:val="0"/>
          <w:numId w:val="2"/>
        </w:numPr>
        <w:spacing w:after="80"/>
      </w:pPr>
      <w:r>
        <w:t xml:space="preserve">The ten business systems of §4 (requirements a–j), their agents, pipelines and deliverable templates.</w:t>
      </w:r>
    </w:p>
    <w:p>
      <w:pPr>
        <w:pStyle w:val="ListParagraph"/>
        <w:numPr>
          <w:ilvl w:val="0"/>
          <w:numId w:val="2"/>
        </w:numPr>
        <w:spacing w:after="80"/>
      </w:pPr>
      <w:r>
        <w:t xml:space="preserve">The Foundry landing zone: project, model deployments, networking, encryption, identity, policy and monitoring.</w:t>
      </w:r>
    </w:p>
    <w:p>
      <w:pPr>
        <w:pStyle w:val="ListParagraph"/>
        <w:numPr>
          <w:ilvl w:val="0"/>
          <w:numId w:val="2"/>
        </w:numPr>
        <w:spacing w:after="80"/>
      </w:pPr>
      <w:r>
        <w:t xml:space="preserve">Delivery to SharePoint under the supplier/service taxonomy, with Purview sensitivity labelling.</w:t>
      </w:r>
    </w:p>
    <w:p>
      <w:pPr>
        <w:pStyle w:val="ListParagraph"/>
        <w:numPr>
          <w:ilvl w:val="0"/>
          <w:numId w:val="2"/>
        </w:numPr>
        <w:spacing w:after="80"/>
      </w:pPr>
      <w:r>
        <w:t xml:space="preserve">Governance: approval policy, data-protection guardrails, memory policy, model routing, change and lifecycle management.</w:t>
      </w:r>
    </w:p>
    <w:p>
      <w:pPr>
        <w:pStyle w:val="Heading2"/>
        <w:spacing w:after="120" w:before="260"/>
      </w:pPr>
      <w:r>
        <w:t xml:space="preserve">3.3 Out of scope</w:t>
      </w:r>
    </w:p>
    <w:p>
      <w:pPr>
        <w:pStyle w:val="ListParagraph"/>
        <w:numPr>
          <w:ilvl w:val="0"/>
          <w:numId w:val="2"/>
        </w:numPr>
        <w:spacing w:after="80"/>
      </w:pPr>
      <w:r>
        <w:t xml:space="preserve">Anthropic Claude model tiers. The models are offered in the Foundry catalogue; they are excluded here by the EU data-residency rule, not by availability, and the exclusion is re-checked quarterly (convertion/governance/CLAUDE_ON_FOUNDRY.md).</w:t>
      </w:r>
    </w:p>
    <w:p>
      <w:pPr>
        <w:pStyle w:val="ListParagraph"/>
        <w:numPr>
          <w:ilvl w:val="0"/>
          <w:numId w:val="2"/>
        </w:numPr>
        <w:spacing w:after="80"/>
      </w:pPr>
      <w:r>
        <w:t xml:space="preserve">Local-hardware transcription (replaced by the Foundry speech path) and any skill excluded from the export for data-protection reasons.</w:t>
      </w:r>
    </w:p>
    <w:p>
      <w:pPr>
        <w:pStyle w:val="ListParagraph"/>
        <w:numPr>
          <w:ilvl w:val="0"/>
          <w:numId w:val="2"/>
        </w:numPr>
        <w:spacing w:after="80"/>
      </w:pPr>
      <w:r>
        <w:t xml:space="preserve">Writing to enterprise systems. The platform reads; people write. This is a design boundary, not a phase-two item.</w:t>
      </w:r>
    </w:p>
    <w:p>
      <w:pPr>
        <w:pStyle w:val="Heading2"/>
        <w:spacing w:after="120" w:before="260"/>
      </w:pPr>
      <w:r>
        <w:t xml:space="preserve">3.4 Success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shd w:fill="008D7F" w:val="clear"/>
            <w:tcMar>
              <w:top w:type="dxa" w:w="60"/>
              <w:left w:type="dxa" w:w="100"/>
              <w:bottom w:type="dxa" w:w="60"/>
              <w:right w:type="dxa" w:w="100"/>
            </w:tcMar>
          </w:tcPr>
          <w:p>
            <w:r>
              <w:rPr>
                <w:b/>
                <w:bCs/>
                <w:color w:val="FFFFFF"/>
                <w:sz w:val="19"/>
                <w:szCs w:val="19"/>
              </w:rPr>
              <w:t xml:space="preserve">Criterion</w:t>
            </w:r>
          </w:p>
        </w:tc>
        <w:tc>
          <w:tcPr>
            <w:tcW w:type="dxa" w:w="4360"/>
            <w:shd w:fill="008D7F" w:val="clear"/>
            <w:tcMar>
              <w:top w:type="dxa" w:w="60"/>
              <w:left w:type="dxa" w:w="100"/>
              <w:bottom w:type="dxa" w:w="60"/>
              <w:right w:type="dxa" w:w="100"/>
            </w:tcMar>
          </w:tcPr>
          <w:p>
            <w:r>
              <w:rPr>
                <w:b/>
                <w:bCs/>
                <w:color w:val="FFFFFF"/>
                <w:sz w:val="19"/>
                <w:szCs w:val="19"/>
              </w:rPr>
              <w:t xml:space="preserve">Measure</w:t>
            </w:r>
          </w:p>
        </w:tc>
        <w:tc>
          <w:tcPr>
            <w:tcW w:type="dxa" w:w="3000"/>
            <w:shd w:fill="008D7F" w:val="clear"/>
            <w:tcMar>
              <w:top w:type="dxa" w:w="60"/>
              <w:left w:type="dxa" w:w="100"/>
              <w:bottom w:type="dxa" w:w="60"/>
              <w:right w:type="dxa" w:w="100"/>
            </w:tcMar>
          </w:tcPr>
          <w:p>
            <w:r>
              <w:rPr>
                <w:b/>
                <w:bCs/>
                <w:color w:val="FFFFFF"/>
                <w:sz w:val="19"/>
                <w:szCs w:val="19"/>
              </w:rPr>
              <w:t xml:space="preserve">Target</w:t>
            </w:r>
          </w:p>
        </w:tc>
      </w:tr>
      <w:tr>
        <w:tc>
          <w:tcPr>
            <w:tcW w:type="dxa" w:w="2000"/>
            <w:tcMar>
              <w:top w:type="dxa" w:w="60"/>
              <w:left w:type="dxa" w:w="100"/>
              <w:bottom w:type="dxa" w:w="60"/>
              <w:right w:type="dxa" w:w="100"/>
            </w:tcMar>
          </w:tcPr>
          <w:p>
            <w:r>
              <w:rPr>
                <w:b w:val="false"/>
                <w:bCs w:val="false"/>
                <w:sz w:val="19"/>
                <w:szCs w:val="19"/>
              </w:rPr>
              <w:t xml:space="preserve">Fidelity</w:t>
            </w:r>
          </w:p>
        </w:tc>
        <w:tc>
          <w:tcPr>
            <w:tcW w:type="dxa" w:w="4360"/>
            <w:tcMar>
              <w:top w:type="dxa" w:w="60"/>
              <w:left w:type="dxa" w:w="100"/>
              <w:bottom w:type="dxa" w:w="60"/>
              <w:right w:type="dxa" w:w="100"/>
            </w:tcMar>
          </w:tcPr>
          <w:p>
            <w:r>
              <w:rPr>
                <w:b w:val="false"/>
                <w:bCs w:val="false"/>
                <w:sz w:val="19"/>
                <w:szCs w:val="19"/>
              </w:rPr>
              <w:t xml:space="preserve">verify_conversion.py on every deployment</w:t>
            </w:r>
          </w:p>
        </w:tc>
        <w:tc>
          <w:tcPr>
            <w:tcW w:type="dxa" w:w="3000"/>
            <w:tcMar>
              <w:top w:type="dxa" w:w="60"/>
              <w:left w:type="dxa" w:w="100"/>
              <w:bottom w:type="dxa" w:w="60"/>
              <w:right w:type="dxa" w:w="100"/>
            </w:tcMar>
          </w:tcPr>
          <w:p>
            <w:r>
              <w:rPr>
                <w:b w:val="false"/>
                <w:bCs w:val="false"/>
                <w:sz w:val="19"/>
                <w:szCs w:val="19"/>
              </w:rPr>
              <w:t xml:space="preserve">Verified — every instruction, template and generator hash-matched to the export</w:t>
            </w:r>
          </w:p>
        </w:tc>
      </w:tr>
      <w:tr>
        <w:tc>
          <w:tcPr>
            <w:tcW w:type="dxa" w:w="2000"/>
            <w:shd w:fill="E4F3F1" w:val="clear"/>
            <w:tcMar>
              <w:top w:type="dxa" w:w="60"/>
              <w:left w:type="dxa" w:w="100"/>
              <w:bottom w:type="dxa" w:w="60"/>
              <w:right w:type="dxa" w:w="100"/>
            </w:tcMar>
          </w:tcPr>
          <w:p>
            <w:r>
              <w:rPr>
                <w:b w:val="false"/>
                <w:bCs w:val="false"/>
                <w:sz w:val="19"/>
                <w:szCs w:val="19"/>
              </w:rPr>
              <w:t xml:space="preserve">Parity</w:t>
            </w:r>
          </w:p>
        </w:tc>
        <w:tc>
          <w:tcPr>
            <w:tcW w:type="dxa" w:w="4360"/>
            <w:shd w:fill="E4F3F1" w:val="clear"/>
            <w:tcMar>
              <w:top w:type="dxa" w:w="60"/>
              <w:left w:type="dxa" w:w="100"/>
              <w:bottom w:type="dxa" w:w="60"/>
              <w:right w:type="dxa" w:w="100"/>
            </w:tcMar>
          </w:tcPr>
          <w:p>
            <w:r>
              <w:rPr>
                <w:b w:val="false"/>
                <w:bCs w:val="false"/>
                <w:sz w:val="19"/>
                <w:szCs w:val="19"/>
              </w:rPr>
              <w:t xml:space="preserve">UAT deliverables vs the claude.ai baselines for the same inputs</w:t>
            </w:r>
          </w:p>
        </w:tc>
        <w:tc>
          <w:tcPr>
            <w:tcW w:type="dxa" w:w="3000"/>
            <w:shd w:fill="E4F3F1" w:val="clear"/>
            <w:tcMar>
              <w:top w:type="dxa" w:w="60"/>
              <w:left w:type="dxa" w:w="100"/>
              <w:bottom w:type="dxa" w:w="60"/>
              <w:right w:type="dxa" w:w="100"/>
            </w:tcMar>
          </w:tcPr>
          <w:p>
            <w:r>
              <w:rPr>
                <w:b w:val="false"/>
                <w:bCs w:val="false"/>
                <w:sz w:val="19"/>
                <w:szCs w:val="19"/>
              </w:rPr>
              <w:t xml:space="preserve">No material deviation, accepted by the team</w:t>
            </w:r>
          </w:p>
        </w:tc>
      </w:tr>
      <w:tr>
        <w:tc>
          <w:tcPr>
            <w:tcW w:type="dxa" w:w="2000"/>
            <w:tcMar>
              <w:top w:type="dxa" w:w="60"/>
              <w:left w:type="dxa" w:w="100"/>
              <w:bottom w:type="dxa" w:w="60"/>
              <w:right w:type="dxa" w:w="100"/>
            </w:tcMar>
          </w:tcPr>
          <w:p>
            <w:r>
              <w:rPr>
                <w:b w:val="false"/>
                <w:bCs w:val="false"/>
                <w:sz w:val="19"/>
                <w:szCs w:val="19"/>
              </w:rPr>
              <w:t xml:space="preserve">Human control</w:t>
            </w:r>
          </w:p>
        </w:tc>
        <w:tc>
          <w:tcPr>
            <w:tcW w:type="dxa" w:w="4360"/>
            <w:tcMar>
              <w:top w:type="dxa" w:w="60"/>
              <w:left w:type="dxa" w:w="100"/>
              <w:bottom w:type="dxa" w:w="60"/>
              <w:right w:type="dxa" w:w="100"/>
            </w:tcMar>
          </w:tcPr>
          <w:p>
            <w:r>
              <w:rPr>
                <w:b w:val="false"/>
                <w:bCs w:val="false"/>
                <w:sz w:val="19"/>
                <w:szCs w:val="19"/>
              </w:rPr>
              <w:t xml:space="preserve">Write grants in the integration registry; stores without an approval callback</w:t>
            </w:r>
          </w:p>
        </w:tc>
        <w:tc>
          <w:tcPr>
            <w:tcW w:type="dxa" w:w="3000"/>
            <w:tcMar>
              <w:top w:type="dxa" w:w="60"/>
              <w:left w:type="dxa" w:w="100"/>
              <w:bottom w:type="dxa" w:w="60"/>
              <w:right w:type="dxa" w:w="100"/>
            </w:tcMar>
          </w:tcPr>
          <w:p>
            <w:r>
              <w:rPr>
                <w:b w:val="false"/>
                <w:bCs w:val="false"/>
                <w:sz w:val="19"/>
                <w:szCs w:val="19"/>
              </w:rPr>
              <w:t xml:space="preserve">Zero and zero</w:t>
            </w:r>
          </w:p>
        </w:tc>
      </w:tr>
      <w:tr>
        <w:tc>
          <w:tcPr>
            <w:tcW w:type="dxa" w:w="2000"/>
            <w:shd w:fill="E4F3F1" w:val="clear"/>
            <w:tcMar>
              <w:top w:type="dxa" w:w="60"/>
              <w:left w:type="dxa" w:w="100"/>
              <w:bottom w:type="dxa" w:w="60"/>
              <w:right w:type="dxa" w:w="100"/>
            </w:tcMar>
          </w:tcPr>
          <w:p>
            <w:r>
              <w:rPr>
                <w:b w:val="false"/>
                <w:bCs w:val="false"/>
                <w:sz w:val="19"/>
                <w:szCs w:val="19"/>
              </w:rPr>
              <w:t xml:space="preserve">Quality</w:t>
            </w:r>
          </w:p>
        </w:tc>
        <w:tc>
          <w:tcPr>
            <w:tcW w:type="dxa" w:w="4360"/>
            <w:shd w:fill="E4F3F1" w:val="clear"/>
            <w:tcMar>
              <w:top w:type="dxa" w:w="60"/>
              <w:left w:type="dxa" w:w="100"/>
              <w:bottom w:type="dxa" w:w="60"/>
              <w:right w:type="dxa" w:w="100"/>
            </w:tcMar>
          </w:tcPr>
          <w:p>
            <w:r>
              <w:rPr>
                <w:b w:val="false"/>
                <w:bCs w:val="false"/>
                <w:sz w:val="19"/>
                <w:szCs w:val="19"/>
              </w:rPr>
              <w:t xml:space="preserve">Verifier first-pass PASS rate on report agents</w:t>
            </w:r>
          </w:p>
        </w:tc>
        <w:tc>
          <w:tcPr>
            <w:tcW w:type="dxa" w:w="3000"/>
            <w:shd w:fill="E4F3F1" w:val="clear"/>
            <w:tcMar>
              <w:top w:type="dxa" w:w="60"/>
              <w:left w:type="dxa" w:w="100"/>
              <w:bottom w:type="dxa" w:w="60"/>
              <w:right w:type="dxa" w:w="100"/>
            </w:tcMar>
          </w:tcPr>
          <w:p>
            <w:r>
              <w:rPr>
                <w:b w:val="false"/>
                <w:bCs w:val="false"/>
                <w:sz w:val="19"/>
                <w:szCs w:val="19"/>
              </w:rPr>
              <w:t xml:space="preserve">≥ 90 % steady state; investigated on decline</w:t>
            </w:r>
          </w:p>
        </w:tc>
      </w:tr>
      <w:tr>
        <w:tc>
          <w:tcPr>
            <w:tcW w:type="dxa" w:w="2000"/>
            <w:tcMar>
              <w:top w:type="dxa" w:w="60"/>
              <w:left w:type="dxa" w:w="100"/>
              <w:bottom w:type="dxa" w:w="60"/>
              <w:right w:type="dxa" w:w="100"/>
            </w:tcMar>
          </w:tcPr>
          <w:p>
            <w:r>
              <w:rPr>
                <w:b w:val="false"/>
                <w:bCs w:val="false"/>
                <w:sz w:val="19"/>
                <w:szCs w:val="19"/>
              </w:rPr>
              <w:t xml:space="preserve">Adoption</w:t>
            </w:r>
          </w:p>
        </w:tc>
        <w:tc>
          <w:tcPr>
            <w:tcW w:type="dxa" w:w="4360"/>
            <w:tcMar>
              <w:top w:type="dxa" w:w="60"/>
              <w:left w:type="dxa" w:w="100"/>
              <w:bottom w:type="dxa" w:w="60"/>
              <w:right w:type="dxa" w:w="100"/>
            </w:tcMar>
          </w:tcPr>
          <w:p>
            <w:r>
              <w:rPr>
                <w:b w:val="false"/>
                <w:bCs w:val="false"/>
                <w:sz w:val="19"/>
                <w:szCs w:val="19"/>
              </w:rPr>
              <w:t xml:space="preserve">Assurance users producing deliverables on the platform</w:t>
            </w:r>
          </w:p>
        </w:tc>
        <w:tc>
          <w:tcPr>
            <w:tcW w:type="dxa" w:w="3000"/>
            <w:tcMar>
              <w:top w:type="dxa" w:w="60"/>
              <w:left w:type="dxa" w:w="100"/>
              <w:bottom w:type="dxa" w:w="60"/>
              <w:right w:type="dxa" w:w="100"/>
            </w:tcMar>
          </w:tcPr>
          <w:p>
            <w:r>
              <w:rPr>
                <w:b w:val="false"/>
                <w:bCs w:val="false"/>
                <w:sz w:val="19"/>
                <w:szCs w:val="19"/>
              </w:rPr>
              <w:t xml:space="preserve">All five within one quarter of go-live</w:t>
            </w:r>
          </w:p>
        </w:tc>
      </w:tr>
      <w:tr>
        <w:tc>
          <w:tcPr>
            <w:tcW w:type="dxa" w:w="2000"/>
            <w:shd w:fill="E4F3F1" w:val="clear"/>
            <w:tcMar>
              <w:top w:type="dxa" w:w="60"/>
              <w:left w:type="dxa" w:w="100"/>
              <w:bottom w:type="dxa" w:w="60"/>
              <w:right w:type="dxa" w:w="100"/>
            </w:tcMar>
          </w:tcPr>
          <w:p>
            <w:r>
              <w:rPr>
                <w:b w:val="false"/>
                <w:bCs w:val="false"/>
                <w:sz w:val="19"/>
                <w:szCs w:val="19"/>
              </w:rPr>
              <w:t xml:space="preserve">Economy</w:t>
            </w:r>
          </w:p>
        </w:tc>
        <w:tc>
          <w:tcPr>
            <w:tcW w:type="dxa" w:w="4360"/>
            <w:shd w:fill="E4F3F1" w:val="clear"/>
            <w:tcMar>
              <w:top w:type="dxa" w:w="60"/>
              <w:left w:type="dxa" w:w="100"/>
              <w:bottom w:type="dxa" w:w="60"/>
              <w:right w:type="dxa" w:w="100"/>
            </w:tcMar>
          </w:tcPr>
          <w:p>
            <w:r>
              <w:rPr>
                <w:b w:val="false"/>
                <w:bCs w:val="false"/>
                <w:sz w:val="19"/>
                <w:szCs w:val="19"/>
              </w:rPr>
              <w:t xml:space="preserve">Token cost per deliverable; prompt-cache hit rate</w:t>
            </w:r>
          </w:p>
        </w:tc>
        <w:tc>
          <w:tcPr>
            <w:tcW w:type="dxa" w:w="3000"/>
            <w:shd w:fill="E4F3F1" w:val="clear"/>
            <w:tcMar>
              <w:top w:type="dxa" w:w="60"/>
              <w:left w:type="dxa" w:w="100"/>
              <w:bottom w:type="dxa" w:w="60"/>
              <w:right w:type="dxa" w:w="100"/>
            </w:tcMar>
          </w:tcPr>
          <w:p>
            <w:r>
              <w:rPr>
                <w:b w:val="false"/>
                <w:bCs w:val="false"/>
                <w:sz w:val="19"/>
                <w:szCs w:val="19"/>
              </w:rPr>
              <w:t xml:space="preserve">Baseline in hypercare, then a downward trend; cache ≥ 0.6</w:t>
            </w:r>
          </w:p>
        </w:tc>
      </w:tr>
    </w:tbl>
    <w:p>
      <w:r>
        <w:br w:type="page"/>
      </w:r>
    </w:p>
    <w:p>
      <w:pPr>
        <w:pStyle w:val="Heading1"/>
        <w:spacing w:after="160" w:before="360"/>
      </w:pPr>
      <w:r>
        <w:t xml:space="preserve">4. The Ten Systems (Business Requirements a–j)</w:t>
      </w:r>
    </w:p>
    <w:p>
      <w:pPr>
        <w:spacing w:after="140"/>
        <w:jc w:val="both"/>
      </w:pPr>
      <w:r>
        <w:t xml:space="preserve">The requirements were stated by the assurance team in their own terms; each became a system with a named agent, an output contract, a delivery pipeline and an approval gate. The traceability matrix of record is convertion/REQUIREMENTS.md.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100"/>
        <w:gridCol w:w="4200"/>
        <w:gridCol w:w="1560"/>
      </w:tblGrid>
      <w:tr>
        <w:trPr>
          <w:tblHeader/>
        </w:trPr>
        <w:tc>
          <w:tcPr>
            <w:tcW w:type="dxa" w:w="500"/>
            <w:shd w:fill="008D7F" w:val="clear"/>
            <w:tcMar>
              <w:top w:type="dxa" w:w="60"/>
              <w:left w:type="dxa" w:w="100"/>
              <w:bottom w:type="dxa" w:w="60"/>
              <w:right w:type="dxa" w:w="100"/>
            </w:tcMar>
          </w:tcPr>
          <w:p>
            <w:r>
              <w:rPr>
                <w:b/>
                <w:bCs/>
                <w:color w:val="FFFFFF"/>
                <w:sz w:val="19"/>
                <w:szCs w:val="19"/>
              </w:rPr>
              <w:t xml:space="preserve">Req</w:t>
            </w:r>
          </w:p>
        </w:tc>
        <w:tc>
          <w:tcPr>
            <w:tcW w:type="dxa" w:w="3100"/>
            <w:shd w:fill="008D7F" w:val="clear"/>
            <w:tcMar>
              <w:top w:type="dxa" w:w="60"/>
              <w:left w:type="dxa" w:w="100"/>
              <w:bottom w:type="dxa" w:w="60"/>
              <w:right w:type="dxa" w:w="100"/>
            </w:tcMar>
          </w:tcPr>
          <w:p>
            <w:r>
              <w:rPr>
                <w:b/>
                <w:bCs/>
                <w:color w:val="FFFFFF"/>
                <w:sz w:val="19"/>
                <w:szCs w:val="19"/>
              </w:rPr>
              <w:t xml:space="preserve">System — what a user asks for</w:t>
            </w:r>
          </w:p>
        </w:tc>
        <w:tc>
          <w:tcPr>
            <w:tcW w:type="dxa" w:w="4200"/>
            <w:shd w:fill="008D7F" w:val="clear"/>
            <w:tcMar>
              <w:top w:type="dxa" w:w="60"/>
              <w:left w:type="dxa" w:w="100"/>
              <w:bottom w:type="dxa" w:w="60"/>
              <w:right w:type="dxa" w:w="100"/>
            </w:tcMar>
          </w:tcPr>
          <w:p>
            <w:r>
              <w:rPr>
                <w:b/>
                <w:bCs/>
                <w:color w:val="FFFFFF"/>
                <w:sz w:val="19"/>
                <w:szCs w:val="19"/>
              </w:rPr>
              <w:t xml:space="preserve">What it produces</w:t>
            </w:r>
          </w:p>
        </w:tc>
        <w:tc>
          <w:tcPr>
            <w:tcW w:type="dxa" w:w="1560"/>
            <w:shd w:fill="008D7F" w:val="clear"/>
            <w:tcMar>
              <w:top w:type="dxa" w:w="60"/>
              <w:left w:type="dxa" w:w="100"/>
              <w:bottom w:type="dxa" w:w="60"/>
              <w:right w:type="dxa" w:w="100"/>
            </w:tcMar>
          </w:tcPr>
          <w:p>
            <w:r>
              <w:rPr>
                <w:b/>
                <w:bCs/>
                <w:color w:val="FFFFFF"/>
                <w:sz w:val="19"/>
                <w:szCs w:val="19"/>
              </w:rPr>
              <w:t xml:space="preserve">Pipeline</w:t>
            </w:r>
          </w:p>
        </w:tc>
      </w:tr>
      <w:tr>
        <w:tc>
          <w:tcPr>
            <w:tcW w:type="dxa" w:w="500"/>
            <w:tcMar>
              <w:top w:type="dxa" w:w="60"/>
              <w:left w:type="dxa" w:w="100"/>
              <w:bottom w:type="dxa" w:w="60"/>
              <w:right w:type="dxa" w:w="100"/>
            </w:tcMar>
          </w:tcPr>
          <w:p>
            <w:r>
              <w:rPr>
                <w:b w:val="false"/>
                <w:bCs w:val="false"/>
                <w:sz w:val="19"/>
                <w:szCs w:val="19"/>
              </w:rPr>
              <w:t xml:space="preserve">a</w:t>
            </w:r>
          </w:p>
        </w:tc>
        <w:tc>
          <w:tcPr>
            <w:tcW w:type="dxa" w:w="3100"/>
            <w:tcMar>
              <w:top w:type="dxa" w:w="60"/>
              <w:left w:type="dxa" w:w="100"/>
              <w:bottom w:type="dxa" w:w="60"/>
              <w:right w:type="dxa" w:w="100"/>
            </w:tcMar>
          </w:tcPr>
          <w:p>
            <w:r>
              <w:rPr>
                <w:b w:val="false"/>
                <w:bCs w:val="false"/>
                <w:sz w:val="19"/>
                <w:szCs w:val="19"/>
              </w:rPr>
              <w:t xml:space="preserve">DeepSearch OSINT assessment of a supplier</w:t>
            </w:r>
          </w:p>
        </w:tc>
        <w:tc>
          <w:tcPr>
            <w:tcW w:type="dxa" w:w="4200"/>
            <w:tcMar>
              <w:top w:type="dxa" w:w="60"/>
              <w:left w:type="dxa" w:w="100"/>
              <w:bottom w:type="dxa" w:w="60"/>
              <w:right w:type="dxa" w:w="100"/>
            </w:tcMar>
          </w:tcPr>
          <w:p>
            <w:r>
              <w:rPr>
                <w:b w:val="false"/>
                <w:bCs w:val="false"/>
                <w:sz w:val="19"/>
                <w:szCs w:val="19"/>
              </w:rPr>
              <w:t xml:space="preserve">Interactive single-file HTML dashboard: 11 sections, spider graph, confidence scoring</w:t>
            </w:r>
          </w:p>
        </w:tc>
        <w:tc>
          <w:tcPr>
            <w:tcW w:type="dxa" w:w="1560"/>
            <w:tcMar>
              <w:top w:type="dxa" w:w="60"/>
              <w:left w:type="dxa" w:w="100"/>
              <w:bottom w:type="dxa" w:w="60"/>
              <w:right w:type="dxa" w:w="100"/>
            </w:tcMar>
          </w:tcPr>
          <w:p>
            <w:r>
              <w:rPr>
                <w:b w:val="false"/>
                <w:bCs w:val="false"/>
                <w:sz w:val="19"/>
                <w:szCs w:val="19"/>
              </w:rPr>
              <w:t xml:space="preserve">deepsearch-report · ai-deepsearch-report</w:t>
            </w:r>
          </w:p>
        </w:tc>
      </w:tr>
      <w:tr>
        <w:tc>
          <w:tcPr>
            <w:tcW w:type="dxa" w:w="500"/>
            <w:shd w:fill="E4F3F1" w:val="clear"/>
            <w:tcMar>
              <w:top w:type="dxa" w:w="60"/>
              <w:left w:type="dxa" w:w="100"/>
              <w:bottom w:type="dxa" w:w="60"/>
              <w:right w:type="dxa" w:w="100"/>
            </w:tcMar>
          </w:tcPr>
          <w:p>
            <w:r>
              <w:rPr>
                <w:b w:val="false"/>
                <w:bCs w:val="false"/>
                <w:sz w:val="19"/>
                <w:szCs w:val="19"/>
              </w:rPr>
              <w:t xml:space="preserve">b</w:t>
            </w:r>
          </w:p>
        </w:tc>
        <w:tc>
          <w:tcPr>
            <w:tcW w:type="dxa" w:w="3100"/>
            <w:shd w:fill="E4F3F1" w:val="clear"/>
            <w:tcMar>
              <w:top w:type="dxa" w:w="60"/>
              <w:left w:type="dxa" w:w="100"/>
              <w:bottom w:type="dxa" w:w="60"/>
              <w:right w:type="dxa" w:w="100"/>
            </w:tcMar>
          </w:tcPr>
          <w:p>
            <w:r>
              <w:rPr>
                <w:b w:val="false"/>
                <w:bCs w:val="false"/>
                <w:sz w:val="19"/>
                <w:szCs w:val="19"/>
              </w:rPr>
              <w:t xml:space="preserve">Turn a OneTrust assessment PDF into the DPO's report</w:t>
            </w:r>
          </w:p>
        </w:tc>
        <w:tc>
          <w:tcPr>
            <w:tcW w:type="dxa" w:w="4200"/>
            <w:shd w:fill="E4F3F1" w:val="clear"/>
            <w:tcMar>
              <w:top w:type="dxa" w:w="60"/>
              <w:left w:type="dxa" w:w="100"/>
              <w:bottom w:type="dxa" w:w="60"/>
              <w:right w:type="dxa" w:w="100"/>
            </w:tcMar>
          </w:tcPr>
          <w:p>
            <w:r>
              <w:rPr>
                <w:b w:val="false"/>
                <w:bCs w:val="false"/>
                <w:sz w:val="19"/>
                <w:szCs w:val="19"/>
              </w:rPr>
              <w:t xml:space="preserve">InfoSec TPA report (DOCX) for the DPO team</w:t>
            </w:r>
          </w:p>
        </w:tc>
        <w:tc>
          <w:tcPr>
            <w:tcW w:type="dxa" w:w="1560"/>
            <w:shd w:fill="E4F3F1" w:val="clear"/>
            <w:tcMar>
              <w:top w:type="dxa" w:w="60"/>
              <w:left w:type="dxa" w:w="100"/>
              <w:bottom w:type="dxa" w:w="60"/>
              <w:right w:type="dxa" w:w="100"/>
            </w:tcMar>
          </w:tcPr>
          <w:p>
            <w:r>
              <w:rPr>
                <w:b w:val="false"/>
                <w:bCs w:val="false"/>
                <w:sz w:val="19"/>
                <w:szCs w:val="19"/>
              </w:rPr>
              <w:t xml:space="preserve">dpia-dpo-report</w:t>
            </w:r>
          </w:p>
        </w:tc>
      </w:tr>
      <w:tr>
        <w:tc>
          <w:tcPr>
            <w:tcW w:type="dxa" w:w="500"/>
            <w:tcMar>
              <w:top w:type="dxa" w:w="60"/>
              <w:left w:type="dxa" w:w="100"/>
              <w:bottom w:type="dxa" w:w="60"/>
              <w:right w:type="dxa" w:w="100"/>
            </w:tcMar>
          </w:tcPr>
          <w:p>
            <w:r>
              <w:rPr>
                <w:b w:val="false"/>
                <w:bCs w:val="false"/>
                <w:sz w:val="19"/>
                <w:szCs w:val="19"/>
              </w:rPr>
              <w:t xml:space="preserve">c</w:t>
            </w:r>
          </w:p>
        </w:tc>
        <w:tc>
          <w:tcPr>
            <w:tcW w:type="dxa" w:w="3100"/>
            <w:tcMar>
              <w:top w:type="dxa" w:w="60"/>
              <w:left w:type="dxa" w:w="100"/>
              <w:bottom w:type="dxa" w:w="60"/>
              <w:right w:type="dxa" w:w="100"/>
            </w:tcMar>
          </w:tcPr>
          <w:p>
            <w:r>
              <w:rPr>
                <w:b w:val="false"/>
                <w:bCs w:val="false"/>
                <w:sz w:val="19"/>
                <w:szCs w:val="19"/>
              </w:rPr>
              <w:t xml:space="preserve">Material for the Cyber Forum from OneTrust assessments</w:t>
            </w:r>
          </w:p>
        </w:tc>
        <w:tc>
          <w:tcPr>
            <w:tcW w:type="dxa" w:w="4200"/>
            <w:tcMar>
              <w:top w:type="dxa" w:w="60"/>
              <w:left w:type="dxa" w:w="100"/>
              <w:bottom w:type="dxa" w:w="60"/>
              <w:right w:type="dxa" w:w="100"/>
            </w:tcMar>
          </w:tcPr>
          <w:p>
            <w:r>
              <w:rPr>
                <w:b w:val="false"/>
                <w:bCs w:val="false"/>
                <w:sz w:val="19"/>
                <w:szCs w:val="19"/>
              </w:rPr>
              <w:t xml:space="preserve">Governance deck (PPTX) plus the HTML executive dashboard</w:t>
            </w:r>
          </w:p>
        </w:tc>
        <w:tc>
          <w:tcPr>
            <w:tcW w:type="dxa" w:w="1560"/>
            <w:tcMar>
              <w:top w:type="dxa" w:w="60"/>
              <w:left w:type="dxa" w:w="100"/>
              <w:bottom w:type="dxa" w:w="60"/>
              <w:right w:type="dxa" w:w="100"/>
            </w:tcMar>
          </w:tcPr>
          <w:p>
            <w:r>
              <w:rPr>
                <w:b w:val="false"/>
                <w:bCs w:val="false"/>
                <w:sz w:val="19"/>
                <w:szCs w:val="19"/>
              </w:rPr>
              <w:t xml:space="preserve">cyber-forum-pptx · ciso-exec-summary</w:t>
            </w:r>
          </w:p>
        </w:tc>
      </w:tr>
      <w:tr>
        <w:tc>
          <w:tcPr>
            <w:tcW w:type="dxa" w:w="500"/>
            <w:shd w:fill="E4F3F1" w:val="clear"/>
            <w:tcMar>
              <w:top w:type="dxa" w:w="60"/>
              <w:left w:type="dxa" w:w="100"/>
              <w:bottom w:type="dxa" w:w="60"/>
              <w:right w:type="dxa" w:w="100"/>
            </w:tcMar>
          </w:tcPr>
          <w:p>
            <w:r>
              <w:rPr>
                <w:b w:val="false"/>
                <w:bCs w:val="false"/>
                <w:sz w:val="19"/>
                <w:szCs w:val="19"/>
              </w:rPr>
              <w:t xml:space="preserve">d</w:t>
            </w:r>
          </w:p>
        </w:tc>
        <w:tc>
          <w:tcPr>
            <w:tcW w:type="dxa" w:w="3100"/>
            <w:shd w:fill="E4F3F1" w:val="clear"/>
            <w:tcMar>
              <w:top w:type="dxa" w:w="60"/>
              <w:left w:type="dxa" w:w="100"/>
              <w:bottom w:type="dxa" w:w="60"/>
              <w:right w:type="dxa" w:w="100"/>
            </w:tcMar>
          </w:tcPr>
          <w:p>
            <w:r>
              <w:rPr>
                <w:b w:val="false"/>
                <w:bCs w:val="false"/>
                <w:sz w:val="19"/>
                <w:szCs w:val="19"/>
              </w:rPr>
              <w:t xml:space="preserve">A Global CISO briefing on one supplier/service</w:t>
            </w:r>
          </w:p>
        </w:tc>
        <w:tc>
          <w:tcPr>
            <w:tcW w:type="dxa" w:w="4200"/>
            <w:shd w:fill="E4F3F1" w:val="clear"/>
            <w:tcMar>
              <w:top w:type="dxa" w:w="60"/>
              <w:left w:type="dxa" w:w="100"/>
              <w:bottom w:type="dxa" w:w="60"/>
              <w:right w:type="dxa" w:w="100"/>
            </w:tcMar>
          </w:tcPr>
          <w:p>
            <w:r>
              <w:rPr>
                <w:b w:val="false"/>
                <w:bCs w:val="false"/>
                <w:sz w:val="19"/>
                <w:szCs w:val="19"/>
              </w:rPr>
              <w:t xml:space="preserve">9-slide PPTX: contract owner, impacted ENX entities, service and supplier description, executive risk and control résumé, internal/external exposure diagram, ICT inherent and residual scores, actions addressed to the contract owner</w:t>
            </w:r>
          </w:p>
        </w:tc>
        <w:tc>
          <w:tcPr>
            <w:tcW w:type="dxa" w:w="1560"/>
            <w:shd w:fill="E4F3F1" w:val="clear"/>
            <w:tcMar>
              <w:top w:type="dxa" w:w="60"/>
              <w:left w:type="dxa" w:w="100"/>
              <w:bottom w:type="dxa" w:w="60"/>
              <w:right w:type="dxa" w:w="100"/>
            </w:tcMar>
          </w:tcPr>
          <w:p>
            <w:r>
              <w:rPr>
                <w:b w:val="false"/>
                <w:bCs w:val="false"/>
                <w:sz w:val="19"/>
                <w:szCs w:val="19"/>
              </w:rPr>
              <w:t xml:space="preserve">ciso-global-pptx</w:t>
            </w:r>
          </w:p>
        </w:tc>
      </w:tr>
      <w:tr>
        <w:tc>
          <w:tcPr>
            <w:tcW w:type="dxa" w:w="500"/>
            <w:tcMar>
              <w:top w:type="dxa" w:w="60"/>
              <w:left w:type="dxa" w:w="100"/>
              <w:bottom w:type="dxa" w:w="60"/>
              <w:right w:type="dxa" w:w="100"/>
            </w:tcMar>
          </w:tcPr>
          <w:p>
            <w:r>
              <w:rPr>
                <w:b w:val="false"/>
                <w:bCs w:val="false"/>
                <w:sz w:val="19"/>
                <w:szCs w:val="19"/>
              </w:rPr>
              <w:t xml:space="preserve">d2</w:t>
            </w:r>
          </w:p>
        </w:tc>
        <w:tc>
          <w:tcPr>
            <w:tcW w:type="dxa" w:w="3100"/>
            <w:tcMar>
              <w:top w:type="dxa" w:w="60"/>
              <w:left w:type="dxa" w:w="100"/>
              <w:bottom w:type="dxa" w:w="60"/>
              <w:right w:type="dxa" w:w="100"/>
            </w:tcMar>
          </w:tcPr>
          <w:p>
            <w:r>
              <w:rPr>
                <w:b w:val="false"/>
                <w:bCs w:val="false"/>
                <w:sz w:val="19"/>
                <w:szCs w:val="19"/>
              </w:rPr>
              <w:t xml:space="preserve">Analyse everything filed for a supplier in the evidence library</w:t>
            </w:r>
          </w:p>
        </w:tc>
        <w:tc>
          <w:tcPr>
            <w:tcW w:type="dxa" w:w="4200"/>
            <w:tcMar>
              <w:top w:type="dxa" w:w="60"/>
              <w:left w:type="dxa" w:w="100"/>
              <w:bottom w:type="dxa" w:w="60"/>
              <w:right w:type="dxa" w:w="100"/>
            </w:tcMar>
          </w:tcPr>
          <w:p>
            <w:r>
              <w:rPr>
                <w:b w:val="false"/>
                <w:bCs w:val="false"/>
                <w:sz w:val="19"/>
                <w:szCs w:val="19"/>
              </w:rPr>
              <w:t xml:space="preserve">Per file: content identification, scope, emission date, validity period read from the document content, and findings — ISO certificates, SOC 1/2/3 Type 1/2, pentests, vulnerability reports, CAIQ, PDFs and scans</w:t>
            </w:r>
          </w:p>
        </w:tc>
        <w:tc>
          <w:tcPr>
            <w:tcW w:type="dxa" w:w="1560"/>
            <w:tcMar>
              <w:top w:type="dxa" w:w="60"/>
              <w:left w:type="dxa" w:w="100"/>
              <w:bottom w:type="dxa" w:w="60"/>
              <w:right w:type="dxa" w:w="100"/>
            </w:tcMar>
          </w:tcPr>
          <w:p>
            <w:r>
              <w:rPr>
                <w:b w:val="false"/>
                <w:bCs w:val="false"/>
                <w:sz w:val="19"/>
                <w:szCs w:val="19"/>
              </w:rPr>
              <w:t xml:space="preserve">tpa-evidence-analysis</w:t>
            </w:r>
          </w:p>
        </w:tc>
      </w:tr>
      <w:tr>
        <w:tc>
          <w:tcPr>
            <w:tcW w:type="dxa" w:w="500"/>
            <w:shd w:fill="E4F3F1" w:val="clear"/>
            <w:tcMar>
              <w:top w:type="dxa" w:w="60"/>
              <w:left w:type="dxa" w:w="100"/>
              <w:bottom w:type="dxa" w:w="60"/>
              <w:right w:type="dxa" w:w="100"/>
            </w:tcMar>
          </w:tcPr>
          <w:p>
            <w:r>
              <w:rPr>
                <w:b w:val="false"/>
                <w:bCs w:val="false"/>
                <w:sz w:val="19"/>
                <w:szCs w:val="19"/>
              </w:rPr>
              <w:t xml:space="preserve">e</w:t>
            </w:r>
          </w:p>
        </w:tc>
        <w:tc>
          <w:tcPr>
            <w:tcW w:type="dxa" w:w="3100"/>
            <w:shd w:fill="E4F3F1" w:val="clear"/>
            <w:tcMar>
              <w:top w:type="dxa" w:w="60"/>
              <w:left w:type="dxa" w:w="100"/>
              <w:bottom w:type="dxa" w:w="60"/>
              <w:right w:type="dxa" w:w="100"/>
            </w:tcMar>
          </w:tcPr>
          <w:p>
            <w:r>
              <w:rPr>
                <w:b w:val="false"/>
                <w:bCs w:val="false"/>
                <w:sz w:val="19"/>
                <w:szCs w:val="19"/>
              </w:rPr>
              <w:t xml:space="preserve">Summarise a SOC report</w:t>
            </w:r>
          </w:p>
        </w:tc>
        <w:tc>
          <w:tcPr>
            <w:tcW w:type="dxa" w:w="4200"/>
            <w:shd w:fill="E4F3F1" w:val="clear"/>
            <w:tcMar>
              <w:top w:type="dxa" w:w="60"/>
              <w:left w:type="dxa" w:w="100"/>
              <w:bottom w:type="dxa" w:w="60"/>
              <w:right w:type="dxa" w:w="100"/>
            </w:tcMar>
          </w:tcPr>
          <w:p>
            <w:r>
              <w:rPr>
                <w:b w:val="false"/>
                <w:bCs w:val="false"/>
                <w:sz w:val="19"/>
                <w:szCs w:val="19"/>
              </w:rPr>
              <w:t xml:space="preserve">Opinion, scope, period, every exception, CUEC mapping, carve-outs, reliance verdict (DOCX)</w:t>
            </w:r>
          </w:p>
        </w:tc>
        <w:tc>
          <w:tcPr>
            <w:tcW w:type="dxa" w:w="1560"/>
            <w:shd w:fill="E4F3F1" w:val="clear"/>
            <w:tcMar>
              <w:top w:type="dxa" w:w="60"/>
              <w:left w:type="dxa" w:w="100"/>
              <w:bottom w:type="dxa" w:w="60"/>
              <w:right w:type="dxa" w:w="100"/>
            </w:tcMar>
          </w:tcPr>
          <w:p>
            <w:r>
              <w:rPr>
                <w:b w:val="false"/>
                <w:bCs w:val="false"/>
                <w:sz w:val="19"/>
                <w:szCs w:val="19"/>
              </w:rPr>
              <w:t xml:space="preserve">soc-report-summary</w:t>
            </w:r>
          </w:p>
        </w:tc>
      </w:tr>
      <w:tr>
        <w:tc>
          <w:tcPr>
            <w:tcW w:type="dxa" w:w="500"/>
            <w:tcMar>
              <w:top w:type="dxa" w:w="60"/>
              <w:left w:type="dxa" w:w="100"/>
              <w:bottom w:type="dxa" w:w="60"/>
              <w:right w:type="dxa" w:w="100"/>
            </w:tcMar>
          </w:tcPr>
          <w:p>
            <w:r>
              <w:rPr>
                <w:b w:val="false"/>
                <w:bCs w:val="false"/>
                <w:sz w:val="19"/>
                <w:szCs w:val="19"/>
              </w:rPr>
              <w:t xml:space="preserve">f</w:t>
            </w:r>
          </w:p>
        </w:tc>
        <w:tc>
          <w:tcPr>
            <w:tcW w:type="dxa" w:w="3100"/>
            <w:tcMar>
              <w:top w:type="dxa" w:w="60"/>
              <w:left w:type="dxa" w:w="100"/>
              <w:bottom w:type="dxa" w:w="60"/>
              <w:right w:type="dxa" w:w="100"/>
            </w:tcMar>
          </w:tcPr>
          <w:p>
            <w:r>
              <w:rPr>
                <w:b w:val="false"/>
                <w:bCs w:val="false"/>
                <w:sz w:val="19"/>
                <w:szCs w:val="19"/>
              </w:rPr>
              <w:t xml:space="preserve">Summarise a penetration test</w:t>
            </w:r>
          </w:p>
        </w:tc>
        <w:tc>
          <w:tcPr>
            <w:tcW w:type="dxa" w:w="4200"/>
            <w:tcMar>
              <w:top w:type="dxa" w:w="60"/>
              <w:left w:type="dxa" w:w="100"/>
              <w:bottom w:type="dxa" w:w="60"/>
              <w:right w:type="dxa" w:w="100"/>
            </w:tcMar>
          </w:tcPr>
          <w:p>
            <w:r>
              <w:rPr>
                <w:b w:val="false"/>
                <w:bCs w:val="false"/>
                <w:sz w:val="19"/>
                <w:szCs w:val="19"/>
              </w:rPr>
              <w:t xml:space="preserve">Normalised findings register by severity, scope and currency adequacy, Euronext relevance, reliance verdict (DOCX)</w:t>
            </w:r>
          </w:p>
        </w:tc>
        <w:tc>
          <w:tcPr>
            <w:tcW w:type="dxa" w:w="1560"/>
            <w:tcMar>
              <w:top w:type="dxa" w:w="60"/>
              <w:left w:type="dxa" w:w="100"/>
              <w:bottom w:type="dxa" w:w="60"/>
              <w:right w:type="dxa" w:w="100"/>
            </w:tcMar>
          </w:tcPr>
          <w:p>
            <w:r>
              <w:rPr>
                <w:b w:val="false"/>
                <w:bCs w:val="false"/>
                <w:sz w:val="19"/>
                <w:szCs w:val="19"/>
              </w:rPr>
              <w:t xml:space="preserve">pentest-report-summary</w:t>
            </w:r>
          </w:p>
        </w:tc>
      </w:tr>
      <w:tr>
        <w:tc>
          <w:tcPr>
            <w:tcW w:type="dxa" w:w="500"/>
            <w:shd w:fill="E4F3F1" w:val="clear"/>
            <w:tcMar>
              <w:top w:type="dxa" w:w="60"/>
              <w:left w:type="dxa" w:w="100"/>
              <w:bottom w:type="dxa" w:w="60"/>
              <w:right w:type="dxa" w:w="100"/>
            </w:tcMar>
          </w:tcPr>
          <w:p>
            <w:r>
              <w:rPr>
                <w:b w:val="false"/>
                <w:bCs w:val="false"/>
                <w:sz w:val="19"/>
                <w:szCs w:val="19"/>
              </w:rPr>
              <w:t xml:space="preserve">g</w:t>
            </w:r>
          </w:p>
        </w:tc>
        <w:tc>
          <w:tcPr>
            <w:tcW w:type="dxa" w:w="3100"/>
            <w:shd w:fill="E4F3F1" w:val="clear"/>
            <w:tcMar>
              <w:top w:type="dxa" w:w="60"/>
              <w:left w:type="dxa" w:w="100"/>
              <w:bottom w:type="dxa" w:w="60"/>
              <w:right w:type="dxa" w:w="100"/>
            </w:tcMar>
          </w:tcPr>
          <w:p>
            <w:r>
              <w:rPr>
                <w:b w:val="false"/>
                <w:bCs w:val="false"/>
                <w:sz w:val="19"/>
                <w:szCs w:val="19"/>
              </w:rPr>
              <w:t xml:space="preserve">Ask a framework question and get a usable artefact</w:t>
            </w:r>
          </w:p>
        </w:tc>
        <w:tc>
          <w:tcPr>
            <w:tcW w:type="dxa" w:w="4200"/>
            <w:shd w:fill="E4F3F1" w:val="clear"/>
            <w:tcMar>
              <w:top w:type="dxa" w:w="60"/>
              <w:left w:type="dxa" w:w="100"/>
              <w:bottom w:type="dxa" w:w="60"/>
              <w:right w:type="dxa" w:w="100"/>
            </w:tcMar>
          </w:tcPr>
          <w:p>
            <w:r>
              <w:rPr>
                <w:b w:val="false"/>
                <w:bCs w:val="false"/>
                <w:sz w:val="19"/>
                <w:szCs w:val="19"/>
              </w:rPr>
              <w:t xml:space="preserve">Advice plus Word/Excel/PowerPoint/HTML output across ISO 27001/27002/27005/22301/20000/42001, NIST CSF 2.0, CIS v8.1, GDPR Art. 28 and SCCs, DORA, NIS2, EU AI Act, CSA CCM/CAIQ, PCI DSS v4, OWASP/PTES/CVSS</w:t>
            </w:r>
          </w:p>
        </w:tc>
        <w:tc>
          <w:tcPr>
            <w:tcW w:type="dxa" w:w="1560"/>
            <w:shd w:fill="E4F3F1" w:val="clear"/>
            <w:tcMar>
              <w:top w:type="dxa" w:w="60"/>
              <w:left w:type="dxa" w:w="100"/>
              <w:bottom w:type="dxa" w:w="60"/>
              <w:right w:type="dxa" w:w="100"/>
            </w:tcMar>
          </w:tcPr>
          <w:p>
            <w:r>
              <w:rPr>
                <w:b w:val="false"/>
                <w:bCs w:val="false"/>
                <w:sz w:val="19"/>
                <w:szCs w:val="19"/>
              </w:rPr>
              <w:t xml:space="preserve">advisory-file-delivery</w:t>
            </w:r>
          </w:p>
        </w:tc>
      </w:tr>
      <w:tr>
        <w:tc>
          <w:tcPr>
            <w:tcW w:type="dxa" w:w="500"/>
            <w:tcMar>
              <w:top w:type="dxa" w:w="60"/>
              <w:left w:type="dxa" w:w="100"/>
              <w:bottom w:type="dxa" w:w="60"/>
              <w:right w:type="dxa" w:w="100"/>
            </w:tcMar>
          </w:tcPr>
          <w:p>
            <w:r>
              <w:rPr>
                <w:b w:val="false"/>
                <w:bCs w:val="false"/>
                <w:sz w:val="19"/>
                <w:szCs w:val="19"/>
              </w:rPr>
              <w:t xml:space="preserve">h</w:t>
            </w:r>
          </w:p>
        </w:tc>
        <w:tc>
          <w:tcPr>
            <w:tcW w:type="dxa" w:w="3100"/>
            <w:tcMar>
              <w:top w:type="dxa" w:w="60"/>
              <w:left w:type="dxa" w:w="100"/>
              <w:bottom w:type="dxa" w:w="60"/>
              <w:right w:type="dxa" w:w="100"/>
            </w:tcMar>
          </w:tcPr>
          <w:p>
            <w:r>
              <w:rPr>
                <w:b w:val="false"/>
                <w:bCs w:val="false"/>
                <w:sz w:val="19"/>
                <w:szCs w:val="19"/>
              </w:rPr>
              <w:t xml:space="preserve">Ask a TPRM lifecycle question</w:t>
            </w:r>
          </w:p>
        </w:tc>
        <w:tc>
          <w:tcPr>
            <w:tcW w:type="dxa" w:w="4200"/>
            <w:tcMar>
              <w:top w:type="dxa" w:w="60"/>
              <w:left w:type="dxa" w:w="100"/>
              <w:bottom w:type="dxa" w:w="60"/>
              <w:right w:type="dxa" w:w="100"/>
            </w:tcMar>
          </w:tcPr>
          <w:p>
            <w:r>
              <w:rPr>
                <w:b w:val="false"/>
                <w:bCs w:val="false"/>
                <w:sz w:val="19"/>
                <w:szCs w:val="19"/>
              </w:rPr>
              <w:t xml:space="preserve">The same, grounded in the third-party risk methodology and the team's own thresholds</w:t>
            </w:r>
          </w:p>
        </w:tc>
        <w:tc>
          <w:tcPr>
            <w:tcW w:type="dxa" w:w="1560"/>
            <w:tcMar>
              <w:top w:type="dxa" w:w="60"/>
              <w:left w:type="dxa" w:w="100"/>
              <w:bottom w:type="dxa" w:w="60"/>
              <w:right w:type="dxa" w:w="100"/>
            </w:tcMar>
          </w:tcPr>
          <w:p>
            <w:r>
              <w:rPr>
                <w:b w:val="false"/>
                <w:bCs w:val="false"/>
                <w:sz w:val="19"/>
                <w:szCs w:val="19"/>
              </w:rPr>
              <w:t xml:space="preserve">advisory-file-delivery</w:t>
            </w:r>
          </w:p>
        </w:tc>
      </w:tr>
      <w:tr>
        <w:tc>
          <w:tcPr>
            <w:tcW w:type="dxa" w:w="500"/>
            <w:shd w:fill="E4F3F1" w:val="clear"/>
            <w:tcMar>
              <w:top w:type="dxa" w:w="60"/>
              <w:left w:type="dxa" w:w="100"/>
              <w:bottom w:type="dxa" w:w="60"/>
              <w:right w:type="dxa" w:w="100"/>
            </w:tcMar>
          </w:tcPr>
          <w:p>
            <w:r>
              <w:rPr>
                <w:b w:val="false"/>
                <w:bCs w:val="false"/>
                <w:sz w:val="19"/>
                <w:szCs w:val="19"/>
              </w:rPr>
              <w:t xml:space="preserve">i</w:t>
            </w:r>
          </w:p>
        </w:tc>
        <w:tc>
          <w:tcPr>
            <w:tcW w:type="dxa" w:w="3100"/>
            <w:shd w:fill="E4F3F1" w:val="clear"/>
            <w:tcMar>
              <w:top w:type="dxa" w:w="60"/>
              <w:left w:type="dxa" w:w="100"/>
              <w:bottom w:type="dxa" w:w="60"/>
              <w:right w:type="dxa" w:w="100"/>
            </w:tcMar>
          </w:tcPr>
          <w:p>
            <w:r>
              <w:rPr>
                <w:b w:val="false"/>
                <w:bCs w:val="false"/>
                <w:sz w:val="19"/>
                <w:szCs w:val="19"/>
              </w:rPr>
              <w:t xml:space="preserve">Let the assistants see the systems we work in</w:t>
            </w:r>
          </w:p>
        </w:tc>
        <w:tc>
          <w:tcPr>
            <w:tcW w:type="dxa" w:w="4200"/>
            <w:shd w:fill="E4F3F1" w:val="clear"/>
            <w:tcMar>
              <w:top w:type="dxa" w:w="60"/>
              <w:left w:type="dxa" w:w="100"/>
              <w:bottom w:type="dxa" w:w="60"/>
              <w:right w:type="dxa" w:w="100"/>
            </w:tcMar>
          </w:tcPr>
          <w:p>
            <w:r>
              <w:rPr>
                <w:b w:val="false"/>
                <w:bCs w:val="false"/>
                <w:sz w:val="19"/>
                <w:szCs w:val="19"/>
              </w:rPr>
              <w:t xml:space="preserve">Read-only reach into Confluence, Jira, SharePoint, OneTrust, the ENX gateway and the security tooling; full web search with no Euronext data leaving</w:t>
            </w:r>
          </w:p>
        </w:tc>
        <w:tc>
          <w:tcPr>
            <w:tcW w:type="dxa" w:w="1560"/>
            <w:shd w:fill="E4F3F1" w:val="clear"/>
            <w:tcMar>
              <w:top w:type="dxa" w:w="60"/>
              <w:left w:type="dxa" w:w="100"/>
              <w:bottom w:type="dxa" w:w="60"/>
              <w:right w:type="dxa" w:w="100"/>
            </w:tcMar>
          </w:tcPr>
          <w:p>
            <w:r>
              <w:rPr>
                <w:b w:val="false"/>
                <w:bCs w:val="false"/>
                <w:sz w:val="19"/>
                <w:szCs w:val="19"/>
              </w:rPr>
              <w:t xml:space="preserve">— (platform capability)</w:t>
            </w:r>
          </w:p>
        </w:tc>
      </w:tr>
      <w:tr>
        <w:tc>
          <w:tcPr>
            <w:tcW w:type="dxa" w:w="500"/>
            <w:tcMar>
              <w:top w:type="dxa" w:w="60"/>
              <w:left w:type="dxa" w:w="100"/>
              <w:bottom w:type="dxa" w:w="60"/>
              <w:right w:type="dxa" w:w="100"/>
            </w:tcMar>
          </w:tcPr>
          <w:p>
            <w:r>
              <w:rPr>
                <w:b w:val="false"/>
                <w:bCs w:val="false"/>
                <w:sz w:val="19"/>
                <w:szCs w:val="19"/>
              </w:rPr>
              <w:t xml:space="preserve">j</w:t>
            </w:r>
          </w:p>
        </w:tc>
        <w:tc>
          <w:tcPr>
            <w:tcW w:type="dxa" w:w="3100"/>
            <w:tcMar>
              <w:top w:type="dxa" w:w="60"/>
              <w:left w:type="dxa" w:w="100"/>
              <w:bottom w:type="dxa" w:w="60"/>
              <w:right w:type="dxa" w:w="100"/>
            </w:tcMar>
          </w:tcPr>
          <w:p>
            <w:r>
              <w:rPr>
                <w:b w:val="false"/>
                <w:bCs w:val="false"/>
                <w:sz w:val="19"/>
                <w:szCs w:val="19"/>
              </w:rPr>
              <w:t xml:space="preserve">Change a report template safely</w:t>
            </w:r>
          </w:p>
        </w:tc>
        <w:tc>
          <w:tcPr>
            <w:tcW w:type="dxa" w:w="4200"/>
            <w:tcMar>
              <w:top w:type="dxa" w:w="60"/>
              <w:left w:type="dxa" w:w="100"/>
              <w:bottom w:type="dxa" w:w="60"/>
              <w:right w:type="dxa" w:w="100"/>
            </w:tcMar>
          </w:tcPr>
          <w:p>
            <w:r>
              <w:rPr>
                <w:b w:val="false"/>
                <w:bCs w:val="false"/>
                <w:sz w:val="19"/>
                <w:szCs w:val="19"/>
              </w:rPr>
              <w:t xml:space="preserve">Inventory → choose → edit → visual before/after review → approval-gated propagation, atomic with rollback</w:t>
            </w:r>
          </w:p>
        </w:tc>
        <w:tc>
          <w:tcPr>
            <w:tcW w:type="dxa" w:w="1560"/>
            <w:tcMar>
              <w:top w:type="dxa" w:w="60"/>
              <w:left w:type="dxa" w:w="100"/>
              <w:bottom w:type="dxa" w:w="60"/>
              <w:right w:type="dxa" w:w="100"/>
            </w:tcMar>
          </w:tcPr>
          <w:p>
            <w:r>
              <w:rPr>
                <w:b w:val="false"/>
                <w:bCs w:val="false"/>
                <w:sz w:val="19"/>
                <w:szCs w:val="19"/>
              </w:rPr>
              <w:t xml:space="preserve">template-update-approval</w:t>
            </w:r>
          </w:p>
        </w:tc>
      </w:tr>
    </w:tbl>
    <w:p>
      <w:pPr>
        <w:spacing w:after="200"/>
      </w:pPr>
    </w:p>
    <w:p>
      <w:pPr>
        <w:spacing w:after="140"/>
        <w:jc w:val="both"/>
      </w:pPr>
      <w:r>
        <w:t xml:space="preserve">Two rules run through all ten. First, the supplier/service storage rule the team asked for: a report is filed under Reports/&lt;Supplier&gt;/&lt;Service&gt;/ — an existing supplier folder is reused, a missing service folder is created, never a duplicate. Second, nothing reaches SharePoint, Teams or a ticket without passing the verifier and then a named human approver.</w:t>
      </w:r>
    </w:p>
    <w:p>
      <w:pPr>
        <w:pStyle w:val="Heading1"/>
        <w:spacing w:after="160" w:before="360"/>
      </w:pPr>
      <w:r>
        <w:t xml:space="preserve">5. What Changes for the Team</w:t>
      </w:r>
    </w:p>
    <w:p>
      <w:pPr>
        <w:pStyle w:val="Heading2"/>
        <w:spacing w:after="120" w:before="260"/>
      </w:pPr>
      <w:r>
        <w:t xml:space="preserve">5.1 The five users and the one owner</w:t>
      </w:r>
    </w:p>
    <w:p>
      <w:pPr>
        <w:spacing w:after="140"/>
        <w:jc w:val="both"/>
      </w:pPr>
      <w:r>
        <w:t xml:space="preserve">Five people use the platform with the same professional persona — the identity, tone, evidence standard and English-only policy are part of every agent's instructions rather than a habit each user has to enforce. One of them is accountable for the platform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shd w:fill="008D7F" w:val="clear"/>
            <w:tcMar>
              <w:top w:type="dxa" w:w="60"/>
              <w:left w:type="dxa" w:w="100"/>
              <w:bottom w:type="dxa" w:w="60"/>
              <w:right w:type="dxa" w:w="100"/>
            </w:tcMar>
          </w:tcPr>
          <w:p>
            <w:r>
              <w:rPr>
                <w:b/>
                <w:bCs/>
                <w:color w:val="FFFFFF"/>
                <w:sz w:val="19"/>
                <w:szCs w:val="19"/>
              </w:rPr>
              <w:t xml:space="preserve">Person</w:t>
            </w:r>
          </w:p>
        </w:tc>
        <w:tc>
          <w:tcPr>
            <w:tcW w:type="dxa" w:w="3200"/>
            <w:shd w:fill="008D7F" w:val="clear"/>
            <w:tcMar>
              <w:top w:type="dxa" w:w="60"/>
              <w:left w:type="dxa" w:w="100"/>
              <w:bottom w:type="dxa" w:w="60"/>
              <w:right w:type="dxa" w:w="100"/>
            </w:tcMar>
          </w:tcPr>
          <w:p>
            <w:r>
              <w:rPr>
                <w:b/>
                <w:bCs/>
                <w:color w:val="FFFFFF"/>
                <w:sz w:val="19"/>
                <w:szCs w:val="19"/>
              </w:rPr>
              <w:t xml:space="preserve">Role on the platform</w:t>
            </w:r>
          </w:p>
        </w:tc>
        <w:tc>
          <w:tcPr>
            <w:tcW w:type="dxa" w:w="3760"/>
            <w:shd w:fill="008D7F" w:val="clear"/>
            <w:tcMar>
              <w:top w:type="dxa" w:w="60"/>
              <w:left w:type="dxa" w:w="100"/>
              <w:bottom w:type="dxa" w:w="60"/>
              <w:right w:type="dxa" w:w="100"/>
            </w:tcMar>
          </w:tcPr>
          <w:p>
            <w:r>
              <w:rPr>
                <w:b/>
                <w:bCs/>
                <w:color w:val="FFFFFF"/>
                <w:sz w:val="19"/>
                <w:szCs w:val="19"/>
              </w:rPr>
              <w:t xml:space="preserve">What they can do</w:t>
            </w:r>
          </w:p>
        </w:tc>
      </w:tr>
      <w:tr>
        <w:tc>
          <w:tcPr>
            <w:tcW w:type="dxa" w:w="2400"/>
            <w:tcMar>
              <w:top w:type="dxa" w:w="60"/>
              <w:left w:type="dxa" w:w="100"/>
              <w:bottom w:type="dxa" w:w="60"/>
              <w:right w:type="dxa" w:w="100"/>
            </w:tcMar>
          </w:tcPr>
          <w:p>
            <w:r>
              <w:rPr>
                <w:b w:val="false"/>
                <w:bCs w:val="false"/>
                <w:sz w:val="19"/>
                <w:szCs w:val="19"/>
              </w:rPr>
              <w:t xml:space="preserve">Francisco Gustavo Gomes</w:t>
            </w:r>
          </w:p>
        </w:tc>
        <w:tc>
          <w:tcPr>
            <w:tcW w:type="dxa" w:w="3200"/>
            <w:tcMar>
              <w:top w:type="dxa" w:w="60"/>
              <w:left w:type="dxa" w:w="100"/>
              <w:bottom w:type="dxa" w:w="60"/>
              <w:right w:type="dxa" w:w="100"/>
            </w:tcMar>
          </w:tcPr>
          <w:p>
            <w:r>
              <w:rPr>
                <w:b w:val="false"/>
                <w:bCs w:val="false"/>
                <w:sz w:val="19"/>
                <w:szCs w:val="19"/>
              </w:rPr>
              <w:t xml:space="preserve">Accountable owner — creation, planning, maintenance, optimisation and updates</w:t>
            </w:r>
          </w:p>
        </w:tc>
        <w:tc>
          <w:tcPr>
            <w:tcW w:type="dxa" w:w="3760"/>
            <w:tcMar>
              <w:top w:type="dxa" w:w="60"/>
              <w:left w:type="dxa" w:w="100"/>
              <w:bottom w:type="dxa" w:w="60"/>
              <w:right w:type="dxa" w:w="100"/>
            </w:tcMar>
          </w:tcPr>
          <w:p>
            <w:r>
              <w:rPr>
                <w:b w:val="false"/>
                <w:bCs w:val="false"/>
                <w:sz w:val="19"/>
                <w:szCs w:val="19"/>
              </w:rPr>
              <w:t xml:space="preserve">Everything a user can do, plus platform and template changes (Tier C), approvals routing, PIM-elevated administration</w:t>
            </w:r>
          </w:p>
        </w:tc>
      </w:tr>
      <w:tr>
        <w:tc>
          <w:tcPr>
            <w:tcW w:type="dxa" w:w="2400"/>
            <w:shd w:fill="E4F3F1" w:val="clear"/>
            <w:tcMar>
              <w:top w:type="dxa" w:w="60"/>
              <w:left w:type="dxa" w:w="100"/>
              <w:bottom w:type="dxa" w:w="60"/>
              <w:right w:type="dxa" w:w="100"/>
            </w:tcMar>
          </w:tcPr>
          <w:p>
            <w:r>
              <w:rPr>
                <w:b w:val="false"/>
                <w:bCs w:val="false"/>
                <w:sz w:val="19"/>
                <w:szCs w:val="19"/>
              </w:rPr>
              <w:t xml:space="preserve">José Mogollon</w:t>
            </w:r>
          </w:p>
        </w:tc>
        <w:tc>
          <w:tcPr>
            <w:tcW w:type="dxa" w:w="3200"/>
            <w:shd w:fill="E4F3F1" w:val="clear"/>
            <w:tcMar>
              <w:top w:type="dxa" w:w="60"/>
              <w:left w:type="dxa" w:w="100"/>
              <w:bottom w:type="dxa" w:w="60"/>
              <w:right w:type="dxa" w:w="100"/>
            </w:tcMar>
          </w:tcPr>
          <w:p>
            <w:r>
              <w:rPr>
                <w:b w:val="false"/>
                <w:bCs w:val="false"/>
                <w:sz w:val="19"/>
                <w:szCs w:val="19"/>
              </w:rPr>
              <w:t xml:space="preserve">Assurance user</w:t>
            </w:r>
          </w:p>
        </w:tc>
        <w:tc>
          <w:tcPr>
            <w:tcW w:type="dxa" w:w="3760"/>
            <w:shd w:fill="E4F3F1" w:val="clear"/>
            <w:tcMar>
              <w:top w:type="dxa" w:w="60"/>
              <w:left w:type="dxa" w:w="100"/>
              <w:bottom w:type="dxa" w:w="60"/>
              <w:right w:type="dxa" w:w="100"/>
            </w:tcMar>
          </w:tcPr>
          <w:p>
            <w:r>
              <w:rPr>
                <w:b w:val="false"/>
                <w:bCs w:val="false"/>
                <w:sz w:val="19"/>
                <w:szCs w:val="19"/>
              </w:rPr>
              <w:t xml:space="preserve">Run any of the ten systems; approve report deliverables per the approval matrix</w:t>
            </w:r>
          </w:p>
        </w:tc>
      </w:tr>
      <w:tr>
        <w:tc>
          <w:tcPr>
            <w:tcW w:type="dxa" w:w="2400"/>
            <w:tcMar>
              <w:top w:type="dxa" w:w="60"/>
              <w:left w:type="dxa" w:w="100"/>
              <w:bottom w:type="dxa" w:w="60"/>
              <w:right w:type="dxa" w:w="100"/>
            </w:tcMar>
          </w:tcPr>
          <w:p>
            <w:r>
              <w:rPr>
                <w:b w:val="false"/>
                <w:bCs w:val="false"/>
                <w:sz w:val="19"/>
                <w:szCs w:val="19"/>
              </w:rPr>
              <w:t xml:space="preserve">Pedro Santos</w:t>
            </w:r>
          </w:p>
        </w:tc>
        <w:tc>
          <w:tcPr>
            <w:tcW w:type="dxa" w:w="3200"/>
            <w:tcMar>
              <w:top w:type="dxa" w:w="60"/>
              <w:left w:type="dxa" w:w="100"/>
              <w:bottom w:type="dxa" w:w="60"/>
              <w:right w:type="dxa" w:w="100"/>
            </w:tcMar>
          </w:tcPr>
          <w:p>
            <w:r>
              <w:rPr>
                <w:b w:val="false"/>
                <w:bCs w:val="false"/>
                <w:sz w:val="19"/>
                <w:szCs w:val="19"/>
              </w:rPr>
              <w:t xml:space="preserve">Assurance user</w:t>
            </w:r>
          </w:p>
        </w:tc>
        <w:tc>
          <w:tcPr>
            <w:tcW w:type="dxa" w:w="3760"/>
            <w:tcMar>
              <w:top w:type="dxa" w:w="60"/>
              <w:left w:type="dxa" w:w="100"/>
              <w:bottom w:type="dxa" w:w="60"/>
              <w:right w:type="dxa" w:w="100"/>
            </w:tcMar>
          </w:tcPr>
          <w:p>
            <w:r>
              <w:rPr>
                <w:b w:val="false"/>
                <w:bCs w:val="false"/>
                <w:sz w:val="19"/>
                <w:szCs w:val="19"/>
              </w:rPr>
              <w:t xml:space="preserve">Same</w:t>
            </w:r>
          </w:p>
        </w:tc>
      </w:tr>
      <w:tr>
        <w:tc>
          <w:tcPr>
            <w:tcW w:type="dxa" w:w="2400"/>
            <w:shd w:fill="E4F3F1" w:val="clear"/>
            <w:tcMar>
              <w:top w:type="dxa" w:w="60"/>
              <w:left w:type="dxa" w:w="100"/>
              <w:bottom w:type="dxa" w:w="60"/>
              <w:right w:type="dxa" w:w="100"/>
            </w:tcMar>
          </w:tcPr>
          <w:p>
            <w:r>
              <w:rPr>
                <w:b w:val="false"/>
                <w:bCs w:val="false"/>
                <w:sz w:val="19"/>
                <w:szCs w:val="19"/>
              </w:rPr>
              <w:t xml:space="preserve">José Meireles</w:t>
            </w:r>
          </w:p>
        </w:tc>
        <w:tc>
          <w:tcPr>
            <w:tcW w:type="dxa" w:w="3200"/>
            <w:shd w:fill="E4F3F1" w:val="clear"/>
            <w:tcMar>
              <w:top w:type="dxa" w:w="60"/>
              <w:left w:type="dxa" w:w="100"/>
              <w:bottom w:type="dxa" w:w="60"/>
              <w:right w:type="dxa" w:w="100"/>
            </w:tcMar>
          </w:tcPr>
          <w:p>
            <w:r>
              <w:rPr>
                <w:b w:val="false"/>
                <w:bCs w:val="false"/>
                <w:sz w:val="19"/>
                <w:szCs w:val="19"/>
              </w:rPr>
              <w:t xml:space="preserve">Assurance user</w:t>
            </w:r>
          </w:p>
        </w:tc>
        <w:tc>
          <w:tcPr>
            <w:tcW w:type="dxa" w:w="3760"/>
            <w:shd w:fill="E4F3F1" w:val="clear"/>
            <w:tcMar>
              <w:top w:type="dxa" w:w="60"/>
              <w:left w:type="dxa" w:w="100"/>
              <w:bottom w:type="dxa" w:w="60"/>
              <w:right w:type="dxa" w:w="100"/>
            </w:tcMar>
          </w:tcPr>
          <w:p>
            <w:r>
              <w:rPr>
                <w:b w:val="false"/>
                <w:bCs w:val="false"/>
                <w:sz w:val="19"/>
                <w:szCs w:val="19"/>
              </w:rPr>
              <w:t xml:space="preserve">Same</w:t>
            </w:r>
          </w:p>
        </w:tc>
      </w:tr>
      <w:tr>
        <w:tc>
          <w:tcPr>
            <w:tcW w:type="dxa" w:w="2400"/>
            <w:tcMar>
              <w:top w:type="dxa" w:w="60"/>
              <w:left w:type="dxa" w:w="100"/>
              <w:bottom w:type="dxa" w:w="60"/>
              <w:right w:type="dxa" w:w="100"/>
            </w:tcMar>
          </w:tcPr>
          <w:p>
            <w:r>
              <w:rPr>
                <w:b w:val="false"/>
                <w:bCs w:val="false"/>
                <w:sz w:val="19"/>
                <w:szCs w:val="19"/>
              </w:rPr>
              <w:t xml:space="preserve">Tânia Morais</w:t>
            </w:r>
          </w:p>
        </w:tc>
        <w:tc>
          <w:tcPr>
            <w:tcW w:type="dxa" w:w="3200"/>
            <w:tcMar>
              <w:top w:type="dxa" w:w="60"/>
              <w:left w:type="dxa" w:w="100"/>
              <w:bottom w:type="dxa" w:w="60"/>
              <w:right w:type="dxa" w:w="100"/>
            </w:tcMar>
          </w:tcPr>
          <w:p>
            <w:r>
              <w:rPr>
                <w:b w:val="false"/>
                <w:bCs w:val="false"/>
                <w:sz w:val="19"/>
                <w:szCs w:val="19"/>
              </w:rPr>
              <w:t xml:space="preserve">Assurance user</w:t>
            </w:r>
          </w:p>
        </w:tc>
        <w:tc>
          <w:tcPr>
            <w:tcW w:type="dxa" w:w="3760"/>
            <w:tcMar>
              <w:top w:type="dxa" w:w="60"/>
              <w:left w:type="dxa" w:w="100"/>
              <w:bottom w:type="dxa" w:w="60"/>
              <w:right w:type="dxa" w:w="100"/>
            </w:tcMar>
          </w:tcPr>
          <w:p>
            <w:r>
              <w:rPr>
                <w:b w:val="false"/>
                <w:bCs w:val="false"/>
                <w:sz w:val="19"/>
                <w:szCs w:val="19"/>
              </w:rPr>
              <w:t xml:space="preserve">Same</w:t>
            </w:r>
          </w:p>
        </w:tc>
      </w:tr>
    </w:tbl>
    <w:p>
      <w:pPr>
        <w:spacing w:after="140"/>
        <w:jc w:val="both"/>
      </w:pPr>
      <w:r>
        <w:t xml:space="preserve">Identities in the repository are placeholders; the real UPNs and group object ids are supplied at deployment from the tenant (convertion/team/TEAM_MODEL.md, ACCESS_REGISTER.md).</w:t>
      </w:r>
    </w:p>
    <w:p>
      <w:pPr>
        <w:pStyle w:val="Heading2"/>
        <w:spacing w:after="120" w:before="260"/>
      </w:pPr>
      <w:r>
        <w:t xml:space="preserve">5.2 The approval habit</w:t>
      </w:r>
    </w:p>
    <w:p>
      <w:pPr>
        <w:spacing w:after="140"/>
        <w:jc w:val="both"/>
      </w:pPr>
      <w:r>
        <w:t xml:space="preserve">The single behavioural change is that a deliverable is drafted, then verified, then approved — in that order, and the approval is a click by a person who is accountable for it. The platform makes the first two steps free and the third unavoidable: an unapproved draft cannot be stored, posted or sent, because the identity that writes to SharePoint is only reachable after the approval callback.</w:t>
      </w:r>
    </w:p>
    <w:p>
      <w:pPr>
        <w:spacing w:after="60" w:before="200"/>
        <w:jc w:val="center"/>
      </w:pPr>
      <w:r>
        <w:drawing>
          <wp:inline distT="0" distB="0" distL="0" distR="0">
            <wp:extent cx="5905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90875"/>
                    </a:xfrm>
                    <a:prstGeom prst="rect">
                      <a:avLst/>
                    </a:prstGeom>
                  </pic:spPr>
                </pic:pic>
              </a:graphicData>
            </a:graphic>
          </wp:inline>
        </w:drawing>
      </w:r>
    </w:p>
    <w:p>
      <w:pPr>
        <w:spacing w:after="240"/>
        <w:jc w:val="center"/>
      </w:pPr>
      <w:r>
        <w:rPr>
          <w:i/>
          <w:iCs/>
          <w:color w:val="5B6B69"/>
          <w:sz w:val="18"/>
          <w:szCs w:val="18"/>
        </w:rPr>
        <w:t xml:space="preserve">Figure 1 — The release path every deliverable of record follows, from request to stored report</w:t>
      </w:r>
    </w:p>
    <w:p>
      <w:pPr>
        <w:pStyle w:val="Heading2"/>
        <w:spacing w:after="120" w:before="260"/>
      </w:pPr>
      <w:r>
        <w:t xml:space="preserve">5.3 What the team stops doing</w:t>
      </w:r>
    </w:p>
    <w:p>
      <w:pPr>
        <w:pStyle w:val="ListParagraph"/>
        <w:numPr>
          <w:ilvl w:val="0"/>
          <w:numId w:val="2"/>
        </w:numPr>
        <w:spacing w:after="80"/>
      </w:pPr>
      <w:r>
        <w:t xml:space="preserve">Re-reading evidence that has not changed: the platform reads only what moved since the last assessment and tells the approver which rows were carried forward.</w:t>
      </w:r>
    </w:p>
    <w:p>
      <w:pPr>
        <w:pStyle w:val="ListParagraph"/>
        <w:numPr>
          <w:ilvl w:val="0"/>
          <w:numId w:val="2"/>
        </w:numPr>
        <w:spacing w:after="80"/>
      </w:pPr>
      <w:r>
        <w:t xml:space="preserve">Re-typing report structure: templates, thresholds and generators are held centrally and changed under review.</w:t>
      </w:r>
    </w:p>
    <w:p>
      <w:pPr>
        <w:pStyle w:val="ListParagraph"/>
        <w:numPr>
          <w:ilvl w:val="0"/>
          <w:numId w:val="2"/>
        </w:numPr>
        <w:spacing w:after="80"/>
      </w:pPr>
      <w:r>
        <w:t xml:space="preserve">Hunting for last quarter's numbers: the portfolio and score history lists are written by the platform after each approval.</w:t>
      </w:r>
    </w:p>
    <w:p>
      <w:pPr>
        <w:pStyle w:val="Heading1"/>
        <w:spacing w:after="160" w:before="360"/>
      </w:pPr>
      <w:r>
        <w:t xml:space="preserve">6. Governance, Compliance and Data Protection</w:t>
      </w:r>
    </w:p>
    <w:p>
      <w:pPr>
        <w:pStyle w:val="Heading2"/>
        <w:spacing w:after="120" w:before="260"/>
      </w:pPr>
      <w:r>
        <w:t xml:space="preserve">6.1 Three layers of control, not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600"/>
        <w:gridCol w:w="3160"/>
      </w:tblGrid>
      <w:tr>
        <w:trPr>
          <w:tblHeader/>
        </w:trPr>
        <w:tc>
          <w:tcPr>
            <w:tcW w:type="dxa" w:w="1600"/>
            <w:shd w:fill="008D7F" w:val="clear"/>
            <w:tcMar>
              <w:top w:type="dxa" w:w="60"/>
              <w:left w:type="dxa" w:w="100"/>
              <w:bottom w:type="dxa" w:w="60"/>
              <w:right w:type="dxa" w:w="100"/>
            </w:tcMar>
          </w:tcPr>
          <w:p>
            <w:r>
              <w:rPr>
                <w:b/>
                <w:bCs/>
                <w:color w:val="FFFFFF"/>
                <w:sz w:val="19"/>
                <w:szCs w:val="19"/>
              </w:rPr>
              <w:t xml:space="preserve">Layer</w:t>
            </w:r>
          </w:p>
        </w:tc>
        <w:tc>
          <w:tcPr>
            <w:tcW w:type="dxa" w:w="4600"/>
            <w:shd w:fill="008D7F" w:val="clear"/>
            <w:tcMar>
              <w:top w:type="dxa" w:w="60"/>
              <w:left w:type="dxa" w:w="100"/>
              <w:bottom w:type="dxa" w:w="60"/>
              <w:right w:type="dxa" w:w="100"/>
            </w:tcMar>
          </w:tcPr>
          <w:p>
            <w:r>
              <w:rPr>
                <w:b/>
                <w:bCs/>
                <w:color w:val="FFFFFF"/>
                <w:sz w:val="19"/>
                <w:szCs w:val="19"/>
              </w:rPr>
              <w:t xml:space="preserve">Control</w:t>
            </w:r>
          </w:p>
        </w:tc>
        <w:tc>
          <w:tcPr>
            <w:tcW w:type="dxa" w:w="3160"/>
            <w:shd w:fill="008D7F" w:val="clear"/>
            <w:tcMar>
              <w:top w:type="dxa" w:w="60"/>
              <w:left w:type="dxa" w:w="100"/>
              <w:bottom w:type="dxa" w:w="60"/>
              <w:right w:type="dxa" w:w="100"/>
            </w:tcMar>
          </w:tcPr>
          <w:p>
            <w:r>
              <w:rPr>
                <w:b/>
                <w:bCs/>
                <w:color w:val="FFFFFF"/>
                <w:sz w:val="19"/>
                <w:szCs w:val="19"/>
              </w:rPr>
              <w:t xml:space="preserve">Where it lives</w:t>
            </w:r>
          </w:p>
        </w:tc>
      </w:tr>
      <w:tr>
        <w:tc>
          <w:tcPr>
            <w:tcW w:type="dxa" w:w="1600"/>
            <w:tcMar>
              <w:top w:type="dxa" w:w="60"/>
              <w:left w:type="dxa" w:w="100"/>
              <w:bottom w:type="dxa" w:w="60"/>
              <w:right w:type="dxa" w:w="100"/>
            </w:tcMar>
          </w:tcPr>
          <w:p>
            <w:r>
              <w:rPr>
                <w:b w:val="false"/>
                <w:bCs w:val="false"/>
                <w:sz w:val="19"/>
                <w:szCs w:val="19"/>
              </w:rPr>
              <w:t xml:space="preserve">1 — Structural</w:t>
            </w:r>
          </w:p>
        </w:tc>
        <w:tc>
          <w:tcPr>
            <w:tcW w:type="dxa" w:w="4600"/>
            <w:tcMar>
              <w:top w:type="dxa" w:w="60"/>
              <w:left w:type="dxa" w:w="100"/>
              <w:bottom w:type="dxa" w:w="60"/>
              <w:right w:type="dxa" w:w="100"/>
            </w:tcMar>
          </w:tcPr>
          <w:p>
            <w:r>
              <w:rPr>
                <w:b w:val="false"/>
                <w:bCs w:val="false"/>
                <w:sz w:val="19"/>
                <w:szCs w:val="19"/>
              </w:rPr>
              <w:t xml:space="preserve">Agents are read-only by construction: every non-GET operation is stripped from every enterprise tool at deployment; no write grant exists to be misused</w:t>
            </w:r>
          </w:p>
        </w:tc>
        <w:tc>
          <w:tcPr>
            <w:tcW w:type="dxa" w:w="3160"/>
            <w:tcMar>
              <w:top w:type="dxa" w:w="60"/>
              <w:left w:type="dxa" w:w="100"/>
              <w:bottom w:type="dxa" w:w="60"/>
              <w:right w:type="dxa" w:w="100"/>
            </w:tcMar>
          </w:tcPr>
          <w:p>
            <w:r>
              <w:rPr>
                <w:b w:val="false"/>
                <w:bCs w:val="false"/>
                <w:sz w:val="19"/>
                <w:szCs w:val="19"/>
              </w:rPr>
              <w:t xml:space="preserve">convertion/scripts/attach_integrations.py</w:t>
            </w:r>
          </w:p>
        </w:tc>
      </w:tr>
      <w:tr>
        <w:tc>
          <w:tcPr>
            <w:tcW w:type="dxa" w:w="1600"/>
            <w:shd w:fill="E4F3F1" w:val="clear"/>
            <w:tcMar>
              <w:top w:type="dxa" w:w="60"/>
              <w:left w:type="dxa" w:w="100"/>
              <w:bottom w:type="dxa" w:w="60"/>
              <w:right w:type="dxa" w:w="100"/>
            </w:tcMar>
          </w:tcPr>
          <w:p>
            <w:r>
              <w:rPr>
                <w:b w:val="false"/>
                <w:bCs w:val="false"/>
                <w:sz w:val="19"/>
                <w:szCs w:val="19"/>
              </w:rPr>
              <w:t xml:space="preserve">2 — Instructional</w:t>
            </w:r>
          </w:p>
        </w:tc>
        <w:tc>
          <w:tcPr>
            <w:tcW w:type="dxa" w:w="4600"/>
            <w:shd w:fill="E4F3F1" w:val="clear"/>
            <w:tcMar>
              <w:top w:type="dxa" w:w="60"/>
              <w:left w:type="dxa" w:w="100"/>
              <w:bottom w:type="dxa" w:w="60"/>
              <w:right w:type="dxa" w:w="100"/>
            </w:tcMar>
          </w:tcPr>
          <w:p>
            <w:r>
              <w:rPr>
                <w:b w:val="false"/>
                <w:bCs w:val="false"/>
                <w:sz w:val="19"/>
                <w:szCs w:val="19"/>
              </w:rPr>
              <w:t xml:space="preserve">Every agent carries an injection-resistant draft-then-approve gate in its instructions, and states what it may not do</w:t>
            </w:r>
          </w:p>
        </w:tc>
        <w:tc>
          <w:tcPr>
            <w:tcW w:type="dxa" w:w="3160"/>
            <w:shd w:fill="E4F3F1" w:val="clear"/>
            <w:tcMar>
              <w:top w:type="dxa" w:w="60"/>
              <w:left w:type="dxa" w:w="100"/>
              <w:bottom w:type="dxa" w:w="60"/>
              <w:right w:type="dxa" w:w="100"/>
            </w:tcMar>
          </w:tcPr>
          <w:p>
            <w:r>
              <w:rPr>
                <w:b w:val="false"/>
                <w:bCs w:val="false"/>
                <w:sz w:val="19"/>
                <w:szCs w:val="19"/>
              </w:rPr>
              <w:t xml:space="preserve">the APPROVAL GATE block in every charter</w:t>
            </w:r>
          </w:p>
        </w:tc>
      </w:tr>
      <w:tr>
        <w:tc>
          <w:tcPr>
            <w:tcW w:type="dxa" w:w="1600"/>
            <w:tcMar>
              <w:top w:type="dxa" w:w="60"/>
              <w:left w:type="dxa" w:w="100"/>
              <w:bottom w:type="dxa" w:w="60"/>
              <w:right w:type="dxa" w:w="100"/>
            </w:tcMar>
          </w:tcPr>
          <w:p>
            <w:r>
              <w:rPr>
                <w:b w:val="false"/>
                <w:bCs w:val="false"/>
                <w:sz w:val="19"/>
                <w:szCs w:val="19"/>
              </w:rPr>
              <w:t xml:space="preserve">3 — Procedural</w:t>
            </w:r>
          </w:p>
        </w:tc>
        <w:tc>
          <w:tcPr>
            <w:tcW w:type="dxa" w:w="4600"/>
            <w:tcMar>
              <w:top w:type="dxa" w:w="60"/>
              <w:left w:type="dxa" w:w="100"/>
              <w:bottom w:type="dxa" w:w="60"/>
              <w:right w:type="dxa" w:w="100"/>
            </w:tcMar>
          </w:tcPr>
          <w:p>
            <w:r>
              <w:rPr>
                <w:b w:val="false"/>
                <w:bCs w:val="false"/>
                <w:sz w:val="19"/>
                <w:szCs w:val="19"/>
              </w:rPr>
              <w:t xml:space="preserve">The pipeline suspends on a human-approval webhook before any write; rejections are recorded without writing</w:t>
            </w:r>
          </w:p>
        </w:tc>
        <w:tc>
          <w:tcPr>
            <w:tcW w:type="dxa" w:w="3160"/>
            <w:tcMar>
              <w:top w:type="dxa" w:w="60"/>
              <w:left w:type="dxa" w:w="100"/>
              <w:bottom w:type="dxa" w:w="60"/>
              <w:right w:type="dxa" w:w="100"/>
            </w:tcMar>
          </w:tcPr>
          <w:p>
            <w:r>
              <w:rPr>
                <w:b w:val="false"/>
                <w:bCs w:val="false"/>
                <w:sz w:val="19"/>
                <w:szCs w:val="19"/>
              </w:rPr>
              <w:t xml:space="preserve">convertion/workflows/report-delivery-pipeline.json</w:t>
            </w:r>
          </w:p>
        </w:tc>
      </w:tr>
    </w:tbl>
    <w:p>
      <w:pPr>
        <w:spacing w:after="140"/>
        <w:jc w:val="both"/>
      </w:pPr>
      <w:r>
        <w:t xml:space="preserve">An independent output-verifier agent sits between the draft and the human: it checks completeness, threshold consistency, grounding, absence of placeholders and data minimisation, and returns PASS or FAIL. It generates nothing, so it cannot rescue a bad draft by rewriting it — a FAIL goes back to a person.</w:t>
      </w:r>
    </w:p>
    <w:p>
      <w:pPr>
        <w:pStyle w:val="Heading2"/>
        <w:spacing w:after="120" w:before="260"/>
      </w:pPr>
      <w:r>
        <w:t xml:space="preserve">6.2 Data protection and residency</w:t>
      </w:r>
    </w:p>
    <w:p>
      <w:pPr>
        <w:pStyle w:val="ListParagraph"/>
        <w:numPr>
          <w:ilvl w:val="0"/>
          <w:numId w:val="2"/>
        </w:numPr>
        <w:spacing w:after="80"/>
      </w:pPr>
      <w:r>
        <w:rPr>
          <w:b/>
          <w:bCs/>
        </w:rPr>
        <w:t xml:space="preserve">Residency: </w:t>
      </w:r>
      <w:r>
        <w:t xml:space="preserve">every model deployment uses the EU Data Zone SKU; Global routing is refused by Azure Policy, not merely by convention. Conversations, vector stores and deliverables are held in tenant-owned EU resources.</w:t>
      </w:r>
    </w:p>
    <w:p>
      <w:pPr>
        <w:pStyle w:val="ListParagraph"/>
        <w:numPr>
          <w:ilvl w:val="0"/>
          <w:numId w:val="2"/>
        </w:numPr>
        <w:spacing w:after="80"/>
      </w:pPr>
      <w:r>
        <w:rPr>
          <w:b/>
          <w:bCs/>
        </w:rPr>
        <w:t xml:space="preserve">Web access: </w:t>
      </w:r>
      <w:r>
        <w:t xml:space="preserve">the assistants may search the public web, but only on public terms: supplier names, CVEs, standards. Euronext identifiers, assessment ids and internal markers are never sent outbound, a detective KQL alert watches for it, and the fact that Bing/Web Search sits outside the Azure compliance boundary (the DPA does not apply) is written into the RoPA rather than assumed away.</w:t>
      </w:r>
    </w:p>
    <w:p>
      <w:pPr>
        <w:pStyle w:val="ListParagraph"/>
        <w:numPr>
          <w:ilvl w:val="0"/>
          <w:numId w:val="2"/>
        </w:numPr>
        <w:spacing w:after="80"/>
      </w:pPr>
      <w:r>
        <w:rPr>
          <w:b/>
          <w:bCs/>
        </w:rPr>
        <w:t xml:space="preserve">Sensitivity labelling: </w:t>
      </w:r>
      <w:r>
        <w:t xml:space="preserve">every delivered report is labelled through Microsoft Purview at the moment it is stored, so downstream DLP and Copilot honour the classification.</w:t>
      </w:r>
    </w:p>
    <w:p>
      <w:pPr>
        <w:pStyle w:val="ListParagraph"/>
        <w:numPr>
          <w:ilvl w:val="0"/>
          <w:numId w:val="2"/>
        </w:numPr>
        <w:spacing w:after="80"/>
      </w:pPr>
      <w:r>
        <w:rPr>
          <w:b/>
          <w:bCs/>
        </w:rPr>
        <w:t xml:space="preserve">Memory: </w:t>
      </w:r>
      <w:r>
        <w:t xml:space="preserve">durable team memory holds identifiers and generic notes only — never report content or personal data — with a 24-month retention cap and per-note deletion.</w:t>
      </w:r>
    </w:p>
    <w:p>
      <w:pPr>
        <w:pStyle w:val="Heading2"/>
        <w:spacing w:after="120" w:before="260"/>
      </w:pPr>
      <w:r>
        <w:t xml:space="preserve">6.3 Standards and regulation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008D7F" w:val="clear"/>
            <w:tcMar>
              <w:top w:type="dxa" w:w="60"/>
              <w:left w:type="dxa" w:w="100"/>
              <w:bottom w:type="dxa" w:w="60"/>
              <w:right w:type="dxa" w:w="100"/>
            </w:tcMar>
          </w:tcPr>
          <w:p>
            <w:r>
              <w:rPr>
                <w:b/>
                <w:bCs/>
                <w:color w:val="FFFFFF"/>
                <w:sz w:val="19"/>
                <w:szCs w:val="19"/>
              </w:rPr>
              <w:t xml:space="preserve">Framework</w:t>
            </w:r>
          </w:p>
        </w:tc>
        <w:tc>
          <w:tcPr>
            <w:tcW w:type="dxa" w:w="7160"/>
            <w:shd w:fill="008D7F" w:val="clear"/>
            <w:tcMar>
              <w:top w:type="dxa" w:w="60"/>
              <w:left w:type="dxa" w:w="100"/>
              <w:bottom w:type="dxa" w:w="60"/>
              <w:right w:type="dxa" w:w="100"/>
            </w:tcMar>
          </w:tcPr>
          <w:p>
            <w:r>
              <w:rPr>
                <w:b/>
                <w:bCs/>
                <w:color w:val="FFFFFF"/>
                <w:sz w:val="19"/>
                <w:szCs w:val="19"/>
              </w:rPr>
              <w:t xml:space="preserve">How this platform answers it</w:t>
            </w:r>
          </w:p>
        </w:tc>
      </w:tr>
      <w:tr>
        <w:tc>
          <w:tcPr>
            <w:tcW w:type="dxa" w:w="2200"/>
            <w:tcMar>
              <w:top w:type="dxa" w:w="60"/>
              <w:left w:type="dxa" w:w="100"/>
              <w:bottom w:type="dxa" w:w="60"/>
              <w:right w:type="dxa" w:w="100"/>
            </w:tcMar>
          </w:tcPr>
          <w:p>
            <w:r>
              <w:rPr>
                <w:b w:val="false"/>
                <w:bCs w:val="false"/>
                <w:sz w:val="19"/>
                <w:szCs w:val="19"/>
              </w:rPr>
              <w:t xml:space="preserve">ISO/IEC 27001:2022</w:t>
            </w:r>
          </w:p>
        </w:tc>
        <w:tc>
          <w:tcPr>
            <w:tcW w:type="dxa" w:w="7160"/>
            <w:tcMar>
              <w:top w:type="dxa" w:w="60"/>
              <w:left w:type="dxa" w:w="100"/>
              <w:bottom w:type="dxa" w:w="60"/>
              <w:right w:type="dxa" w:w="100"/>
            </w:tcMar>
          </w:tcPr>
          <w:p>
            <w:r>
              <w:rPr>
                <w:b w:val="false"/>
                <w:bCs w:val="false"/>
                <w:sz w:val="19"/>
                <w:szCs w:val="19"/>
              </w:rPr>
              <w:t xml:space="preserve">A.5.16 identity, A.5.23 cloud services, A.8.6 capacity, A.8.12 data leakage, A.8.15 logging, A.8.16 monitoring, A.8.24 cryptography — each mapped to a control in convertion/governance/ with its evidence path</w:t>
            </w:r>
          </w:p>
        </w:tc>
      </w:tr>
      <w:tr>
        <w:tc>
          <w:tcPr>
            <w:tcW w:type="dxa" w:w="2200"/>
            <w:shd w:fill="E4F3F1" w:val="clear"/>
            <w:tcMar>
              <w:top w:type="dxa" w:w="60"/>
              <w:left w:type="dxa" w:w="100"/>
              <w:bottom w:type="dxa" w:w="60"/>
              <w:right w:type="dxa" w:w="100"/>
            </w:tcMar>
          </w:tcPr>
          <w:p>
            <w:r>
              <w:rPr>
                <w:b w:val="false"/>
                <w:bCs w:val="false"/>
                <w:sz w:val="19"/>
                <w:szCs w:val="19"/>
              </w:rPr>
              <w:t xml:space="preserve">ISO/IEC 42001:2023</w:t>
            </w:r>
          </w:p>
        </w:tc>
        <w:tc>
          <w:tcPr>
            <w:tcW w:type="dxa" w:w="7160"/>
            <w:shd w:fill="E4F3F1" w:val="clear"/>
            <w:tcMar>
              <w:top w:type="dxa" w:w="60"/>
              <w:left w:type="dxa" w:w="100"/>
              <w:bottom w:type="dxa" w:w="60"/>
              <w:right w:type="dxa" w:w="100"/>
            </w:tcMar>
          </w:tcPr>
          <w:p>
            <w:r>
              <w:rPr>
                <w:b w:val="false"/>
                <w:bCs w:val="false"/>
                <w:sz w:val="19"/>
                <w:szCs w:val="19"/>
              </w:rPr>
              <w:t xml:space="preserve">An AI management system in practice: documented operating parameters per agent, human oversight, change gates, evaluation against a golden set, and an incident and improvement loop</w:t>
            </w:r>
          </w:p>
        </w:tc>
      </w:tr>
      <w:tr>
        <w:tc>
          <w:tcPr>
            <w:tcW w:type="dxa" w:w="2200"/>
            <w:tcMar>
              <w:top w:type="dxa" w:w="60"/>
              <w:left w:type="dxa" w:w="100"/>
              <w:bottom w:type="dxa" w:w="60"/>
              <w:right w:type="dxa" w:w="100"/>
            </w:tcMar>
          </w:tcPr>
          <w:p>
            <w:r>
              <w:rPr>
                <w:b w:val="false"/>
                <w:bCs w:val="false"/>
                <w:sz w:val="19"/>
                <w:szCs w:val="19"/>
              </w:rPr>
              <w:t xml:space="preserve">EU AI Act</w:t>
            </w:r>
          </w:p>
        </w:tc>
        <w:tc>
          <w:tcPr>
            <w:tcW w:type="dxa" w:w="7160"/>
            <w:tcMar>
              <w:top w:type="dxa" w:w="60"/>
              <w:left w:type="dxa" w:w="100"/>
              <w:bottom w:type="dxa" w:w="60"/>
              <w:right w:type="dxa" w:w="100"/>
            </w:tcMar>
          </w:tcPr>
          <w:p>
            <w:r>
              <w:rPr>
                <w:b w:val="false"/>
                <w:bCs w:val="false"/>
                <w:sz w:val="19"/>
                <w:szCs w:val="19"/>
              </w:rPr>
              <w:t xml:space="preserve">Deployer duties (Art. 26): use per instructions, human oversight (Art. 14), logging and transparency; the platform's own classification and the reasoning behind it are recorded</w:t>
            </w:r>
          </w:p>
        </w:tc>
      </w:tr>
      <w:tr>
        <w:tc>
          <w:tcPr>
            <w:tcW w:type="dxa" w:w="2200"/>
            <w:shd w:fill="E4F3F1" w:val="clear"/>
            <w:tcMar>
              <w:top w:type="dxa" w:w="60"/>
              <w:left w:type="dxa" w:w="100"/>
              <w:bottom w:type="dxa" w:w="60"/>
              <w:right w:type="dxa" w:w="100"/>
            </w:tcMar>
          </w:tcPr>
          <w:p>
            <w:r>
              <w:rPr>
                <w:b w:val="false"/>
                <w:bCs w:val="false"/>
                <w:sz w:val="19"/>
                <w:szCs w:val="19"/>
              </w:rPr>
              <w:t xml:space="preserve">DORA</w:t>
            </w:r>
          </w:p>
        </w:tc>
        <w:tc>
          <w:tcPr>
            <w:tcW w:type="dxa" w:w="7160"/>
            <w:shd w:fill="E4F3F1" w:val="clear"/>
            <w:tcMar>
              <w:top w:type="dxa" w:w="60"/>
              <w:left w:type="dxa" w:w="100"/>
              <w:bottom w:type="dxa" w:w="60"/>
              <w:right w:type="dxa" w:w="100"/>
            </w:tcMar>
          </w:tcPr>
          <w:p>
            <w:r>
              <w:rPr>
                <w:b w:val="false"/>
                <w:bCs w:val="false"/>
                <w:sz w:val="19"/>
                <w:szCs w:val="19"/>
              </w:rPr>
              <w:t xml:space="preserve">Art. 9 ICT risk controls and resource use, Art. 28 third-party evidence retention ≥ 1 year, and the assurance workflows that feed the Register of Information</w:t>
            </w:r>
          </w:p>
        </w:tc>
      </w:tr>
      <w:tr>
        <w:tc>
          <w:tcPr>
            <w:tcW w:type="dxa" w:w="2200"/>
            <w:tcMar>
              <w:top w:type="dxa" w:w="60"/>
              <w:left w:type="dxa" w:w="100"/>
              <w:bottom w:type="dxa" w:w="60"/>
              <w:right w:type="dxa" w:w="100"/>
            </w:tcMar>
          </w:tcPr>
          <w:p>
            <w:r>
              <w:rPr>
                <w:b w:val="false"/>
                <w:bCs w:val="false"/>
                <w:sz w:val="19"/>
                <w:szCs w:val="19"/>
              </w:rPr>
              <w:t xml:space="preserve">NIS2 / GDPR</w:t>
            </w:r>
          </w:p>
        </w:tc>
        <w:tc>
          <w:tcPr>
            <w:tcW w:type="dxa" w:w="7160"/>
            <w:tcMar>
              <w:top w:type="dxa" w:w="60"/>
              <w:left w:type="dxa" w:w="100"/>
              <w:bottom w:type="dxa" w:w="60"/>
              <w:right w:type="dxa" w:w="100"/>
            </w:tcMar>
          </w:tcPr>
          <w:p>
            <w:r>
              <w:rPr>
                <w:b w:val="false"/>
                <w:bCs w:val="false"/>
                <w:sz w:val="19"/>
                <w:szCs w:val="19"/>
              </w:rPr>
              <w:t xml:space="preserve">Art. 21 measures reflected in the control set; Art. 28 processor terms and the SCC position documented for every external dependency</w:t>
            </w:r>
          </w:p>
        </w:tc>
      </w:tr>
    </w:tbl>
    <w:p>
      <w:pPr>
        <w:pStyle w:val="Heading1"/>
        <w:spacing w:after="160" w:before="360"/>
      </w:pPr>
      <w:r>
        <w:t xml:space="preserve">7. Benefits, Cost and Measurement</w:t>
      </w:r>
    </w:p>
    <w:p>
      <w:pPr>
        <w:pStyle w:val="Heading2"/>
        <w:spacing w:after="120" w:before="260"/>
      </w:pPr>
      <w:r>
        <w:t xml:space="preserve">7.1 Benefits</w:t>
      </w:r>
    </w:p>
    <w:p>
      <w:pPr>
        <w:pStyle w:val="ListParagraph"/>
        <w:numPr>
          <w:ilvl w:val="0"/>
          <w:numId w:val="2"/>
        </w:numPr>
        <w:spacing w:after="80"/>
      </w:pPr>
      <w:r>
        <w:rPr>
          <w:b/>
          <w:bCs/>
        </w:rPr>
        <w:t xml:space="preserve">Assurance capacity: </w:t>
      </w:r>
      <w:r>
        <w:t xml:space="preserve">the heavy reading — evidence trees, SOC reports, penetration tests, OneTrust exports — is drafted in minutes and reviewed by a person, so the team's time goes to judgement rather than transcription.</w:t>
      </w:r>
    </w:p>
    <w:p>
      <w:pPr>
        <w:pStyle w:val="ListParagraph"/>
        <w:numPr>
          <w:ilvl w:val="0"/>
          <w:numId w:val="2"/>
        </w:numPr>
        <w:spacing w:after="80"/>
      </w:pPr>
      <w:r>
        <w:rPr>
          <w:b/>
          <w:bCs/>
        </w:rPr>
        <w:t xml:space="preserve">Consistency: </w:t>
      </w:r>
      <w:r>
        <w:t xml:space="preserve">one set of templates, thresholds and scoring rules, applied the same way every time, with the scores computed by code rather than estimated in prose.</w:t>
      </w:r>
    </w:p>
    <w:p>
      <w:pPr>
        <w:pStyle w:val="ListParagraph"/>
        <w:numPr>
          <w:ilvl w:val="0"/>
          <w:numId w:val="2"/>
        </w:numPr>
        <w:spacing w:after="80"/>
      </w:pPr>
      <w:r>
        <w:rPr>
          <w:b/>
          <w:bCs/>
        </w:rPr>
        <w:t xml:space="preserve">Defensibility: </w:t>
      </w:r>
      <w:r>
        <w:t xml:space="preserve">each deliverable carries its sources, its audit artefacts and the identity of the person who approved it.</w:t>
      </w:r>
    </w:p>
    <w:p>
      <w:pPr>
        <w:pStyle w:val="ListParagraph"/>
        <w:numPr>
          <w:ilvl w:val="0"/>
          <w:numId w:val="2"/>
        </w:numPr>
        <w:spacing w:after="80"/>
      </w:pPr>
      <w:r>
        <w:rPr>
          <w:b/>
          <w:bCs/>
        </w:rPr>
        <w:t xml:space="preserve">Reach: </w:t>
      </w:r>
      <w:r>
        <w:t xml:space="preserve">the assistants see Confluence, Jira, the CMDB, OneTrust, Defender and SharePoint — read-only — so answers reflect the estate as it is.</w:t>
      </w:r>
    </w:p>
    <w:p>
      <w:pPr>
        <w:pStyle w:val="Heading2"/>
        <w:spacing w:after="120" w:before="260"/>
      </w:pPr>
      <w:r>
        <w:t xml:space="preserve">7.2 Cost model</w:t>
      </w:r>
    </w:p>
    <w:p>
      <w:pPr>
        <w:spacing w:after="140"/>
        <w:jc w:val="both"/>
      </w:pPr>
      <w:r>
        <w:t xml:space="preserve">The platform is metered, budgeted and alerted. The dominant line is model inference, and it is controlled by routing each task to the cheapest tier that can do it well, by rendering every file with code rather than tokens, and by explicit per-agent inference profiles. The second line is observability, controlled by a retention split that keeps the evidence horizon at archive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008D7F" w:val="clear"/>
            <w:tcMar>
              <w:top w:type="dxa" w:w="60"/>
              <w:left w:type="dxa" w:w="100"/>
              <w:bottom w:type="dxa" w:w="60"/>
              <w:right w:type="dxa" w:w="100"/>
            </w:tcMar>
          </w:tcPr>
          <w:p>
            <w:r>
              <w:rPr>
                <w:b/>
                <w:bCs/>
                <w:color w:val="FFFFFF"/>
                <w:sz w:val="19"/>
                <w:szCs w:val="19"/>
              </w:rPr>
              <w:t xml:space="preserve">Line</w:t>
            </w:r>
          </w:p>
        </w:tc>
        <w:tc>
          <w:tcPr>
            <w:tcW w:type="dxa" w:w="6960"/>
            <w:shd w:fill="008D7F" w:val="clear"/>
            <w:tcMar>
              <w:top w:type="dxa" w:w="60"/>
              <w:left w:type="dxa" w:w="100"/>
              <w:bottom w:type="dxa" w:w="60"/>
              <w:right w:type="dxa" w:w="100"/>
            </w:tcMar>
          </w:tcPr>
          <w:p>
            <w:r>
              <w:rPr>
                <w:b/>
                <w:bCs/>
                <w:color w:val="FFFFFF"/>
                <w:sz w:val="19"/>
                <w:szCs w:val="19"/>
              </w:rPr>
              <w:t xml:space="preserve">Control of record</w:t>
            </w:r>
          </w:p>
        </w:tc>
      </w:tr>
      <w:tr>
        <w:tc>
          <w:tcPr>
            <w:tcW w:type="dxa" w:w="2400"/>
            <w:tcMar>
              <w:top w:type="dxa" w:w="60"/>
              <w:left w:type="dxa" w:w="100"/>
              <w:bottom w:type="dxa" w:w="60"/>
              <w:right w:type="dxa" w:w="100"/>
            </w:tcMar>
          </w:tcPr>
          <w:p>
            <w:r>
              <w:rPr>
                <w:b w:val="false"/>
                <w:bCs w:val="false"/>
                <w:sz w:val="19"/>
                <w:szCs w:val="19"/>
              </w:rPr>
              <w:t xml:space="preserve">Model inference</w:t>
            </w:r>
          </w:p>
        </w:tc>
        <w:tc>
          <w:tcPr>
            <w:tcW w:type="dxa" w:w="6960"/>
            <w:tcMar>
              <w:top w:type="dxa" w:w="60"/>
              <w:left w:type="dxa" w:w="100"/>
              <w:bottom w:type="dxa" w:w="60"/>
              <w:right w:type="dxa" w:w="100"/>
            </w:tcMar>
          </w:tcPr>
          <w:p>
            <w:r>
              <w:rPr>
                <w:b w:val="false"/>
                <w:bCs w:val="false"/>
                <w:sz w:val="19"/>
                <w:szCs w:val="19"/>
              </w:rPr>
              <w:t xml:space="preserve">Three tiers (light/chat/reasoning) with a per-agent assignment; request-time profiles bounding effort and output; prompt-caching discipline; monthly tier-tuning review</w:t>
            </w:r>
          </w:p>
        </w:tc>
      </w:tr>
      <w:tr>
        <w:tc>
          <w:tcPr>
            <w:tcW w:type="dxa" w:w="2400"/>
            <w:shd w:fill="E4F3F1" w:val="clear"/>
            <w:tcMar>
              <w:top w:type="dxa" w:w="60"/>
              <w:left w:type="dxa" w:w="100"/>
              <w:bottom w:type="dxa" w:w="60"/>
              <w:right w:type="dxa" w:w="100"/>
            </w:tcMar>
          </w:tcPr>
          <w:p>
            <w:r>
              <w:rPr>
                <w:b w:val="false"/>
                <w:bCs w:val="false"/>
                <w:sz w:val="19"/>
                <w:szCs w:val="19"/>
              </w:rPr>
              <w:t xml:space="preserve">Observability</w:t>
            </w:r>
          </w:p>
        </w:tc>
        <w:tc>
          <w:tcPr>
            <w:tcW w:type="dxa" w:w="6960"/>
            <w:shd w:fill="E4F3F1" w:val="clear"/>
            <w:tcMar>
              <w:top w:type="dxa" w:w="60"/>
              <w:left w:type="dxa" w:w="100"/>
              <w:bottom w:type="dxa" w:w="60"/>
              <w:right w:type="dxa" w:w="100"/>
            </w:tcMar>
          </w:tcPr>
          <w:p>
            <w:r>
              <w:rPr>
                <w:b w:val="false"/>
                <w:bCs w:val="false"/>
                <w:sz w:val="19"/>
                <w:szCs w:val="19"/>
              </w:rPr>
              <w:t xml:space="preserve">90-day interactive retention, 365-day total retention in the archive tier; no ingestion cap, because dropping telemetry would drop security evidence</w:t>
            </w:r>
          </w:p>
        </w:tc>
      </w:tr>
      <w:tr>
        <w:tc>
          <w:tcPr>
            <w:tcW w:type="dxa" w:w="2400"/>
            <w:tcMar>
              <w:top w:type="dxa" w:w="60"/>
              <w:left w:type="dxa" w:w="100"/>
              <w:bottom w:type="dxa" w:w="60"/>
              <w:right w:type="dxa" w:w="100"/>
            </w:tcMar>
          </w:tcPr>
          <w:p>
            <w:r>
              <w:rPr>
                <w:b w:val="false"/>
                <w:bCs w:val="false"/>
                <w:sz w:val="19"/>
                <w:szCs w:val="19"/>
              </w:rPr>
              <w:t xml:space="preserve">Orchestration</w:t>
            </w:r>
          </w:p>
        </w:tc>
        <w:tc>
          <w:tcPr>
            <w:tcW w:type="dxa" w:w="6960"/>
            <w:tcMar>
              <w:top w:type="dxa" w:w="60"/>
              <w:left w:type="dxa" w:w="100"/>
              <w:bottom w:type="dxa" w:w="60"/>
              <w:right w:type="dxa" w:w="100"/>
            </w:tcMar>
          </w:tcPr>
          <w:p>
            <w:r>
              <w:rPr>
                <w:b w:val="false"/>
                <w:bCs w:val="false"/>
                <w:sz w:val="19"/>
                <w:szCs w:val="19"/>
              </w:rPr>
              <w:t xml:space="preserve">One Logic Apps plan for every workflow; every loop bounded so throttling does not turn into retry cost</w:t>
            </w:r>
          </w:p>
        </w:tc>
      </w:tr>
      <w:tr>
        <w:tc>
          <w:tcPr>
            <w:tcW w:type="dxa" w:w="2400"/>
            <w:shd w:fill="E4F3F1" w:val="clear"/>
            <w:tcMar>
              <w:top w:type="dxa" w:w="60"/>
              <w:left w:type="dxa" w:w="100"/>
              <w:bottom w:type="dxa" w:w="60"/>
              <w:right w:type="dxa" w:w="100"/>
            </w:tcMar>
          </w:tcPr>
          <w:p>
            <w:r>
              <w:rPr>
                <w:b w:val="false"/>
                <w:bCs w:val="false"/>
                <w:sz w:val="19"/>
                <w:szCs w:val="19"/>
              </w:rPr>
              <w:t xml:space="preserve">Document rendering</w:t>
            </w:r>
          </w:p>
        </w:tc>
        <w:tc>
          <w:tcPr>
            <w:tcW w:type="dxa" w:w="6960"/>
            <w:shd w:fill="E4F3F1" w:val="clear"/>
            <w:tcMar>
              <w:top w:type="dxa" w:w="60"/>
              <w:left w:type="dxa" w:w="100"/>
              <w:bottom w:type="dxa" w:w="60"/>
              <w:right w:type="dxa" w:w="100"/>
            </w:tcMar>
          </w:tcPr>
          <w:p>
            <w:r>
              <w:rPr>
                <w:b w:val="false"/>
                <w:bCs w:val="false"/>
                <w:sz w:val="19"/>
                <w:szCs w:val="19"/>
              </w:rPr>
              <w:t xml:space="preserve">Deterministic generators in the delivery Function — a delivered file costs zero completion tokens</w:t>
            </w:r>
          </w:p>
        </w:tc>
      </w:tr>
      <w:tr>
        <w:tc>
          <w:tcPr>
            <w:tcW w:type="dxa" w:w="2400"/>
            <w:tcMar>
              <w:top w:type="dxa" w:w="60"/>
              <w:left w:type="dxa" w:w="100"/>
              <w:bottom w:type="dxa" w:w="60"/>
              <w:right w:type="dxa" w:w="100"/>
            </w:tcMar>
          </w:tcPr>
          <w:p>
            <w:r>
              <w:rPr>
                <w:b w:val="false"/>
                <w:bCs w:val="false"/>
                <w:sz w:val="19"/>
                <w:szCs w:val="19"/>
              </w:rPr>
              <w:t xml:space="preserve">Evidence re-analysis</w:t>
            </w:r>
          </w:p>
        </w:tc>
        <w:tc>
          <w:tcPr>
            <w:tcW w:type="dxa" w:w="6960"/>
            <w:tcMar>
              <w:top w:type="dxa" w:w="60"/>
              <w:left w:type="dxa" w:w="100"/>
              <w:bottom w:type="dxa" w:w="60"/>
              <w:right w:type="dxa" w:w="100"/>
            </w:tcMar>
          </w:tcPr>
          <w:p>
            <w:r>
              <w:rPr>
                <w:b w:val="false"/>
                <w:bCs w:val="false"/>
                <w:sz w:val="19"/>
                <w:szCs w:val="19"/>
              </w:rPr>
              <w:t xml:space="preserve">Delta re-analysis: a reassessment reads only the evidence whose content actually changed</w:t>
            </w:r>
          </w:p>
        </w:tc>
      </w:tr>
    </w:tbl>
    <w:p>
      <w:pPr>
        <w:pStyle w:val="Heading2"/>
        <w:spacing w:after="120" w:before="260"/>
      </w:pPr>
      <w:r>
        <w:t xml:space="preserve">7.3 What is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Indicator</w:t>
            </w:r>
          </w:p>
        </w:tc>
        <w:tc>
          <w:tcPr>
            <w:tcW w:type="dxa" w:w="3400"/>
            <w:shd w:fill="008D7F" w:val="clear"/>
            <w:tcMar>
              <w:top w:type="dxa" w:w="60"/>
              <w:left w:type="dxa" w:w="100"/>
              <w:bottom w:type="dxa" w:w="60"/>
              <w:right w:type="dxa" w:w="100"/>
            </w:tcMar>
          </w:tcPr>
          <w:p>
            <w:r>
              <w:rPr>
                <w:b/>
                <w:bCs/>
                <w:color w:val="FFFFFF"/>
                <w:sz w:val="19"/>
                <w:szCs w:val="19"/>
              </w:rPr>
              <w:t xml:space="preserve">Query / source</w:t>
            </w:r>
          </w:p>
        </w:tc>
        <w:tc>
          <w:tcPr>
            <w:tcW w:type="dxa" w:w="3360"/>
            <w:shd w:fill="008D7F" w:val="clear"/>
            <w:tcMar>
              <w:top w:type="dxa" w:w="60"/>
              <w:left w:type="dxa" w:w="100"/>
              <w:bottom w:type="dxa" w:w="60"/>
              <w:right w:type="dxa" w:w="100"/>
            </w:tcMar>
          </w:tcPr>
          <w:p>
            <w:r>
              <w:rPr>
                <w:b/>
                <w:bCs/>
                <w:color w:val="FFFFFF"/>
                <w:sz w:val="19"/>
                <w:szCs w:val="19"/>
              </w:rPr>
              <w:t xml:space="preserve">Why it matters</w:t>
            </w:r>
          </w:p>
        </w:tc>
      </w:tr>
      <w:tr>
        <w:tc>
          <w:tcPr>
            <w:tcW w:type="dxa" w:w="2600"/>
            <w:tcMar>
              <w:top w:type="dxa" w:w="60"/>
              <w:left w:type="dxa" w:w="100"/>
              <w:bottom w:type="dxa" w:w="60"/>
              <w:right w:type="dxa" w:w="100"/>
            </w:tcMar>
          </w:tcPr>
          <w:p>
            <w:r>
              <w:rPr>
                <w:b w:val="false"/>
                <w:bCs w:val="false"/>
                <w:sz w:val="19"/>
                <w:szCs w:val="19"/>
              </w:rPr>
              <w:t xml:space="preserve">Tokens and cost per agent per deliverable</w:t>
            </w:r>
          </w:p>
        </w:tc>
        <w:tc>
          <w:tcPr>
            <w:tcW w:type="dxa" w:w="3400"/>
            <w:tcMar>
              <w:top w:type="dxa" w:w="60"/>
              <w:left w:type="dxa" w:w="100"/>
              <w:bottom w:type="dxa" w:w="60"/>
              <w:right w:type="dxa" w:w="100"/>
            </w:tcMar>
          </w:tcPr>
          <w:p>
            <w:r>
              <w:rPr>
                <w:b w:val="false"/>
                <w:bCs w:val="false"/>
                <w:sz w:val="19"/>
                <w:szCs w:val="19"/>
              </w:rPr>
              <w:t xml:space="preserve">operations/kql/latency-and-tokens.kql</w:t>
            </w:r>
          </w:p>
        </w:tc>
        <w:tc>
          <w:tcPr>
            <w:tcW w:type="dxa" w:w="3360"/>
            <w:tcMar>
              <w:top w:type="dxa" w:w="60"/>
              <w:left w:type="dxa" w:w="100"/>
              <w:bottom w:type="dxa" w:w="60"/>
              <w:right w:type="dxa" w:w="100"/>
            </w:tcMar>
          </w:tcPr>
          <w:p>
            <w:r>
              <w:rPr>
                <w:b w:val="false"/>
                <w:bCs w:val="false"/>
                <w:sz w:val="19"/>
                <w:szCs w:val="19"/>
              </w:rPr>
              <w:t xml:space="preserve">Drives the monthly tier-tuning decision</w:t>
            </w:r>
          </w:p>
        </w:tc>
      </w:tr>
      <w:tr>
        <w:tc>
          <w:tcPr>
            <w:tcW w:type="dxa" w:w="2600"/>
            <w:shd w:fill="E4F3F1" w:val="clear"/>
            <w:tcMar>
              <w:top w:type="dxa" w:w="60"/>
              <w:left w:type="dxa" w:w="100"/>
              <w:bottom w:type="dxa" w:w="60"/>
              <w:right w:type="dxa" w:w="100"/>
            </w:tcMar>
          </w:tcPr>
          <w:p>
            <w:r>
              <w:rPr>
                <w:b w:val="false"/>
                <w:bCs w:val="false"/>
                <w:sz w:val="19"/>
                <w:szCs w:val="19"/>
              </w:rPr>
              <w:t xml:space="preserve">Prompt-cache hit rate</w:t>
            </w:r>
          </w:p>
        </w:tc>
        <w:tc>
          <w:tcPr>
            <w:tcW w:type="dxa" w:w="3400"/>
            <w:shd w:fill="E4F3F1" w:val="clear"/>
            <w:tcMar>
              <w:top w:type="dxa" w:w="60"/>
              <w:left w:type="dxa" w:w="100"/>
              <w:bottom w:type="dxa" w:w="60"/>
              <w:right w:type="dxa" w:w="100"/>
            </w:tcMar>
          </w:tcPr>
          <w:p>
            <w:r>
              <w:rPr>
                <w:b w:val="false"/>
                <w:bCs w:val="false"/>
                <w:sz w:val="19"/>
                <w:szCs w:val="19"/>
              </w:rPr>
              <w:t xml:space="preserve">operations/kql/prompt-cache-hit-rate.kql</w:t>
            </w:r>
          </w:p>
        </w:tc>
        <w:tc>
          <w:tcPr>
            <w:tcW w:type="dxa" w:w="3360"/>
            <w:shd w:fill="E4F3F1" w:val="clear"/>
            <w:tcMar>
              <w:top w:type="dxa" w:w="60"/>
              <w:left w:type="dxa" w:w="100"/>
              <w:bottom w:type="dxa" w:w="60"/>
              <w:right w:type="dxa" w:w="100"/>
            </w:tcMar>
          </w:tcPr>
          <w:p>
            <w:r>
              <w:rPr>
                <w:b w:val="false"/>
                <w:bCs w:val="false"/>
                <w:sz w:val="19"/>
                <w:szCs w:val="19"/>
              </w:rPr>
              <w:t xml:space="preserve">A fall means a per-run value entered an agent's instructions — a defect, not a price</w:t>
            </w:r>
          </w:p>
        </w:tc>
      </w:tr>
      <w:tr>
        <w:tc>
          <w:tcPr>
            <w:tcW w:type="dxa" w:w="2600"/>
            <w:tcMar>
              <w:top w:type="dxa" w:w="60"/>
              <w:left w:type="dxa" w:w="100"/>
              <w:bottom w:type="dxa" w:w="60"/>
              <w:right w:type="dxa" w:w="100"/>
            </w:tcMar>
          </w:tcPr>
          <w:p>
            <w:r>
              <w:rPr>
                <w:b w:val="false"/>
                <w:bCs w:val="false"/>
                <w:sz w:val="19"/>
                <w:szCs w:val="19"/>
              </w:rPr>
              <w:t xml:space="preserve">Verifier fail rate</w:t>
            </w:r>
          </w:p>
        </w:tc>
        <w:tc>
          <w:tcPr>
            <w:tcW w:type="dxa" w:w="3400"/>
            <w:tcMar>
              <w:top w:type="dxa" w:w="60"/>
              <w:left w:type="dxa" w:w="100"/>
              <w:bottom w:type="dxa" w:w="60"/>
              <w:right w:type="dxa" w:w="100"/>
            </w:tcMar>
          </w:tcPr>
          <w:p>
            <w:r>
              <w:rPr>
                <w:b w:val="false"/>
                <w:bCs w:val="false"/>
                <w:sz w:val="19"/>
                <w:szCs w:val="19"/>
              </w:rPr>
              <w:t xml:space="preserve">operations/kql/verifier-fail-rate.kql</w:t>
            </w:r>
          </w:p>
        </w:tc>
        <w:tc>
          <w:tcPr>
            <w:tcW w:type="dxa" w:w="3360"/>
            <w:tcMar>
              <w:top w:type="dxa" w:w="60"/>
              <w:left w:type="dxa" w:w="100"/>
              <w:bottom w:type="dxa" w:w="60"/>
              <w:right w:type="dxa" w:w="100"/>
            </w:tcMar>
          </w:tcPr>
          <w:p>
            <w:r>
              <w:rPr>
                <w:b w:val="false"/>
                <w:bCs w:val="false"/>
                <w:sz w:val="19"/>
                <w:szCs w:val="19"/>
              </w:rPr>
              <w:t xml:space="preserve">Quality signal on the producing agents</w:t>
            </w:r>
          </w:p>
        </w:tc>
      </w:tr>
      <w:tr>
        <w:tc>
          <w:tcPr>
            <w:tcW w:type="dxa" w:w="2600"/>
            <w:shd w:fill="E4F3F1" w:val="clear"/>
            <w:tcMar>
              <w:top w:type="dxa" w:w="60"/>
              <w:left w:type="dxa" w:w="100"/>
              <w:bottom w:type="dxa" w:w="60"/>
              <w:right w:type="dxa" w:w="100"/>
            </w:tcMar>
          </w:tcPr>
          <w:p>
            <w:r>
              <w:rPr>
                <w:b w:val="false"/>
                <w:bCs w:val="false"/>
                <w:sz w:val="19"/>
                <w:szCs w:val="19"/>
              </w:rPr>
              <w:t xml:space="preserve">Approval SLA</w:t>
            </w:r>
          </w:p>
        </w:tc>
        <w:tc>
          <w:tcPr>
            <w:tcW w:type="dxa" w:w="3400"/>
            <w:shd w:fill="E4F3F1" w:val="clear"/>
            <w:tcMar>
              <w:top w:type="dxa" w:w="60"/>
              <w:left w:type="dxa" w:w="100"/>
              <w:bottom w:type="dxa" w:w="60"/>
              <w:right w:type="dxa" w:w="100"/>
            </w:tcMar>
          </w:tcPr>
          <w:p>
            <w:r>
              <w:rPr>
                <w:b w:val="false"/>
                <w:bCs w:val="false"/>
                <w:sz w:val="19"/>
                <w:szCs w:val="19"/>
              </w:rPr>
              <w:t xml:space="preserve">operations/kql/approval-sla.kql</w:t>
            </w:r>
          </w:p>
        </w:tc>
        <w:tc>
          <w:tcPr>
            <w:tcW w:type="dxa" w:w="3360"/>
            <w:shd w:fill="E4F3F1" w:val="clear"/>
            <w:tcMar>
              <w:top w:type="dxa" w:w="60"/>
              <w:left w:type="dxa" w:w="100"/>
              <w:bottom w:type="dxa" w:w="60"/>
              <w:right w:type="dxa" w:w="100"/>
            </w:tcMar>
          </w:tcPr>
          <w:p>
            <w:r>
              <w:rPr>
                <w:b w:val="false"/>
                <w:bCs w:val="false"/>
                <w:sz w:val="19"/>
                <w:szCs w:val="19"/>
              </w:rPr>
              <w:t xml:space="preserve">Deliverables waiting on people, not on the platform</w:t>
            </w:r>
          </w:p>
        </w:tc>
      </w:tr>
      <w:tr>
        <w:tc>
          <w:tcPr>
            <w:tcW w:type="dxa" w:w="2600"/>
            <w:tcMar>
              <w:top w:type="dxa" w:w="60"/>
              <w:left w:type="dxa" w:w="100"/>
              <w:bottom w:type="dxa" w:w="60"/>
              <w:right w:type="dxa" w:w="100"/>
            </w:tcMar>
          </w:tcPr>
          <w:p>
            <w:r>
              <w:rPr>
                <w:b w:val="false"/>
                <w:bCs w:val="false"/>
                <w:sz w:val="19"/>
                <w:szCs w:val="19"/>
              </w:rPr>
              <w:t xml:space="preserve">Egress markers</w:t>
            </w:r>
          </w:p>
        </w:tc>
        <w:tc>
          <w:tcPr>
            <w:tcW w:type="dxa" w:w="3400"/>
            <w:tcMar>
              <w:top w:type="dxa" w:w="60"/>
              <w:left w:type="dxa" w:w="100"/>
              <w:bottom w:type="dxa" w:w="60"/>
              <w:right w:type="dxa" w:w="100"/>
            </w:tcMar>
          </w:tcPr>
          <w:p>
            <w:r>
              <w:rPr>
                <w:b w:val="false"/>
                <w:bCs w:val="false"/>
                <w:sz w:val="19"/>
                <w:szCs w:val="19"/>
              </w:rPr>
              <w:t xml:space="preserve">operations/kql/egress-detection.kql</w:t>
            </w:r>
          </w:p>
        </w:tc>
        <w:tc>
          <w:tcPr>
            <w:tcW w:type="dxa" w:w="3360"/>
            <w:tcMar>
              <w:top w:type="dxa" w:w="60"/>
              <w:left w:type="dxa" w:w="100"/>
              <w:bottom w:type="dxa" w:w="60"/>
              <w:right w:type="dxa" w:w="100"/>
            </w:tcMar>
          </w:tcPr>
          <w:p>
            <w:r>
              <w:rPr>
                <w:b w:val="false"/>
                <w:bCs w:val="false"/>
                <w:sz w:val="19"/>
                <w:szCs w:val="19"/>
              </w:rPr>
              <w:t xml:space="preserve">Detective control on the web-search boundary</w:t>
            </w:r>
          </w:p>
        </w:tc>
      </w:tr>
    </w:tbl>
    <w:p>
      <w:pPr>
        <w:pStyle w:val="Heading1"/>
        <w:spacing w:after="160" w:before="360"/>
      </w:pPr>
      <w:r>
        <w:t xml:space="preserve">8. Risks and How They Are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Risk</w:t>
            </w:r>
          </w:p>
        </w:tc>
        <w:tc>
          <w:tcPr>
            <w:tcW w:type="dxa" w:w="4200"/>
            <w:shd w:fill="008D7F" w:val="clear"/>
            <w:tcMar>
              <w:top w:type="dxa" w:w="60"/>
              <w:left w:type="dxa" w:w="100"/>
              <w:bottom w:type="dxa" w:w="60"/>
              <w:right w:type="dxa" w:w="100"/>
            </w:tcMar>
          </w:tcPr>
          <w:p>
            <w:r>
              <w:rPr>
                <w:b/>
                <w:bCs/>
                <w:color w:val="FFFFFF"/>
                <w:sz w:val="19"/>
                <w:szCs w:val="19"/>
              </w:rPr>
              <w:t xml:space="preserve">Holding control</w:t>
            </w:r>
          </w:p>
        </w:tc>
        <w:tc>
          <w:tcPr>
            <w:tcW w:type="dxa" w:w="2560"/>
            <w:shd w:fill="008D7F" w:val="clear"/>
            <w:tcMar>
              <w:top w:type="dxa" w:w="60"/>
              <w:left w:type="dxa" w:w="100"/>
              <w:bottom w:type="dxa" w:w="60"/>
              <w:right w:type="dxa" w:w="100"/>
            </w:tcMar>
          </w:tcPr>
          <w:p>
            <w:r>
              <w:rPr>
                <w:b/>
                <w:bCs/>
                <w:color w:val="FFFFFF"/>
                <w:sz w:val="19"/>
                <w:szCs w:val="19"/>
              </w:rPr>
              <w:t xml:space="preserve">Residual position</w:t>
            </w:r>
          </w:p>
        </w:tc>
      </w:tr>
      <w:tr>
        <w:tc>
          <w:tcPr>
            <w:tcW w:type="dxa" w:w="2600"/>
            <w:tcMar>
              <w:top w:type="dxa" w:w="60"/>
              <w:left w:type="dxa" w:w="100"/>
              <w:bottom w:type="dxa" w:w="60"/>
              <w:right w:type="dxa" w:w="100"/>
            </w:tcMar>
          </w:tcPr>
          <w:p>
            <w:r>
              <w:rPr>
                <w:b w:val="false"/>
                <w:bCs w:val="false"/>
                <w:sz w:val="19"/>
                <w:szCs w:val="19"/>
              </w:rPr>
              <w:t xml:space="preserve">An AI-drafted report contains an unsupported claim</w:t>
            </w:r>
          </w:p>
        </w:tc>
        <w:tc>
          <w:tcPr>
            <w:tcW w:type="dxa" w:w="4200"/>
            <w:tcMar>
              <w:top w:type="dxa" w:w="60"/>
              <w:left w:type="dxa" w:w="100"/>
              <w:bottom w:type="dxa" w:w="60"/>
              <w:right w:type="dxa" w:w="100"/>
            </w:tcMar>
          </w:tcPr>
          <w:p>
            <w:r>
              <w:rPr>
                <w:b w:val="false"/>
                <w:bCs w:val="false"/>
                <w:sz w:val="19"/>
                <w:szCs w:val="19"/>
              </w:rPr>
              <w:t xml:space="preserve">Verifier grounding rule + human approval + per-item source citation</w:t>
            </w:r>
          </w:p>
        </w:tc>
        <w:tc>
          <w:tcPr>
            <w:tcW w:type="dxa" w:w="2560"/>
            <w:tcMar>
              <w:top w:type="dxa" w:w="60"/>
              <w:left w:type="dxa" w:w="100"/>
              <w:bottom w:type="dxa" w:w="60"/>
              <w:right w:type="dxa" w:w="100"/>
            </w:tcMar>
          </w:tcPr>
          <w:p>
            <w:r>
              <w:rPr>
                <w:b w:val="false"/>
                <w:bCs w:val="false"/>
                <w:sz w:val="19"/>
                <w:szCs w:val="19"/>
              </w:rPr>
              <w:t xml:space="preserve">Accepted: a person signs every deliverable of record</w:t>
            </w:r>
          </w:p>
        </w:tc>
      </w:tr>
      <w:tr>
        <w:tc>
          <w:tcPr>
            <w:tcW w:type="dxa" w:w="2600"/>
            <w:shd w:fill="E4F3F1" w:val="clear"/>
            <w:tcMar>
              <w:top w:type="dxa" w:w="60"/>
              <w:left w:type="dxa" w:w="100"/>
              <w:bottom w:type="dxa" w:w="60"/>
              <w:right w:type="dxa" w:w="100"/>
            </w:tcMar>
          </w:tcPr>
          <w:p>
            <w:r>
              <w:rPr>
                <w:b w:val="false"/>
                <w:bCs w:val="false"/>
                <w:sz w:val="19"/>
                <w:szCs w:val="19"/>
              </w:rPr>
              <w:t xml:space="preserve">Prompt injection through supplier evidence or a web page</w:t>
            </w:r>
          </w:p>
        </w:tc>
        <w:tc>
          <w:tcPr>
            <w:tcW w:type="dxa" w:w="4200"/>
            <w:shd w:fill="E4F3F1" w:val="clear"/>
            <w:tcMar>
              <w:top w:type="dxa" w:w="60"/>
              <w:left w:type="dxa" w:w="100"/>
              <w:bottom w:type="dxa" w:w="60"/>
              <w:right w:type="dxa" w:w="100"/>
            </w:tcMar>
          </w:tcPr>
          <w:p>
            <w:r>
              <w:rPr>
                <w:b w:val="false"/>
                <w:bCs w:val="false"/>
                <w:sz w:val="19"/>
                <w:szCs w:val="19"/>
              </w:rPr>
              <w:t xml:space="preserve">Indirect-attack detection on web-facing agents, injection-resistant instruction gate, read-only tools, no write path to abuse</w:t>
            </w:r>
          </w:p>
        </w:tc>
        <w:tc>
          <w:tcPr>
            <w:tcW w:type="dxa" w:w="2560"/>
            <w:shd w:fill="E4F3F1" w:val="clear"/>
            <w:tcMar>
              <w:top w:type="dxa" w:w="60"/>
              <w:left w:type="dxa" w:w="100"/>
              <w:bottom w:type="dxa" w:w="60"/>
              <w:right w:type="dxa" w:w="100"/>
            </w:tcMar>
          </w:tcPr>
          <w:p>
            <w:r>
              <w:rPr>
                <w:b w:val="false"/>
                <w:bCs w:val="false"/>
                <w:sz w:val="19"/>
                <w:szCs w:val="19"/>
              </w:rPr>
              <w:t xml:space="preserve">Accepted and monitored</w:t>
            </w:r>
          </w:p>
        </w:tc>
      </w:tr>
      <w:tr>
        <w:tc>
          <w:tcPr>
            <w:tcW w:type="dxa" w:w="2600"/>
            <w:tcMar>
              <w:top w:type="dxa" w:w="60"/>
              <w:left w:type="dxa" w:w="100"/>
              <w:bottom w:type="dxa" w:w="60"/>
              <w:right w:type="dxa" w:w="100"/>
            </w:tcMar>
          </w:tcPr>
          <w:p>
            <w:r>
              <w:rPr>
                <w:b w:val="false"/>
                <w:bCs w:val="false"/>
                <w:sz w:val="19"/>
                <w:szCs w:val="19"/>
              </w:rPr>
              <w:t xml:space="preserve">Euronext data reaching a public search engine</w:t>
            </w:r>
          </w:p>
        </w:tc>
        <w:tc>
          <w:tcPr>
            <w:tcW w:type="dxa" w:w="4200"/>
            <w:tcMar>
              <w:top w:type="dxa" w:w="60"/>
              <w:left w:type="dxa" w:w="100"/>
              <w:bottom w:type="dxa" w:w="60"/>
              <w:right w:type="dxa" w:w="100"/>
            </w:tcMar>
          </w:tcPr>
          <w:p>
            <w:r>
              <w:rPr>
                <w:b w:val="false"/>
                <w:bCs w:val="false"/>
                <w:sz w:val="19"/>
                <w:szCs w:val="19"/>
              </w:rPr>
              <w:t xml:space="preserve">Sanitise-then-search rule, outbound marker inspection, detective KQL alert, documented DPA gap</w:t>
            </w:r>
          </w:p>
        </w:tc>
        <w:tc>
          <w:tcPr>
            <w:tcW w:type="dxa" w:w="2560"/>
            <w:tcMar>
              <w:top w:type="dxa" w:w="60"/>
              <w:left w:type="dxa" w:w="100"/>
              <w:bottom w:type="dxa" w:w="60"/>
              <w:right w:type="dxa" w:w="100"/>
            </w:tcMar>
          </w:tcPr>
          <w:p>
            <w:r>
              <w:rPr>
                <w:b w:val="false"/>
                <w:bCs w:val="false"/>
                <w:sz w:val="19"/>
                <w:szCs w:val="19"/>
              </w:rPr>
              <w:t xml:space="preserve">Accepted for public-term queries only; risk owner named</w:t>
            </w:r>
          </w:p>
        </w:tc>
      </w:tr>
      <w:tr>
        <w:tc>
          <w:tcPr>
            <w:tcW w:type="dxa" w:w="2600"/>
            <w:shd w:fill="E4F3F1" w:val="clear"/>
            <w:tcMar>
              <w:top w:type="dxa" w:w="60"/>
              <w:left w:type="dxa" w:w="100"/>
              <w:bottom w:type="dxa" w:w="60"/>
              <w:right w:type="dxa" w:w="100"/>
            </w:tcMar>
          </w:tcPr>
          <w:p>
            <w:r>
              <w:rPr>
                <w:b w:val="false"/>
                <w:bCs w:val="false"/>
                <w:sz w:val="19"/>
                <w:szCs w:val="19"/>
              </w:rPr>
              <w:t xml:space="preserve">A model version changes and deliverables change with it</w:t>
            </w:r>
          </w:p>
        </w:tc>
        <w:tc>
          <w:tcPr>
            <w:tcW w:type="dxa" w:w="4200"/>
            <w:shd w:fill="E4F3F1" w:val="clear"/>
            <w:tcMar>
              <w:top w:type="dxa" w:w="60"/>
              <w:left w:type="dxa" w:w="100"/>
              <w:bottom w:type="dxa" w:w="60"/>
              <w:right w:type="dxa" w:w="100"/>
            </w:tcMar>
          </w:tcPr>
          <w:p>
            <w:r>
              <w:rPr>
                <w:b w:val="false"/>
                <w:bCs w:val="false"/>
                <w:sz w:val="19"/>
                <w:szCs w:val="19"/>
              </w:rPr>
              <w:t xml:space="preserve">Pinned versions with NoAutoUpgrade; a migration runs the golden set before any switch</w:t>
            </w:r>
          </w:p>
        </w:tc>
        <w:tc>
          <w:tcPr>
            <w:tcW w:type="dxa" w:w="2560"/>
            <w:shd w:fill="E4F3F1" w:val="clear"/>
            <w:tcMar>
              <w:top w:type="dxa" w:w="60"/>
              <w:left w:type="dxa" w:w="100"/>
              <w:bottom w:type="dxa" w:w="60"/>
              <w:right w:type="dxa" w:w="100"/>
            </w:tcMar>
          </w:tcPr>
          <w:p>
            <w:r>
              <w:rPr>
                <w:b w:val="false"/>
                <w:bCs w:val="false"/>
                <w:sz w:val="19"/>
                <w:szCs w:val="19"/>
              </w:rPr>
              <w:t xml:space="preserve">Controlled; two tiers have a 2027 retirement to plan for</w:t>
            </w:r>
          </w:p>
        </w:tc>
      </w:tr>
      <w:tr>
        <w:tc>
          <w:tcPr>
            <w:tcW w:type="dxa" w:w="2600"/>
            <w:tcMar>
              <w:top w:type="dxa" w:w="60"/>
              <w:left w:type="dxa" w:w="100"/>
              <w:bottom w:type="dxa" w:w="60"/>
              <w:right w:type="dxa" w:w="100"/>
            </w:tcMar>
          </w:tcPr>
          <w:p>
            <w:r>
              <w:rPr>
                <w:b w:val="false"/>
                <w:bCs w:val="false"/>
                <w:sz w:val="19"/>
                <w:szCs w:val="19"/>
              </w:rPr>
              <w:t xml:space="preserve">Platform change breaks a control</w:t>
            </w:r>
          </w:p>
        </w:tc>
        <w:tc>
          <w:tcPr>
            <w:tcW w:type="dxa" w:w="4200"/>
            <w:tcMar>
              <w:top w:type="dxa" w:w="60"/>
              <w:left w:type="dxa" w:w="100"/>
              <w:bottom w:type="dxa" w:w="60"/>
              <w:right w:type="dxa" w:w="100"/>
            </w:tcMar>
          </w:tcPr>
          <w:p>
            <w:r>
              <w:rPr>
                <w:b w:val="false"/>
                <w:bCs w:val="false"/>
                <w:sz w:val="19"/>
                <w:szCs w:val="19"/>
              </w:rPr>
              <w:t xml:space="preserve">Automated gate set on every change (fidelity, residency, read-only, secrets, tests) plus owner review and segregation of duties</w:t>
            </w:r>
          </w:p>
        </w:tc>
        <w:tc>
          <w:tcPr>
            <w:tcW w:type="dxa" w:w="2560"/>
            <w:tcMar>
              <w:top w:type="dxa" w:w="60"/>
              <w:left w:type="dxa" w:w="100"/>
              <w:bottom w:type="dxa" w:w="60"/>
              <w:right w:type="dxa" w:w="100"/>
            </w:tcMar>
          </w:tcPr>
          <w:p>
            <w:r>
              <w:rPr>
                <w:b w:val="false"/>
                <w:bCs w:val="false"/>
                <w:sz w:val="19"/>
                <w:szCs w:val="19"/>
              </w:rPr>
              <w:t xml:space="preserve">Controlled</w:t>
            </w:r>
          </w:p>
        </w:tc>
      </w:tr>
      <w:tr>
        <w:tc>
          <w:tcPr>
            <w:tcW w:type="dxa" w:w="2600"/>
            <w:shd w:fill="E4F3F1" w:val="clear"/>
            <w:tcMar>
              <w:top w:type="dxa" w:w="60"/>
              <w:left w:type="dxa" w:w="100"/>
              <w:bottom w:type="dxa" w:w="60"/>
              <w:right w:type="dxa" w:w="100"/>
            </w:tcMar>
          </w:tcPr>
          <w:p>
            <w:r>
              <w:rPr>
                <w:b w:val="false"/>
                <w:bCs w:val="false"/>
                <w:sz w:val="19"/>
                <w:szCs w:val="19"/>
              </w:rPr>
              <w:t xml:space="preserve">Key-person dependency on the owner</w:t>
            </w:r>
          </w:p>
        </w:tc>
        <w:tc>
          <w:tcPr>
            <w:tcW w:type="dxa" w:w="4200"/>
            <w:shd w:fill="E4F3F1" w:val="clear"/>
            <w:tcMar>
              <w:top w:type="dxa" w:w="60"/>
              <w:left w:type="dxa" w:w="100"/>
              <w:bottom w:type="dxa" w:w="60"/>
              <w:right w:type="dxa" w:w="100"/>
            </w:tcMar>
          </w:tcPr>
          <w:p>
            <w:r>
              <w:rPr>
                <w:b w:val="false"/>
                <w:bCs w:val="false"/>
                <w:sz w:val="19"/>
                <w:szCs w:val="19"/>
              </w:rPr>
              <w:t xml:space="preserve">Documented runbooks, infrastructure-as-code, deputy approver, onboarding/offboarding procedure</w:t>
            </w:r>
          </w:p>
        </w:tc>
        <w:tc>
          <w:tcPr>
            <w:tcW w:type="dxa" w:w="2560"/>
            <w:shd w:fill="E4F3F1" w:val="clear"/>
            <w:tcMar>
              <w:top w:type="dxa" w:w="60"/>
              <w:left w:type="dxa" w:w="100"/>
              <w:bottom w:type="dxa" w:w="60"/>
              <w:right w:type="dxa" w:w="100"/>
            </w:tcMar>
          </w:tcPr>
          <w:p>
            <w:r>
              <w:rPr>
                <w:b w:val="false"/>
                <w:bCs w:val="false"/>
                <w:sz w:val="19"/>
                <w:szCs w:val="19"/>
              </w:rPr>
              <w:t xml:space="preserve">Reduced; the deputy is named in CODEOWNERS</w:t>
            </w:r>
          </w:p>
        </w:tc>
      </w:tr>
    </w:tbl>
    <w:p>
      <w:pPr>
        <w:pStyle w:val="Heading1"/>
        <w:spacing w:after="160" w:before="360"/>
      </w:pPr>
      <w:r>
        <w:t xml:space="preserve">9. Implementation Plan</w:t>
      </w:r>
    </w:p>
    <w:p>
      <w:pPr>
        <w:spacing w:after="140"/>
        <w:jc w:val="both"/>
      </w:pPr>
      <w:r>
        <w:t xml:space="preserve">The plan is a sequence of gated steps, each producing evidence before the next begins. The infrastructure is deployed from code, the agents are converted and verified before they reach the tenant, and go-live is a hypercare period rather than a switch.</w:t>
      </w:r>
    </w:p>
    <w:p>
      <w:pPr>
        <w:spacing w:after="60" w:before="200"/>
        <w:jc w:val="center"/>
      </w:pPr>
      <w:r>
        <w:drawing>
          <wp:inline distT="0" distB="0" distL="0" distR="0">
            <wp:extent cx="5905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05200"/>
                    </a:xfrm>
                    <a:prstGeom prst="rect">
                      <a:avLst/>
                    </a:prstGeom>
                  </pic:spPr>
                </pic:pic>
              </a:graphicData>
            </a:graphic>
          </wp:inline>
        </w:drawing>
      </w:r>
    </w:p>
    <w:p>
      <w:pPr>
        <w:spacing w:after="240"/>
        <w:jc w:val="center"/>
      </w:pPr>
      <w:r>
        <w:rPr>
          <w:i/>
          <w:iCs/>
          <w:color w:val="5B6B69"/>
          <w:sz w:val="18"/>
          <w:szCs w:val="18"/>
        </w:rPr>
        <w:t xml:space="preserve">Figure 2 — Implementation roadmap: preparation, landing zone, agents, integration, go-live and steady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2960"/>
      </w:tblGrid>
      <w:tr>
        <w:trPr>
          <w:tblHeader/>
        </w:trPr>
        <w:tc>
          <w:tcPr>
            <w:tcW w:type="dxa" w:w="1700"/>
            <w:shd w:fill="008D7F" w:val="clear"/>
            <w:tcMar>
              <w:top w:type="dxa" w:w="60"/>
              <w:left w:type="dxa" w:w="100"/>
              <w:bottom w:type="dxa" w:w="60"/>
              <w:right w:type="dxa" w:w="100"/>
            </w:tcMar>
          </w:tcPr>
          <w:p>
            <w:r>
              <w:rPr>
                <w:b/>
                <w:bCs/>
                <w:color w:val="FFFFFF"/>
                <w:sz w:val="19"/>
                <w:szCs w:val="19"/>
              </w:rPr>
              <w:t xml:space="preserve">Phase</w:t>
            </w:r>
          </w:p>
        </w:tc>
        <w:tc>
          <w:tcPr>
            <w:tcW w:type="dxa" w:w="4700"/>
            <w:shd w:fill="008D7F" w:val="clear"/>
            <w:tcMar>
              <w:top w:type="dxa" w:w="60"/>
              <w:left w:type="dxa" w:w="100"/>
              <w:bottom w:type="dxa" w:w="60"/>
              <w:right w:type="dxa" w:w="100"/>
            </w:tcMar>
          </w:tcPr>
          <w:p>
            <w:r>
              <w:rPr>
                <w:b/>
                <w:bCs/>
                <w:color w:val="FFFFFF"/>
                <w:sz w:val="19"/>
                <w:szCs w:val="19"/>
              </w:rPr>
              <w:t xml:space="preserve">What happens</w:t>
            </w:r>
          </w:p>
        </w:tc>
        <w:tc>
          <w:tcPr>
            <w:tcW w:type="dxa" w:w="2960"/>
            <w:shd w:fill="008D7F" w:val="clear"/>
            <w:tcMar>
              <w:top w:type="dxa" w:w="60"/>
              <w:left w:type="dxa" w:w="100"/>
              <w:bottom w:type="dxa" w:w="60"/>
              <w:right w:type="dxa" w:w="100"/>
            </w:tcMar>
          </w:tcPr>
          <w:p>
            <w:r>
              <w:rPr>
                <w:b/>
                <w:bCs/>
                <w:color w:val="FFFFFF"/>
                <w:sz w:val="19"/>
                <w:szCs w:val="19"/>
              </w:rPr>
              <w:t xml:space="preserve">Exit evidence</w:t>
            </w:r>
          </w:p>
        </w:tc>
      </w:tr>
      <w:tr>
        <w:tc>
          <w:tcPr>
            <w:tcW w:type="dxa" w:w="1700"/>
            <w:tcMar>
              <w:top w:type="dxa" w:w="60"/>
              <w:left w:type="dxa" w:w="100"/>
              <w:bottom w:type="dxa" w:w="60"/>
              <w:right w:type="dxa" w:w="100"/>
            </w:tcMar>
          </w:tcPr>
          <w:p>
            <w:r>
              <w:rPr>
                <w:b w:val="false"/>
                <w:bCs w:val="false"/>
                <w:sz w:val="19"/>
                <w:szCs w:val="19"/>
              </w:rPr>
              <w:t xml:space="preserve">0 — Prerequisites</w:t>
            </w:r>
          </w:p>
        </w:tc>
        <w:tc>
          <w:tcPr>
            <w:tcW w:type="dxa" w:w="4700"/>
            <w:tcMar>
              <w:top w:type="dxa" w:w="60"/>
              <w:left w:type="dxa" w:w="100"/>
              <w:bottom w:type="dxa" w:w="60"/>
              <w:right w:type="dxa" w:w="100"/>
            </w:tcMar>
          </w:tcPr>
          <w:p>
            <w:r>
              <w:rPr>
                <w:b w:val="false"/>
                <w:bCs w:val="false"/>
                <w:sz w:val="19"/>
                <w:szCs w:val="19"/>
              </w:rPr>
              <w:t xml:space="preserve">Subscription, groups, quota, licences, decisions D1–D10 recorded (including the web-search risk acceptance)</w:t>
            </w:r>
          </w:p>
        </w:tc>
        <w:tc>
          <w:tcPr>
            <w:tcW w:type="dxa" w:w="2960"/>
            <w:tcMar>
              <w:top w:type="dxa" w:w="60"/>
              <w:left w:type="dxa" w:w="100"/>
              <w:bottom w:type="dxa" w:w="60"/>
              <w:right w:type="dxa" w:w="100"/>
            </w:tcMar>
          </w:tcPr>
          <w:p>
            <w:r>
              <w:rPr>
                <w:b w:val="false"/>
                <w:bCs w:val="false"/>
                <w:sz w:val="19"/>
                <w:szCs w:val="19"/>
              </w:rPr>
              <w:t xml:space="preserve">Signed decision record</w:t>
            </w:r>
          </w:p>
        </w:tc>
      </w:tr>
      <w:tr>
        <w:tc>
          <w:tcPr>
            <w:tcW w:type="dxa" w:w="1700"/>
            <w:shd w:fill="E4F3F1" w:val="clear"/>
            <w:tcMar>
              <w:top w:type="dxa" w:w="60"/>
              <w:left w:type="dxa" w:w="100"/>
              <w:bottom w:type="dxa" w:w="60"/>
              <w:right w:type="dxa" w:w="100"/>
            </w:tcMar>
          </w:tcPr>
          <w:p>
            <w:r>
              <w:rPr>
                <w:b w:val="false"/>
                <w:bCs w:val="false"/>
                <w:sz w:val="19"/>
                <w:szCs w:val="19"/>
              </w:rPr>
              <w:t xml:space="preserve">1 — Landing zone</w:t>
            </w:r>
          </w:p>
        </w:tc>
        <w:tc>
          <w:tcPr>
            <w:tcW w:type="dxa" w:w="4700"/>
            <w:shd w:fill="E4F3F1" w:val="clear"/>
            <w:tcMar>
              <w:top w:type="dxa" w:w="60"/>
              <w:left w:type="dxa" w:w="100"/>
              <w:bottom w:type="dxa" w:w="60"/>
              <w:right w:type="dxa" w:w="100"/>
            </w:tcMar>
          </w:tcPr>
          <w:p>
            <w:r>
              <w:rPr>
                <w:b w:val="false"/>
                <w:bCs w:val="false"/>
                <w:sz w:val="19"/>
                <w:szCs w:val="19"/>
              </w:rPr>
              <w:t xml:space="preserve">Network, private endpoints, DNS, Key Vault, policy assignments in audit mode</w:t>
            </w:r>
          </w:p>
        </w:tc>
        <w:tc>
          <w:tcPr>
            <w:tcW w:type="dxa" w:w="2960"/>
            <w:shd w:fill="E4F3F1" w:val="clear"/>
            <w:tcMar>
              <w:top w:type="dxa" w:w="60"/>
              <w:left w:type="dxa" w:w="100"/>
              <w:bottom w:type="dxa" w:w="60"/>
              <w:right w:type="dxa" w:w="100"/>
            </w:tcMar>
          </w:tcPr>
          <w:p>
            <w:r>
              <w:rPr>
                <w:b w:val="false"/>
                <w:bCs w:val="false"/>
                <w:sz w:val="19"/>
                <w:szCs w:val="19"/>
              </w:rPr>
              <w:t xml:space="preserve">Policy compliance export</w:t>
            </w:r>
          </w:p>
        </w:tc>
      </w:tr>
      <w:tr>
        <w:tc>
          <w:tcPr>
            <w:tcW w:type="dxa" w:w="1700"/>
            <w:tcMar>
              <w:top w:type="dxa" w:w="60"/>
              <w:left w:type="dxa" w:w="100"/>
              <w:bottom w:type="dxa" w:w="60"/>
              <w:right w:type="dxa" w:w="100"/>
            </w:tcMar>
          </w:tcPr>
          <w:p>
            <w:r>
              <w:rPr>
                <w:b w:val="false"/>
                <w:bCs w:val="false"/>
                <w:sz w:val="19"/>
                <w:szCs w:val="19"/>
              </w:rPr>
              <w:t xml:space="preserve">2 — Foundry</w:t>
            </w:r>
          </w:p>
        </w:tc>
        <w:tc>
          <w:tcPr>
            <w:tcW w:type="dxa" w:w="4700"/>
            <w:tcMar>
              <w:top w:type="dxa" w:w="60"/>
              <w:left w:type="dxa" w:w="100"/>
              <w:bottom w:type="dxa" w:w="60"/>
              <w:right w:type="dxa" w:w="100"/>
            </w:tcMar>
          </w:tcPr>
          <w:p>
            <w:r>
              <w:rPr>
                <w:b w:val="false"/>
                <w:bCs w:val="false"/>
                <w:sz w:val="19"/>
                <w:szCs w:val="19"/>
              </w:rPr>
              <w:t xml:space="preserve">Account, project, three model deployments (EU Data Zone, pinned), guardrail policies</w:t>
            </w:r>
          </w:p>
        </w:tc>
        <w:tc>
          <w:tcPr>
            <w:tcW w:type="dxa" w:w="2960"/>
            <w:tcMar>
              <w:top w:type="dxa" w:w="60"/>
              <w:left w:type="dxa" w:w="100"/>
              <w:bottom w:type="dxa" w:w="60"/>
              <w:right w:type="dxa" w:w="100"/>
            </w:tcMar>
          </w:tcPr>
          <w:p>
            <w:r>
              <w:rPr>
                <w:b w:val="false"/>
                <w:bCs w:val="false"/>
                <w:sz w:val="19"/>
                <w:szCs w:val="19"/>
              </w:rPr>
              <w:t xml:space="preserve">Deployment outputs + portal checklist</w:t>
            </w:r>
          </w:p>
        </w:tc>
      </w:tr>
      <w:tr>
        <w:tc>
          <w:tcPr>
            <w:tcW w:type="dxa" w:w="1700"/>
            <w:shd w:fill="E4F3F1" w:val="clear"/>
            <w:tcMar>
              <w:top w:type="dxa" w:w="60"/>
              <w:left w:type="dxa" w:w="100"/>
              <w:bottom w:type="dxa" w:w="60"/>
              <w:right w:type="dxa" w:w="100"/>
            </w:tcMar>
          </w:tcPr>
          <w:p>
            <w:r>
              <w:rPr>
                <w:b w:val="false"/>
                <w:bCs w:val="false"/>
                <w:sz w:val="19"/>
                <w:szCs w:val="19"/>
              </w:rPr>
              <w:t xml:space="preserve">3 — Identity</w:t>
            </w:r>
          </w:p>
        </w:tc>
        <w:tc>
          <w:tcPr>
            <w:tcW w:type="dxa" w:w="4700"/>
            <w:shd w:fill="E4F3F1" w:val="clear"/>
            <w:tcMar>
              <w:top w:type="dxa" w:w="60"/>
              <w:left w:type="dxa" w:w="100"/>
              <w:bottom w:type="dxa" w:w="60"/>
              <w:right w:type="dxa" w:w="100"/>
            </w:tcMar>
          </w:tcPr>
          <w:p>
            <w:r>
              <w:rPr>
                <w:b w:val="false"/>
                <w:bCs w:val="false"/>
                <w:sz w:val="19"/>
                <w:szCs w:val="19"/>
              </w:rPr>
              <w:t xml:space="preserve">Entra groups, RBAC, PIM, agent identities registered</w:t>
            </w:r>
          </w:p>
        </w:tc>
        <w:tc>
          <w:tcPr>
            <w:tcW w:type="dxa" w:w="2960"/>
            <w:shd w:fill="E4F3F1" w:val="clear"/>
            <w:tcMar>
              <w:top w:type="dxa" w:w="60"/>
              <w:left w:type="dxa" w:w="100"/>
              <w:bottom w:type="dxa" w:w="60"/>
              <w:right w:type="dxa" w:w="100"/>
            </w:tcMar>
          </w:tcPr>
          <w:p>
            <w:r>
              <w:rPr>
                <w:b w:val="false"/>
                <w:bCs w:val="false"/>
                <w:sz w:val="19"/>
                <w:szCs w:val="19"/>
              </w:rPr>
              <w:t xml:space="preserve">Access register</w:t>
            </w:r>
          </w:p>
        </w:tc>
      </w:tr>
      <w:tr>
        <w:tc>
          <w:tcPr>
            <w:tcW w:type="dxa" w:w="1700"/>
            <w:tcMar>
              <w:top w:type="dxa" w:w="60"/>
              <w:left w:type="dxa" w:w="100"/>
              <w:bottom w:type="dxa" w:w="60"/>
              <w:right w:type="dxa" w:w="100"/>
            </w:tcMar>
          </w:tcPr>
          <w:p>
            <w:r>
              <w:rPr>
                <w:b w:val="false"/>
                <w:bCs w:val="false"/>
                <w:sz w:val="19"/>
                <w:szCs w:val="19"/>
              </w:rPr>
              <w:t xml:space="preserve">4 — Connections</w:t>
            </w:r>
          </w:p>
        </w:tc>
        <w:tc>
          <w:tcPr>
            <w:tcW w:type="dxa" w:w="4700"/>
            <w:tcMar>
              <w:top w:type="dxa" w:w="60"/>
              <w:left w:type="dxa" w:w="100"/>
              <w:bottom w:type="dxa" w:w="60"/>
              <w:right w:type="dxa" w:w="100"/>
            </w:tcMar>
          </w:tcPr>
          <w:p>
            <w:r>
              <w:rPr>
                <w:b w:val="false"/>
                <w:bCs w:val="false"/>
                <w:sz w:val="19"/>
                <w:szCs w:val="19"/>
              </w:rPr>
              <w:t xml:space="preserve">20 read-only connections; secrets in Key Vault; read-only proof per spec</w:t>
            </w:r>
          </w:p>
        </w:tc>
        <w:tc>
          <w:tcPr>
            <w:tcW w:type="dxa" w:w="2960"/>
            <w:tcMar>
              <w:top w:type="dxa" w:w="60"/>
              <w:left w:type="dxa" w:w="100"/>
              <w:bottom w:type="dxa" w:w="60"/>
              <w:right w:type="dxa" w:w="100"/>
            </w:tcMar>
          </w:tcPr>
          <w:p>
            <w:r>
              <w:rPr>
                <w:b w:val="false"/>
                <w:bCs w:val="false"/>
                <w:sz w:val="19"/>
                <w:szCs w:val="19"/>
              </w:rPr>
              <w:t xml:space="preserve">attach_integrations dry-run output</w:t>
            </w:r>
          </w:p>
        </w:tc>
      </w:tr>
      <w:tr>
        <w:tc>
          <w:tcPr>
            <w:tcW w:type="dxa" w:w="1700"/>
            <w:shd w:fill="E4F3F1" w:val="clear"/>
            <w:tcMar>
              <w:top w:type="dxa" w:w="60"/>
              <w:left w:type="dxa" w:w="100"/>
              <w:bottom w:type="dxa" w:w="60"/>
              <w:right w:type="dxa" w:w="100"/>
            </w:tcMar>
          </w:tcPr>
          <w:p>
            <w:r>
              <w:rPr>
                <w:b w:val="false"/>
                <w:bCs w:val="false"/>
                <w:sz w:val="19"/>
                <w:szCs w:val="19"/>
              </w:rPr>
              <w:t xml:space="preserve">5 — Delivery</w:t>
            </w:r>
          </w:p>
        </w:tc>
        <w:tc>
          <w:tcPr>
            <w:tcW w:type="dxa" w:w="4700"/>
            <w:shd w:fill="E4F3F1" w:val="clear"/>
            <w:tcMar>
              <w:top w:type="dxa" w:w="60"/>
              <w:left w:type="dxa" w:w="100"/>
              <w:bottom w:type="dxa" w:w="60"/>
              <w:right w:type="dxa" w:w="100"/>
            </w:tcMar>
          </w:tcPr>
          <w:p>
            <w:r>
              <w:rPr>
                <w:b w:val="false"/>
                <w:bCs w:val="false"/>
                <w:sz w:val="19"/>
                <w:szCs w:val="19"/>
              </w:rPr>
              <w:t xml:space="preserve">SharePoint taxonomy, delivery Function, sensitivity labels, lists</w:t>
            </w:r>
          </w:p>
        </w:tc>
        <w:tc>
          <w:tcPr>
            <w:tcW w:type="dxa" w:w="2960"/>
            <w:shd w:fill="E4F3F1" w:val="clear"/>
            <w:tcMar>
              <w:top w:type="dxa" w:w="60"/>
              <w:left w:type="dxa" w:w="100"/>
              <w:bottom w:type="dxa" w:w="60"/>
              <w:right w:type="dxa" w:w="100"/>
            </w:tcMar>
          </w:tcPr>
          <w:p>
            <w:r>
              <w:rPr>
                <w:b w:val="false"/>
                <w:bCs w:val="false"/>
                <w:sz w:val="19"/>
                <w:szCs w:val="19"/>
              </w:rPr>
              <w:t xml:space="preserve">Folder rule and label verified on a test report</w:t>
            </w:r>
          </w:p>
        </w:tc>
      </w:tr>
      <w:tr>
        <w:tc>
          <w:tcPr>
            <w:tcW w:type="dxa" w:w="1700"/>
            <w:tcMar>
              <w:top w:type="dxa" w:w="60"/>
              <w:left w:type="dxa" w:w="100"/>
              <w:bottom w:type="dxa" w:w="60"/>
              <w:right w:type="dxa" w:w="100"/>
            </w:tcMar>
          </w:tcPr>
          <w:p>
            <w:r>
              <w:rPr>
                <w:b w:val="false"/>
                <w:bCs w:val="false"/>
                <w:sz w:val="19"/>
                <w:szCs w:val="19"/>
              </w:rPr>
              <w:t xml:space="preserve">6 — Agents</w:t>
            </w:r>
          </w:p>
        </w:tc>
        <w:tc>
          <w:tcPr>
            <w:tcW w:type="dxa" w:w="4700"/>
            <w:tcMar>
              <w:top w:type="dxa" w:w="60"/>
              <w:left w:type="dxa" w:w="100"/>
              <w:bottom w:type="dxa" w:w="60"/>
              <w:right w:type="dxa" w:w="100"/>
            </w:tcMar>
          </w:tcPr>
          <w:p>
            <w:r>
              <w:rPr>
                <w:b w:val="false"/>
                <w:bCs w:val="false"/>
                <w:sz w:val="19"/>
                <w:szCs w:val="19"/>
              </w:rPr>
              <w:t xml:space="preserve">Conversion, fidelity verification, agent creation, profiles, versions pinned</w:t>
            </w:r>
          </w:p>
        </w:tc>
        <w:tc>
          <w:tcPr>
            <w:tcW w:type="dxa" w:w="2960"/>
            <w:tcMar>
              <w:top w:type="dxa" w:w="60"/>
              <w:left w:type="dxa" w:w="100"/>
              <w:bottom w:type="dxa" w:w="60"/>
              <w:right w:type="dxa" w:w="100"/>
            </w:tcMar>
          </w:tcPr>
          <w:p>
            <w:r>
              <w:rPr>
                <w:b w:val="false"/>
                <w:bCs w:val="false"/>
                <w:sz w:val="19"/>
                <w:szCs w:val="19"/>
              </w:rPr>
              <w:t xml:space="preserve">verify_conversion + agent-versions ledger</w:t>
            </w:r>
          </w:p>
        </w:tc>
      </w:tr>
      <w:tr>
        <w:tc>
          <w:tcPr>
            <w:tcW w:type="dxa" w:w="1700"/>
            <w:shd w:fill="E4F3F1" w:val="clear"/>
            <w:tcMar>
              <w:top w:type="dxa" w:w="60"/>
              <w:left w:type="dxa" w:w="100"/>
              <w:bottom w:type="dxa" w:w="60"/>
              <w:right w:type="dxa" w:w="100"/>
            </w:tcMar>
          </w:tcPr>
          <w:p>
            <w:r>
              <w:rPr>
                <w:b w:val="false"/>
                <w:bCs w:val="false"/>
                <w:sz w:val="19"/>
                <w:szCs w:val="19"/>
              </w:rPr>
              <w:t xml:space="preserve">7 — Workflows</w:t>
            </w:r>
          </w:p>
        </w:tc>
        <w:tc>
          <w:tcPr>
            <w:tcW w:type="dxa" w:w="4700"/>
            <w:shd w:fill="E4F3F1" w:val="clear"/>
            <w:tcMar>
              <w:top w:type="dxa" w:w="60"/>
              <w:left w:type="dxa" w:w="100"/>
              <w:bottom w:type="dxa" w:w="60"/>
              <w:right w:type="dxa" w:w="100"/>
            </w:tcMar>
          </w:tcPr>
          <w:p>
            <w:r>
              <w:rPr>
                <w:b w:val="false"/>
                <w:bCs w:val="false"/>
                <w:sz w:val="19"/>
                <w:szCs w:val="19"/>
              </w:rPr>
              <w:t xml:space="preserve">Logic Apps deployed, approval webhooks wired, pipelines pinned to agent versions</w:t>
            </w:r>
          </w:p>
        </w:tc>
        <w:tc>
          <w:tcPr>
            <w:tcW w:type="dxa" w:w="2960"/>
            <w:shd w:fill="E4F3F1" w:val="clear"/>
            <w:tcMar>
              <w:top w:type="dxa" w:w="60"/>
              <w:left w:type="dxa" w:w="100"/>
              <w:bottom w:type="dxa" w:w="60"/>
              <w:right w:type="dxa" w:w="100"/>
            </w:tcMar>
          </w:tcPr>
          <w:p>
            <w:r>
              <w:rPr>
                <w:b w:val="false"/>
                <w:bCs w:val="false"/>
                <w:sz w:val="19"/>
                <w:szCs w:val="19"/>
              </w:rPr>
              <w:t xml:space="preserve">End-to-end run of one report type</w:t>
            </w:r>
          </w:p>
        </w:tc>
      </w:tr>
      <w:tr>
        <w:tc>
          <w:tcPr>
            <w:tcW w:type="dxa" w:w="1700"/>
            <w:tcMar>
              <w:top w:type="dxa" w:w="60"/>
              <w:left w:type="dxa" w:w="100"/>
              <w:bottom w:type="dxa" w:w="60"/>
              <w:right w:type="dxa" w:w="100"/>
            </w:tcMar>
          </w:tcPr>
          <w:p>
            <w:r>
              <w:rPr>
                <w:b w:val="false"/>
                <w:bCs w:val="false"/>
                <w:sz w:val="19"/>
                <w:szCs w:val="19"/>
              </w:rPr>
              <w:t xml:space="preserve">8 — Guardrails &amp; evaluation</w:t>
            </w:r>
          </w:p>
        </w:tc>
        <w:tc>
          <w:tcPr>
            <w:tcW w:type="dxa" w:w="4700"/>
            <w:tcMar>
              <w:top w:type="dxa" w:w="60"/>
              <w:left w:type="dxa" w:w="100"/>
              <w:bottom w:type="dxa" w:w="60"/>
              <w:right w:type="dxa" w:w="100"/>
            </w:tcMar>
          </w:tcPr>
          <w:p>
            <w:r>
              <w:rPr>
                <w:b w:val="false"/>
                <w:bCs w:val="false"/>
                <w:sz w:val="19"/>
                <w:szCs w:val="19"/>
              </w:rPr>
              <w:t xml:space="preserve">Monitoring, alerts, evaluation golden set, red-team plan</w:t>
            </w:r>
          </w:p>
        </w:tc>
        <w:tc>
          <w:tcPr>
            <w:tcW w:type="dxa" w:w="2960"/>
            <w:tcMar>
              <w:top w:type="dxa" w:w="60"/>
              <w:left w:type="dxa" w:w="100"/>
              <w:bottom w:type="dxa" w:w="60"/>
              <w:right w:type="dxa" w:w="100"/>
            </w:tcMar>
          </w:tcPr>
          <w:p>
            <w:r>
              <w:rPr>
                <w:b w:val="false"/>
                <w:bCs w:val="false"/>
                <w:sz w:val="19"/>
                <w:szCs w:val="19"/>
              </w:rPr>
              <w:t xml:space="preserve">First evaluation report</w:t>
            </w:r>
          </w:p>
        </w:tc>
      </w:tr>
      <w:tr>
        <w:tc>
          <w:tcPr>
            <w:tcW w:type="dxa" w:w="1700"/>
            <w:shd w:fill="E4F3F1" w:val="clear"/>
            <w:tcMar>
              <w:top w:type="dxa" w:w="60"/>
              <w:left w:type="dxa" w:w="100"/>
              <w:bottom w:type="dxa" w:w="60"/>
              <w:right w:type="dxa" w:w="100"/>
            </w:tcMar>
          </w:tcPr>
          <w:p>
            <w:r>
              <w:rPr>
                <w:b w:val="false"/>
                <w:bCs w:val="false"/>
                <w:sz w:val="19"/>
                <w:szCs w:val="19"/>
              </w:rPr>
              <w:t xml:space="preserve">9 — User surfaces</w:t>
            </w:r>
          </w:p>
        </w:tc>
        <w:tc>
          <w:tcPr>
            <w:tcW w:type="dxa" w:w="4700"/>
            <w:shd w:fill="E4F3F1" w:val="clear"/>
            <w:tcMar>
              <w:top w:type="dxa" w:w="60"/>
              <w:left w:type="dxa" w:w="100"/>
              <w:bottom w:type="dxa" w:w="60"/>
              <w:right w:type="dxa" w:w="100"/>
            </w:tcMar>
          </w:tcPr>
          <w:p>
            <w:r>
              <w:rPr>
                <w:b w:val="false"/>
                <w:bCs w:val="false"/>
                <w:sz w:val="19"/>
                <w:szCs w:val="19"/>
              </w:rPr>
              <w:t xml:space="preserve">MCP server, Teams / M365 Copilot publication for the advisory agents</w:t>
            </w:r>
          </w:p>
        </w:tc>
        <w:tc>
          <w:tcPr>
            <w:tcW w:type="dxa" w:w="2960"/>
            <w:shd w:fill="E4F3F1" w:val="clear"/>
            <w:tcMar>
              <w:top w:type="dxa" w:w="60"/>
              <w:left w:type="dxa" w:w="100"/>
              <w:bottom w:type="dxa" w:w="60"/>
              <w:right w:type="dxa" w:w="100"/>
            </w:tcMar>
          </w:tcPr>
          <w:p>
            <w:r>
              <w:rPr>
                <w:b w:val="false"/>
                <w:bCs w:val="false"/>
                <w:sz w:val="19"/>
                <w:szCs w:val="19"/>
              </w:rPr>
              <w:t xml:space="preserve">User acceptance per system</w:t>
            </w:r>
          </w:p>
        </w:tc>
      </w:tr>
      <w:tr>
        <w:tc>
          <w:tcPr>
            <w:tcW w:type="dxa" w:w="1700"/>
            <w:tcMar>
              <w:top w:type="dxa" w:w="60"/>
              <w:left w:type="dxa" w:w="100"/>
              <w:bottom w:type="dxa" w:w="60"/>
              <w:right w:type="dxa" w:w="100"/>
            </w:tcMar>
          </w:tcPr>
          <w:p>
            <w:r>
              <w:rPr>
                <w:b w:val="false"/>
                <w:bCs w:val="false"/>
                <w:sz w:val="19"/>
                <w:szCs w:val="19"/>
              </w:rPr>
              <w:t xml:space="preserve">10 — Go-live &amp; hypercare</w:t>
            </w:r>
          </w:p>
        </w:tc>
        <w:tc>
          <w:tcPr>
            <w:tcW w:type="dxa" w:w="4700"/>
            <w:tcMar>
              <w:top w:type="dxa" w:w="60"/>
              <w:left w:type="dxa" w:w="100"/>
              <w:bottom w:type="dxa" w:w="60"/>
              <w:right w:type="dxa" w:w="100"/>
            </w:tcMar>
          </w:tcPr>
          <w:p>
            <w:r>
              <w:rPr>
                <w:b w:val="false"/>
                <w:bCs w:val="false"/>
                <w:sz w:val="19"/>
                <w:szCs w:val="19"/>
              </w:rPr>
              <w:t xml:space="preserve">Phased rollout, daily checks, then the monthly and quarterly operating rhythm</w:t>
            </w:r>
          </w:p>
        </w:tc>
        <w:tc>
          <w:tcPr>
            <w:tcW w:type="dxa" w:w="2960"/>
            <w:tcMar>
              <w:top w:type="dxa" w:w="60"/>
              <w:left w:type="dxa" w:w="100"/>
              <w:bottom w:type="dxa" w:w="60"/>
              <w:right w:type="dxa" w:w="100"/>
            </w:tcMar>
          </w:tcPr>
          <w:p>
            <w:r>
              <w:rPr>
                <w:b w:val="false"/>
                <w:bCs w:val="false"/>
                <w:sz w:val="19"/>
                <w:szCs w:val="19"/>
              </w:rPr>
              <w:t xml:space="preserve">Hypercare exit report</w:t>
            </w:r>
          </w:p>
        </w:tc>
      </w:tr>
    </w:tbl>
    <w:p>
      <w:pPr>
        <w:spacing w:after="140"/>
        <w:jc w:val="both"/>
      </w:pPr>
      <w:r>
        <w:t xml:space="preserve">The detailed, command-level procedure for each phase is the implementation series in convertion/enterprise/series/00–10, which Part II summarises.</w:t>
      </w:r>
    </w:p>
    <w:p>
      <w:r>
        <w:br w:type="page"/>
      </w:r>
    </w:p>
    <w:p>
      <w:pPr>
        <w:spacing w:before="1400"/>
        <w:jc w:val="center"/>
      </w:pPr>
      <w:r>
        <w:rPr>
          <w:b/>
          <w:bCs/>
          <w:color w:val="5B6B69"/>
          <w:sz w:val="26"/>
          <w:szCs w:val="26"/>
        </w:rPr>
        <w:t xml:space="preserve">PART II</w:t>
      </w:r>
    </w:p>
    <w:p>
      <w:pPr>
        <w:spacing w:before="160"/>
        <w:jc w:val="center"/>
      </w:pPr>
      <w:r>
        <w:rPr>
          <w:b/>
          <w:bCs/>
          <w:color w:val="008D7F"/>
          <w:sz w:val="44"/>
          <w:szCs w:val="44"/>
        </w:rPr>
        <w:t xml:space="preserve">For Implementers</w:t>
      </w:r>
    </w:p>
    <w:p>
      <w:pPr>
        <w:spacing w:after="1400" w:before="200"/>
        <w:jc w:val="center"/>
      </w:pPr>
      <w:r>
        <w:rPr>
          <w:color w:val="0B3B36"/>
          <w:sz w:val="22"/>
          <w:szCs w:val="22"/>
        </w:rPr>
        <w:t xml:space="preserve">Microsoft Foundry architecture, agents, connections, pipelines, deployment and operations</w:t>
      </w:r>
    </w:p>
    <w:p>
      <w:r>
        <w:br w:type="page"/>
      </w:r>
    </w:p>
    <w:p>
      <w:pPr>
        <w:pStyle w:val="Heading1"/>
        <w:spacing w:after="160" w:before="360"/>
      </w:pPr>
      <w:r>
        <w:t xml:space="preserve">10. Target Architecture</w:t>
      </w:r>
    </w:p>
    <w:p>
      <w:pPr>
        <w:spacing w:after="140"/>
        <w:jc w:val="both"/>
      </w:pPr>
      <w:r>
        <w:t xml:space="preserve">The platform is a workload-owned Foundry landing zone: the platform team owns hub networking, DNS and policy; the workload owner owns the Foundry account, its project, the agents and the connections. Users reach the platform through three surfaces — the MCP server, Microsoft 365 Copilot / Teams, and the Logic Apps pipelines — and all three converge on the same agents, tools and gates.</w:t>
      </w:r>
    </w:p>
    <w:p>
      <w:pPr>
        <w:spacing w:after="60" w:before="200"/>
        <w:jc w:val="center"/>
      </w:pPr>
      <w:r>
        <w:drawing>
          <wp:inline distT="0" distB="0" distL="0" distR="0">
            <wp:extent cx="59055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200525"/>
                    </a:xfrm>
                    <a:prstGeom prst="rect">
                      <a:avLst/>
                    </a:prstGeom>
                  </pic:spPr>
                </pic:pic>
              </a:graphicData>
            </a:graphic>
          </wp:inline>
        </w:drawing>
      </w:r>
    </w:p>
    <w:p>
      <w:pPr>
        <w:spacing w:after="240"/>
        <w:jc w:val="center"/>
      </w:pPr>
      <w:r>
        <w:rPr>
          <w:i/>
          <w:iCs/>
          <w:color w:val="5B6B69"/>
          <w:sz w:val="18"/>
          <w:szCs w:val="18"/>
        </w:rPr>
        <w:t xml:space="preserve">Figure 3 — Solution architecture: access surfaces, orchestration, agents, knowledge and tools, Azure foundation</w:t>
      </w:r>
    </w:p>
    <w:p>
      <w:pPr>
        <w:pStyle w:val="Heading2"/>
        <w:spacing w:after="120" w:before="260"/>
      </w:pPr>
      <w:r>
        <w:t xml:space="preserve">10.1 Resource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200"/>
        <w:gridCol w:w="3060"/>
      </w:tblGrid>
      <w:tr>
        <w:trPr>
          <w:tblHeader/>
        </w:trPr>
        <w:tc>
          <w:tcPr>
            <w:tcW w:type="dxa" w:w="2100"/>
            <w:shd w:fill="008D7F" w:val="clear"/>
            <w:tcMar>
              <w:top w:type="dxa" w:w="60"/>
              <w:left w:type="dxa" w:w="100"/>
              <w:bottom w:type="dxa" w:w="60"/>
              <w:right w:type="dxa" w:w="100"/>
            </w:tcMar>
          </w:tcPr>
          <w:p>
            <w:r>
              <w:rPr>
                <w:b/>
                <w:bCs/>
                <w:color w:val="FFFFFF"/>
                <w:sz w:val="19"/>
                <w:szCs w:val="19"/>
              </w:rPr>
              <w:t xml:space="preserve">Resource</w:t>
            </w:r>
          </w:p>
        </w:tc>
        <w:tc>
          <w:tcPr>
            <w:tcW w:type="dxa" w:w="2000"/>
            <w:shd w:fill="008D7F" w:val="clear"/>
            <w:tcMar>
              <w:top w:type="dxa" w:w="60"/>
              <w:left w:type="dxa" w:w="100"/>
              <w:bottom w:type="dxa" w:w="60"/>
              <w:right w:type="dxa" w:w="100"/>
            </w:tcMar>
          </w:tcPr>
          <w:p>
            <w:r>
              <w:rPr>
                <w:b/>
                <w:bCs/>
                <w:color w:val="FFFFFF"/>
                <w:sz w:val="19"/>
                <w:szCs w:val="19"/>
              </w:rPr>
              <w:t xml:space="preserve">Name pattern</w:t>
            </w:r>
          </w:p>
        </w:tc>
        <w:tc>
          <w:tcPr>
            <w:tcW w:type="dxa" w:w="2200"/>
            <w:shd w:fill="008D7F" w:val="clear"/>
            <w:tcMar>
              <w:top w:type="dxa" w:w="60"/>
              <w:left w:type="dxa" w:w="100"/>
              <w:bottom w:type="dxa" w:w="60"/>
              <w:right w:type="dxa" w:w="100"/>
            </w:tcMar>
          </w:tcPr>
          <w:p>
            <w:r>
              <w:rPr>
                <w:b/>
                <w:bCs/>
                <w:color w:val="FFFFFF"/>
                <w:sz w:val="19"/>
                <w:szCs w:val="19"/>
              </w:rPr>
              <w:t xml:space="preserve">Provisioned by</w:t>
            </w:r>
          </w:p>
        </w:tc>
        <w:tc>
          <w:tcPr>
            <w:tcW w:type="dxa" w:w="3060"/>
            <w:shd w:fill="008D7F" w:val="clear"/>
            <w:tcMar>
              <w:top w:type="dxa" w:w="60"/>
              <w:left w:type="dxa" w:w="100"/>
              <w:bottom w:type="dxa" w:w="60"/>
              <w:right w:type="dxa" w:w="100"/>
            </w:tcMar>
          </w:tcPr>
          <w:p>
            <w:r>
              <w:rPr>
                <w:b/>
                <w:bCs/>
                <w:color w:val="FFFFFF"/>
                <w:sz w:val="19"/>
                <w:szCs w:val="19"/>
              </w:rPr>
              <w:t xml:space="preserve">Notes</w:t>
            </w:r>
          </w:p>
        </w:tc>
      </w:tr>
      <w:tr>
        <w:tc>
          <w:tcPr>
            <w:tcW w:type="dxa" w:w="2100"/>
            <w:tcMar>
              <w:top w:type="dxa" w:w="60"/>
              <w:left w:type="dxa" w:w="100"/>
              <w:bottom w:type="dxa" w:w="60"/>
              <w:right w:type="dxa" w:w="100"/>
            </w:tcMar>
          </w:tcPr>
          <w:p>
            <w:r>
              <w:rPr>
                <w:b w:val="false"/>
                <w:bCs w:val="false"/>
                <w:sz w:val="19"/>
                <w:szCs w:val="19"/>
              </w:rPr>
              <w:t xml:space="preserve">Foundry account + project</w:t>
            </w:r>
          </w:p>
        </w:tc>
        <w:tc>
          <w:tcPr>
            <w:tcW w:type="dxa" w:w="2000"/>
            <w:tcMar>
              <w:top w:type="dxa" w:w="60"/>
              <w:left w:type="dxa" w:w="100"/>
              <w:bottom w:type="dxa" w:w="60"/>
              <w:right w:type="dxa" w:w="100"/>
            </w:tcMar>
          </w:tcPr>
          <w:p>
            <w:r>
              <w:rPr>
                <w:b w:val="false"/>
                <w:bCs w:val="false"/>
                <w:sz w:val="19"/>
                <w:szCs w:val="19"/>
              </w:rPr>
              <w:t xml:space="preserve">{baseName}-aif / {baseName}-proj</w:t>
            </w:r>
          </w:p>
        </w:tc>
        <w:tc>
          <w:tcPr>
            <w:tcW w:type="dxa" w:w="2200"/>
            <w:tcMar>
              <w:top w:type="dxa" w:w="60"/>
              <w:left w:type="dxa" w:w="100"/>
              <w:bottom w:type="dxa" w:w="60"/>
              <w:right w:type="dxa" w:w="100"/>
            </w:tcMar>
          </w:tcPr>
          <w:p>
            <w:r>
              <w:rPr>
                <w:b w:val="false"/>
                <w:bCs w:val="false"/>
                <w:sz w:val="19"/>
                <w:szCs w:val="19"/>
              </w:rPr>
              <w:t xml:space="preserve">infra/main.bicep</w:t>
            </w:r>
          </w:p>
        </w:tc>
        <w:tc>
          <w:tcPr>
            <w:tcW w:type="dxa" w:w="3060"/>
            <w:tcMar>
              <w:top w:type="dxa" w:w="60"/>
              <w:left w:type="dxa" w:w="100"/>
              <w:bottom w:type="dxa" w:w="60"/>
              <w:right w:type="dxa" w:w="100"/>
            </w:tcMar>
          </w:tcPr>
          <w:p>
            <w:r>
              <w:rPr>
                <w:b w:val="false"/>
                <w:bCs w:val="false"/>
                <w:sz w:val="19"/>
                <w:szCs w:val="19"/>
              </w:rPr>
              <w:t xml:space="preserve">Entra-only (disableLocalAuth); capability host and network injection set at creation — neither can be added later</w:t>
            </w:r>
          </w:p>
        </w:tc>
      </w:tr>
      <w:tr>
        <w:tc>
          <w:tcPr>
            <w:tcW w:type="dxa" w:w="2100"/>
            <w:shd w:fill="E4F3F1" w:val="clear"/>
            <w:tcMar>
              <w:top w:type="dxa" w:w="60"/>
              <w:left w:type="dxa" w:w="100"/>
              <w:bottom w:type="dxa" w:w="60"/>
              <w:right w:type="dxa" w:w="100"/>
            </w:tcMar>
          </w:tcPr>
          <w:p>
            <w:r>
              <w:rPr>
                <w:b w:val="false"/>
                <w:bCs w:val="false"/>
                <w:sz w:val="19"/>
                <w:szCs w:val="19"/>
              </w:rPr>
              <w:t xml:space="preserve">Model deployments</w:t>
            </w:r>
          </w:p>
        </w:tc>
        <w:tc>
          <w:tcPr>
            <w:tcW w:type="dxa" w:w="2000"/>
            <w:shd w:fill="E4F3F1" w:val="clear"/>
            <w:tcMar>
              <w:top w:type="dxa" w:w="60"/>
              <w:left w:type="dxa" w:w="100"/>
              <w:bottom w:type="dxa" w:w="60"/>
              <w:right w:type="dxa" w:w="100"/>
            </w:tcMar>
          </w:tcPr>
          <w:p>
            <w:r>
              <w:rPr>
                <w:b w:val="false"/>
                <w:bCs w:val="false"/>
                <w:sz w:val="19"/>
                <w:szCs w:val="19"/>
              </w:rPr>
              <w:t xml:space="preserve">gpt-4o · o4-mini · gpt-4o-mini</w:t>
            </w:r>
          </w:p>
        </w:tc>
        <w:tc>
          <w:tcPr>
            <w:tcW w:type="dxa" w:w="2200"/>
            <w:shd w:fill="E4F3F1" w:val="clear"/>
            <w:tcMar>
              <w:top w:type="dxa" w:w="60"/>
              <w:left w:type="dxa" w:w="100"/>
              <w:bottom w:type="dxa" w:w="60"/>
              <w:right w:type="dxa" w:w="100"/>
            </w:tcMar>
          </w:tcPr>
          <w:p>
            <w:r>
              <w:rPr>
                <w:b w:val="false"/>
                <w:bCs w:val="false"/>
                <w:sz w:val="19"/>
                <w:szCs w:val="19"/>
              </w:rPr>
              <w:t xml:space="preserve">infra/main.bicep</w:t>
            </w:r>
          </w:p>
        </w:tc>
        <w:tc>
          <w:tcPr>
            <w:tcW w:type="dxa" w:w="3060"/>
            <w:shd w:fill="E4F3F1" w:val="clear"/>
            <w:tcMar>
              <w:top w:type="dxa" w:w="60"/>
              <w:left w:type="dxa" w:w="100"/>
              <w:bottom w:type="dxa" w:w="60"/>
              <w:right w:type="dxa" w:w="100"/>
            </w:tcMar>
          </w:tcPr>
          <w:p>
            <w:r>
              <w:rPr>
                <w:b w:val="false"/>
                <w:bCs w:val="false"/>
                <w:sz w:val="19"/>
                <w:szCs w:val="19"/>
              </w:rPr>
              <w:t xml:space="preserve">DataZoneStandard SKU, pinned versions, NoAutoUpgrade</w:t>
            </w:r>
          </w:p>
        </w:tc>
      </w:tr>
      <w:tr>
        <w:tc>
          <w:tcPr>
            <w:tcW w:type="dxa" w:w="2100"/>
            <w:tcMar>
              <w:top w:type="dxa" w:w="60"/>
              <w:left w:type="dxa" w:w="100"/>
              <w:bottom w:type="dxa" w:w="60"/>
              <w:right w:type="dxa" w:w="100"/>
            </w:tcMar>
          </w:tcPr>
          <w:p>
            <w:r>
              <w:rPr>
                <w:b w:val="false"/>
                <w:bCs w:val="false"/>
                <w:sz w:val="19"/>
                <w:szCs w:val="19"/>
              </w:rPr>
              <w:t xml:space="preserve">Guardrail policies</w:t>
            </w:r>
          </w:p>
        </w:tc>
        <w:tc>
          <w:tcPr>
            <w:tcW w:type="dxa" w:w="2000"/>
            <w:tcMar>
              <w:top w:type="dxa" w:w="60"/>
              <w:left w:type="dxa" w:w="100"/>
              <w:bottom w:type="dxa" w:w="60"/>
              <w:right w:type="dxa" w:w="100"/>
            </w:tcMar>
          </w:tcPr>
          <w:p>
            <w:r>
              <w:rPr>
                <w:b w:val="false"/>
                <w:bCs w:val="false"/>
                <w:sz w:val="19"/>
                <w:szCs w:val="19"/>
              </w:rPr>
              <w:t xml:space="preserve">infosec-security-analysis · infosec-web-facing</w:t>
            </w:r>
          </w:p>
        </w:tc>
        <w:tc>
          <w:tcPr>
            <w:tcW w:type="dxa" w:w="2200"/>
            <w:tcMar>
              <w:top w:type="dxa" w:w="60"/>
              <w:left w:type="dxa" w:w="100"/>
              <w:bottom w:type="dxa" w:w="60"/>
              <w:right w:type="dxa" w:w="100"/>
            </w:tcMar>
          </w:tcPr>
          <w:p>
            <w:r>
              <w:rPr>
                <w:b w:val="false"/>
                <w:bCs w:val="false"/>
                <w:sz w:val="19"/>
                <w:szCs w:val="19"/>
              </w:rPr>
              <w:t xml:space="preserve">infra/main.bicep</w:t>
            </w:r>
          </w:p>
        </w:tc>
        <w:tc>
          <w:tcPr>
            <w:tcW w:type="dxa" w:w="3060"/>
            <w:tcMar>
              <w:top w:type="dxa" w:w="60"/>
              <w:left w:type="dxa" w:w="100"/>
              <w:bottom w:type="dxa" w:w="60"/>
              <w:right w:type="dxa" w:w="100"/>
            </w:tcMar>
          </w:tcPr>
          <w:p>
            <w:r>
              <w:rPr>
                <w:b w:val="false"/>
                <w:bCs w:val="false"/>
                <w:sz w:val="19"/>
                <w:szCs w:val="19"/>
              </w:rPr>
              <w:t xml:space="preserve">The web-facing policy adds indirect-attack (XPIA) detection and is assigned per agent</w:t>
            </w:r>
          </w:p>
        </w:tc>
      </w:tr>
      <w:tr>
        <w:tc>
          <w:tcPr>
            <w:tcW w:type="dxa" w:w="2100"/>
            <w:shd w:fill="E4F3F1" w:val="clear"/>
            <w:tcMar>
              <w:top w:type="dxa" w:w="60"/>
              <w:left w:type="dxa" w:w="100"/>
              <w:bottom w:type="dxa" w:w="60"/>
              <w:right w:type="dxa" w:w="100"/>
            </w:tcMar>
          </w:tcPr>
          <w:p>
            <w:r>
              <w:rPr>
                <w:b w:val="false"/>
                <w:bCs w:val="false"/>
                <w:sz w:val="19"/>
                <w:szCs w:val="19"/>
              </w:rPr>
              <w:t xml:space="preserve">Agent state (standard setup)</w:t>
            </w:r>
          </w:p>
        </w:tc>
        <w:tc>
          <w:tcPr>
            <w:tcW w:type="dxa" w:w="2000"/>
            <w:shd w:fill="E4F3F1" w:val="clear"/>
            <w:tcMar>
              <w:top w:type="dxa" w:w="60"/>
              <w:left w:type="dxa" w:w="100"/>
              <w:bottom w:type="dxa" w:w="60"/>
              <w:right w:type="dxa" w:w="100"/>
            </w:tcMar>
          </w:tcPr>
          <w:p>
            <w:r>
              <w:rPr>
                <w:b w:val="false"/>
                <w:bCs w:val="false"/>
                <w:sz w:val="19"/>
                <w:szCs w:val="19"/>
              </w:rPr>
              <w:t xml:space="preserve">{baseName}-cosmos · {baseName}-search</w:t>
            </w:r>
          </w:p>
        </w:tc>
        <w:tc>
          <w:tcPr>
            <w:tcW w:type="dxa" w:w="2200"/>
            <w:shd w:fill="E4F3F1" w:val="clear"/>
            <w:tcMar>
              <w:top w:type="dxa" w:w="60"/>
              <w:left w:type="dxa" w:w="100"/>
              <w:bottom w:type="dxa" w:w="60"/>
              <w:right w:type="dxa" w:w="100"/>
            </w:tcMar>
          </w:tcPr>
          <w:p>
            <w:r>
              <w:rPr>
                <w:b w:val="false"/>
                <w:bCs w:val="false"/>
                <w:sz w:val="19"/>
                <w:szCs w:val="19"/>
              </w:rPr>
              <w:t xml:space="preserve">infra/agent-stores.bicep</w:t>
            </w:r>
          </w:p>
        </w:tc>
        <w:tc>
          <w:tcPr>
            <w:tcW w:type="dxa" w:w="3060"/>
            <w:shd w:fill="E4F3F1" w:val="clear"/>
            <w:tcMar>
              <w:top w:type="dxa" w:w="60"/>
              <w:left w:type="dxa" w:w="100"/>
              <w:bottom w:type="dxa" w:w="60"/>
              <w:right w:type="dxa" w:w="100"/>
            </w:tcMar>
          </w:tcPr>
          <w:p>
            <w:r>
              <w:rPr>
                <w:b w:val="false"/>
                <w:bCs w:val="false"/>
                <w:sz w:val="19"/>
                <w:szCs w:val="19"/>
              </w:rPr>
              <w:t xml:space="preserve">Customer-owned conversations, agent definitions and vector/knowledge indexes; 90-day TTL on run state</w:t>
            </w:r>
          </w:p>
        </w:tc>
      </w:tr>
      <w:tr>
        <w:tc>
          <w:tcPr>
            <w:tcW w:type="dxa" w:w="2100"/>
            <w:tcMar>
              <w:top w:type="dxa" w:w="60"/>
              <w:left w:type="dxa" w:w="100"/>
              <w:bottom w:type="dxa" w:w="60"/>
              <w:right w:type="dxa" w:w="100"/>
            </w:tcMar>
          </w:tcPr>
          <w:p>
            <w:r>
              <w:rPr>
                <w:b w:val="false"/>
                <w:bCs w:val="false"/>
                <w:sz w:val="19"/>
                <w:szCs w:val="19"/>
              </w:rPr>
              <w:t xml:space="preserve">Delivery Function</w:t>
            </w:r>
          </w:p>
        </w:tc>
        <w:tc>
          <w:tcPr>
            <w:tcW w:type="dxa" w:w="2000"/>
            <w:tcMar>
              <w:top w:type="dxa" w:w="60"/>
              <w:left w:type="dxa" w:w="100"/>
              <w:bottom w:type="dxa" w:w="60"/>
              <w:right w:type="dxa" w:w="100"/>
            </w:tcMar>
          </w:tcPr>
          <w:p>
            <w:r>
              <w:rPr>
                <w:b w:val="false"/>
                <w:bCs w:val="false"/>
                <w:sz w:val="19"/>
                <w:szCs w:val="19"/>
              </w:rPr>
              <w:t xml:space="preserve">{baseName}-fn-delivery</w:t>
            </w:r>
          </w:p>
        </w:tc>
        <w:tc>
          <w:tcPr>
            <w:tcW w:type="dxa" w:w="2200"/>
            <w:tcMar>
              <w:top w:type="dxa" w:w="60"/>
              <w:left w:type="dxa" w:w="100"/>
              <w:bottom w:type="dxa" w:w="60"/>
              <w:right w:type="dxa" w:w="100"/>
            </w:tcMar>
          </w:tcPr>
          <w:p>
            <w:r>
              <w:rPr>
                <w:b w:val="false"/>
                <w:bCs w:val="false"/>
                <w:sz w:val="19"/>
                <w:szCs w:val="19"/>
              </w:rPr>
              <w:t xml:space="preserve">infra/delivery.bicep</w:t>
            </w:r>
          </w:p>
        </w:tc>
        <w:tc>
          <w:tcPr>
            <w:tcW w:type="dxa" w:w="3060"/>
            <w:tcMar>
              <w:top w:type="dxa" w:w="60"/>
              <w:left w:type="dxa" w:w="100"/>
              <w:bottom w:type="dxa" w:w="60"/>
              <w:right w:type="dxa" w:w="100"/>
            </w:tcMar>
          </w:tcPr>
          <w:p>
            <w:r>
              <w:rPr>
                <w:b w:val="false"/>
                <w:bCs w:val="false"/>
                <w:sz w:val="19"/>
                <w:szCs w:val="19"/>
              </w:rPr>
              <w:t xml:space="preserve">The only identity that writes to SharePoint; renders DOCX/XLSX/PPTX/HTML and PDF</w:t>
            </w:r>
          </w:p>
        </w:tc>
      </w:tr>
      <w:tr>
        <w:tc>
          <w:tcPr>
            <w:tcW w:type="dxa" w:w="2100"/>
            <w:shd w:fill="E4F3F1" w:val="clear"/>
            <w:tcMar>
              <w:top w:type="dxa" w:w="60"/>
              <w:left w:type="dxa" w:w="100"/>
              <w:bottom w:type="dxa" w:w="60"/>
              <w:right w:type="dxa" w:w="100"/>
            </w:tcMar>
          </w:tcPr>
          <w:p>
            <w:r>
              <w:rPr>
                <w:b w:val="false"/>
                <w:bCs w:val="false"/>
                <w:sz w:val="19"/>
                <w:szCs w:val="19"/>
              </w:rPr>
              <w:t xml:space="preserve">Office toolchain</w:t>
            </w:r>
          </w:p>
        </w:tc>
        <w:tc>
          <w:tcPr>
            <w:tcW w:type="dxa" w:w="2000"/>
            <w:shd w:fill="E4F3F1" w:val="clear"/>
            <w:tcMar>
              <w:top w:type="dxa" w:w="60"/>
              <w:left w:type="dxa" w:w="100"/>
              <w:bottom w:type="dxa" w:w="60"/>
              <w:right w:type="dxa" w:w="100"/>
            </w:tcMar>
          </w:tcPr>
          <w:p>
            <w:r>
              <w:rPr>
                <w:b w:val="false"/>
                <w:bCs w:val="false"/>
                <w:sz w:val="19"/>
                <w:szCs w:val="19"/>
              </w:rPr>
              <w:t xml:space="preserve">office-tools container</w:t>
            </w:r>
          </w:p>
        </w:tc>
        <w:tc>
          <w:tcPr>
            <w:tcW w:type="dxa" w:w="2200"/>
            <w:shd w:fill="E4F3F1" w:val="clear"/>
            <w:tcMar>
              <w:top w:type="dxa" w:w="60"/>
              <w:left w:type="dxa" w:w="100"/>
              <w:bottom w:type="dxa" w:w="60"/>
              <w:right w:type="dxa" w:w="100"/>
            </w:tcMar>
          </w:tcPr>
          <w:p>
            <w:r>
              <w:rPr>
                <w:b w:val="false"/>
                <w:bCs w:val="false"/>
                <w:sz w:val="19"/>
                <w:szCs w:val="19"/>
              </w:rPr>
              <w:t xml:space="preserve">infra/delivery.bicep</w:t>
            </w:r>
          </w:p>
        </w:tc>
        <w:tc>
          <w:tcPr>
            <w:tcW w:type="dxa" w:w="3060"/>
            <w:shd w:fill="E4F3F1" w:val="clear"/>
            <w:tcMar>
              <w:top w:type="dxa" w:w="60"/>
              <w:left w:type="dxa" w:w="100"/>
              <w:bottom w:type="dxa" w:w="60"/>
              <w:right w:type="dxa" w:w="100"/>
            </w:tcMar>
          </w:tcPr>
          <w:p>
            <w:r>
              <w:rPr>
                <w:b w:val="false"/>
                <w:bCs w:val="false"/>
                <w:sz w:val="19"/>
                <w:szCs w:val="19"/>
              </w:rPr>
              <w:t xml:space="preserve">LibreOffice/pandoc conversions and the XLSX recalculation gate, isolated from the credential-holding app</w:t>
            </w:r>
          </w:p>
        </w:tc>
      </w:tr>
      <w:tr>
        <w:tc>
          <w:tcPr>
            <w:tcW w:type="dxa" w:w="2100"/>
            <w:tcMar>
              <w:top w:type="dxa" w:w="60"/>
              <w:left w:type="dxa" w:w="100"/>
              <w:bottom w:type="dxa" w:w="60"/>
              <w:right w:type="dxa" w:w="100"/>
            </w:tcMar>
          </w:tcPr>
          <w:p>
            <w:r>
              <w:rPr>
                <w:b w:val="false"/>
                <w:bCs w:val="false"/>
                <w:sz w:val="19"/>
                <w:szCs w:val="19"/>
              </w:rPr>
              <w:t xml:space="preserve">Workflows</w:t>
            </w:r>
          </w:p>
        </w:tc>
        <w:tc>
          <w:tcPr>
            <w:tcW w:type="dxa" w:w="2000"/>
            <w:tcMar>
              <w:top w:type="dxa" w:w="60"/>
              <w:left w:type="dxa" w:w="100"/>
              <w:bottom w:type="dxa" w:w="60"/>
              <w:right w:type="dxa" w:w="100"/>
            </w:tcMar>
          </w:tcPr>
          <w:p>
            <w:r>
              <w:rPr>
                <w:b w:val="false"/>
                <w:bCs w:val="false"/>
                <w:sz w:val="19"/>
                <w:szCs w:val="19"/>
              </w:rPr>
              <w:t xml:space="preserve">{baseName}-la (Logic Apps Standard)</w:t>
            </w:r>
          </w:p>
        </w:tc>
        <w:tc>
          <w:tcPr>
            <w:tcW w:type="dxa" w:w="2200"/>
            <w:tcMar>
              <w:top w:type="dxa" w:w="60"/>
              <w:left w:type="dxa" w:w="100"/>
              <w:bottom w:type="dxa" w:w="60"/>
              <w:right w:type="dxa" w:w="100"/>
            </w:tcMar>
          </w:tcPr>
          <w:p>
            <w:r>
              <w:rPr>
                <w:b w:val="false"/>
                <w:bCs w:val="false"/>
                <w:sz w:val="19"/>
                <w:szCs w:val="19"/>
              </w:rPr>
              <w:t xml:space="preserve">infra/main.bicep</w:t>
            </w:r>
          </w:p>
        </w:tc>
        <w:tc>
          <w:tcPr>
            <w:tcW w:type="dxa" w:w="3060"/>
            <w:tcMar>
              <w:top w:type="dxa" w:w="60"/>
              <w:left w:type="dxa" w:w="100"/>
              <w:bottom w:type="dxa" w:w="60"/>
              <w:right w:type="dxa" w:w="100"/>
            </w:tcMar>
          </w:tcPr>
          <w:p>
            <w:r>
              <w:rPr>
                <w:b w:val="false"/>
                <w:bCs w:val="false"/>
                <w:sz w:val="19"/>
                <w:szCs w:val="19"/>
              </w:rPr>
              <w:t xml:space="preserve">One plan carries all 17 workflow definitions</w:t>
            </w:r>
          </w:p>
        </w:tc>
      </w:tr>
      <w:tr>
        <w:tc>
          <w:tcPr>
            <w:tcW w:type="dxa" w:w="2100"/>
            <w:shd w:fill="E4F3F1" w:val="clear"/>
            <w:tcMar>
              <w:top w:type="dxa" w:w="60"/>
              <w:left w:type="dxa" w:w="100"/>
              <w:bottom w:type="dxa" w:w="60"/>
              <w:right w:type="dxa" w:w="100"/>
            </w:tcMar>
          </w:tcPr>
          <w:p>
            <w:r>
              <w:rPr>
                <w:b w:val="false"/>
                <w:bCs w:val="false"/>
                <w:sz w:val="19"/>
                <w:szCs w:val="19"/>
              </w:rPr>
              <w:t xml:space="preserve">Network</w:t>
            </w:r>
          </w:p>
        </w:tc>
        <w:tc>
          <w:tcPr>
            <w:tcW w:type="dxa" w:w="2000"/>
            <w:shd w:fill="E4F3F1" w:val="clear"/>
            <w:tcMar>
              <w:top w:type="dxa" w:w="60"/>
              <w:left w:type="dxa" w:w="100"/>
              <w:bottom w:type="dxa" w:w="60"/>
              <w:right w:type="dxa" w:w="100"/>
            </w:tcMar>
          </w:tcPr>
          <w:p>
            <w:r>
              <w:rPr>
                <w:b w:val="false"/>
                <w:bCs w:val="false"/>
                <w:sz w:val="19"/>
                <w:szCs w:val="19"/>
              </w:rPr>
              <w:t xml:space="preserve">{baseName}-vnet + snet-pe/apps/aca/agents</w:t>
            </w:r>
          </w:p>
        </w:tc>
        <w:tc>
          <w:tcPr>
            <w:tcW w:type="dxa" w:w="2200"/>
            <w:shd w:fill="E4F3F1" w:val="clear"/>
            <w:tcMar>
              <w:top w:type="dxa" w:w="60"/>
              <w:left w:type="dxa" w:w="100"/>
              <w:bottom w:type="dxa" w:w="60"/>
              <w:right w:type="dxa" w:w="100"/>
            </w:tcMar>
          </w:tcPr>
          <w:p>
            <w:r>
              <w:rPr>
                <w:b w:val="false"/>
                <w:bCs w:val="false"/>
                <w:sz w:val="19"/>
                <w:szCs w:val="19"/>
              </w:rPr>
              <w:t xml:space="preserve">infra/network.bicep + enterprise/landing-zone.bicep</w:t>
            </w:r>
          </w:p>
        </w:tc>
        <w:tc>
          <w:tcPr>
            <w:tcW w:type="dxa" w:w="3060"/>
            <w:shd w:fill="E4F3F1" w:val="clear"/>
            <w:tcMar>
              <w:top w:type="dxa" w:w="60"/>
              <w:left w:type="dxa" w:w="100"/>
              <w:bottom w:type="dxa" w:w="60"/>
              <w:right w:type="dxa" w:w="100"/>
            </w:tcMar>
          </w:tcPr>
          <w:p>
            <w:r>
              <w:rPr>
                <w:b w:val="false"/>
                <w:bCs w:val="false"/>
                <w:sz w:val="19"/>
                <w:szCs w:val="19"/>
              </w:rPr>
              <w:t xml:space="preserve">Agent egress leaves through a delegated subnet the hub firewall can see</w:t>
            </w:r>
          </w:p>
        </w:tc>
      </w:tr>
      <w:tr>
        <w:tc>
          <w:tcPr>
            <w:tcW w:type="dxa" w:w="2100"/>
            <w:tcMar>
              <w:top w:type="dxa" w:w="60"/>
              <w:left w:type="dxa" w:w="100"/>
              <w:bottom w:type="dxa" w:w="60"/>
              <w:right w:type="dxa" w:w="100"/>
            </w:tcMar>
          </w:tcPr>
          <w:p>
            <w:r>
              <w:rPr>
                <w:b w:val="false"/>
                <w:bCs w:val="false"/>
                <w:sz w:val="19"/>
                <w:szCs w:val="19"/>
              </w:rPr>
              <w:t xml:space="preserve">Key Vault / Storage / Log Analytics / App Insights</w:t>
            </w:r>
          </w:p>
        </w:tc>
        <w:tc>
          <w:tcPr>
            <w:tcW w:type="dxa" w:w="2000"/>
            <w:tcMar>
              <w:top w:type="dxa" w:w="60"/>
              <w:left w:type="dxa" w:w="100"/>
              <w:bottom w:type="dxa" w:w="60"/>
              <w:right w:type="dxa" w:w="100"/>
            </w:tcMar>
          </w:tcPr>
          <w:p>
            <w:r>
              <w:rPr>
                <w:b w:val="false"/>
                <w:bCs w:val="false"/>
                <w:sz w:val="19"/>
                <w:szCs w:val="19"/>
              </w:rPr>
              <w:t xml:space="preserve">{baseName}-kv · {baseName}sa · -logs · -appi</w:t>
            </w:r>
          </w:p>
        </w:tc>
        <w:tc>
          <w:tcPr>
            <w:tcW w:type="dxa" w:w="2200"/>
            <w:tcMar>
              <w:top w:type="dxa" w:w="60"/>
              <w:left w:type="dxa" w:w="100"/>
              <w:bottom w:type="dxa" w:w="60"/>
              <w:right w:type="dxa" w:w="100"/>
            </w:tcMar>
          </w:tcPr>
          <w:p>
            <w:r>
              <w:rPr>
                <w:b w:val="false"/>
                <w:bCs w:val="false"/>
                <w:sz w:val="19"/>
                <w:szCs w:val="19"/>
              </w:rPr>
              <w:t xml:space="preserve">infra/main.bicep</w:t>
            </w:r>
          </w:p>
        </w:tc>
        <w:tc>
          <w:tcPr>
            <w:tcW w:type="dxa" w:w="3060"/>
            <w:tcMar>
              <w:top w:type="dxa" w:w="60"/>
              <w:left w:type="dxa" w:w="100"/>
              <w:bottom w:type="dxa" w:w="60"/>
              <w:right w:type="dxa" w:w="100"/>
            </w:tcMar>
          </w:tcPr>
          <w:p>
            <w:r>
              <w:rPr>
                <w:b w:val="false"/>
                <w:bCs w:val="false"/>
                <w:sz w:val="19"/>
                <w:szCs w:val="19"/>
              </w:rPr>
              <w:t xml:space="preserve">CMK from the vault; retention split 90 d interactive / 365 d total</w:t>
            </w:r>
          </w:p>
        </w:tc>
      </w:tr>
      <w:tr>
        <w:tc>
          <w:tcPr>
            <w:tcW w:type="dxa" w:w="2100"/>
            <w:shd w:fill="E4F3F1" w:val="clear"/>
            <w:tcMar>
              <w:top w:type="dxa" w:w="60"/>
              <w:left w:type="dxa" w:w="100"/>
              <w:bottom w:type="dxa" w:w="60"/>
              <w:right w:type="dxa" w:w="100"/>
            </w:tcMar>
          </w:tcPr>
          <w:p>
            <w:r>
              <w:rPr>
                <w:b w:val="false"/>
                <w:bCs w:val="false"/>
                <w:sz w:val="19"/>
                <w:szCs w:val="19"/>
              </w:rPr>
              <w:t xml:space="preserve">Policy + Defender for AI</w:t>
            </w:r>
          </w:p>
        </w:tc>
        <w:tc>
          <w:tcPr>
            <w:tcW w:type="dxa" w:w="2000"/>
            <w:shd w:fill="E4F3F1" w:val="clear"/>
            <w:tcMar>
              <w:top w:type="dxa" w:w="60"/>
              <w:left w:type="dxa" w:w="100"/>
              <w:bottom w:type="dxa" w:w="60"/>
              <w:right w:type="dxa" w:w="100"/>
            </w:tcMar>
          </w:tcPr>
          <w:p>
            <w:r>
              <w:rPr>
                <w:b w:val="false"/>
                <w:bCs w:val="false"/>
                <w:sz w:val="19"/>
                <w:szCs w:val="19"/>
              </w:rPr>
              <w:t xml:space="preserve">subscription scope</w:t>
            </w:r>
          </w:p>
        </w:tc>
        <w:tc>
          <w:tcPr>
            <w:tcW w:type="dxa" w:w="2200"/>
            <w:shd w:fill="E4F3F1" w:val="clear"/>
            <w:tcMar>
              <w:top w:type="dxa" w:w="60"/>
              <w:left w:type="dxa" w:w="100"/>
              <w:bottom w:type="dxa" w:w="60"/>
              <w:right w:type="dxa" w:w="100"/>
            </w:tcMar>
          </w:tcPr>
          <w:p>
            <w:r>
              <w:rPr>
                <w:b w:val="false"/>
                <w:bCs w:val="false"/>
                <w:sz w:val="19"/>
                <w:szCs w:val="19"/>
              </w:rPr>
              <w:t xml:space="preserve">enterprise/azure-policy-assignments.bicep · infra/defender-ai.bicep</w:t>
            </w:r>
          </w:p>
        </w:tc>
        <w:tc>
          <w:tcPr>
            <w:tcW w:type="dxa" w:w="3060"/>
            <w:shd w:fill="E4F3F1" w:val="clear"/>
            <w:tcMar>
              <w:top w:type="dxa" w:w="60"/>
              <w:left w:type="dxa" w:w="100"/>
              <w:bottom w:type="dxa" w:w="60"/>
              <w:right w:type="dxa" w:w="100"/>
            </w:tcMar>
          </w:tcPr>
          <w:p>
            <w:r>
              <w:rPr>
                <w:b w:val="false"/>
                <w:bCs w:val="false"/>
                <w:sz w:val="19"/>
                <w:szCs w:val="19"/>
              </w:rPr>
              <w:t xml:space="preserve">Preventive policy (no Global SKUs, EU locations, no local auth) and AI threat protection</w:t>
            </w:r>
          </w:p>
        </w:tc>
      </w:tr>
    </w:tbl>
    <w:p>
      <w:pPr>
        <w:spacing w:after="140"/>
        <w:jc w:val="both"/>
      </w:pPr>
      <w:r>
        <w:t xml:space="preserve">Thirteen Bicep modules plus two enterprise templates describe all of it; convertion/infra/validate.sh builds, lints and policy-checks them offline before any deployment.</w:t>
      </w:r>
    </w:p>
    <w:p>
      <w:pPr>
        <w:pStyle w:val="Heading1"/>
        <w:spacing w:after="160" w:before="360"/>
      </w:pPr>
      <w:r>
        <w:t xml:space="preserve">11. Model Tiers and Inference Profiles</w:t>
      </w:r>
    </w:p>
    <w:p>
      <w:pPr>
        <w:spacing w:after="140"/>
        <w:jc w:val="both"/>
      </w:pPr>
      <w:r>
        <w:t xml:space="preserve">Two decisions govern every model call: which model serves an agent, and how that model is called. They are separate records because they change for different reasons.</w:t>
      </w:r>
    </w:p>
    <w:p>
      <w:pPr>
        <w:pStyle w:val="Heading2"/>
        <w:spacing w:after="120" w:before="260"/>
      </w:pPr>
      <w:r>
        <w:t xml:space="preserve">11.1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3600"/>
        <w:gridCol w:w="2660"/>
      </w:tblGrid>
      <w:tr>
        <w:trPr>
          <w:tblHeader/>
        </w:trPr>
        <w:tc>
          <w:tcPr>
            <w:tcW w:type="dxa" w:w="1100"/>
            <w:shd w:fill="008D7F" w:val="clear"/>
            <w:tcMar>
              <w:top w:type="dxa" w:w="60"/>
              <w:left w:type="dxa" w:w="100"/>
              <w:bottom w:type="dxa" w:w="60"/>
              <w:right w:type="dxa" w:w="100"/>
            </w:tcMar>
          </w:tcPr>
          <w:p>
            <w:r>
              <w:rPr>
                <w:b/>
                <w:bCs/>
                <w:color w:val="FFFFFF"/>
                <w:sz w:val="19"/>
                <w:szCs w:val="19"/>
              </w:rPr>
              <w:t xml:space="preserve">Tier</w:t>
            </w:r>
          </w:p>
        </w:tc>
        <w:tc>
          <w:tcPr>
            <w:tcW w:type="dxa" w:w="2000"/>
            <w:shd w:fill="008D7F" w:val="clear"/>
            <w:tcMar>
              <w:top w:type="dxa" w:w="60"/>
              <w:left w:type="dxa" w:w="100"/>
              <w:bottom w:type="dxa" w:w="60"/>
              <w:right w:type="dxa" w:w="100"/>
            </w:tcMar>
          </w:tcPr>
          <w:p>
            <w:r>
              <w:rPr>
                <w:b/>
                <w:bCs/>
                <w:color w:val="FFFFFF"/>
                <w:sz w:val="19"/>
                <w:szCs w:val="19"/>
              </w:rPr>
              <w:t xml:space="preserve">Deployment of record</w:t>
            </w:r>
          </w:p>
        </w:tc>
        <w:tc>
          <w:tcPr>
            <w:tcW w:type="dxa" w:w="3600"/>
            <w:shd w:fill="008D7F" w:val="clear"/>
            <w:tcMar>
              <w:top w:type="dxa" w:w="60"/>
              <w:left w:type="dxa" w:w="100"/>
              <w:bottom w:type="dxa" w:w="60"/>
              <w:right w:type="dxa" w:w="100"/>
            </w:tcMar>
          </w:tcPr>
          <w:p>
            <w:r>
              <w:rPr>
                <w:b/>
                <w:bCs/>
                <w:color w:val="FFFFFF"/>
                <w:sz w:val="19"/>
                <w:szCs w:val="19"/>
              </w:rPr>
              <w:t xml:space="preserve">Assigned to</w:t>
            </w:r>
          </w:p>
        </w:tc>
        <w:tc>
          <w:tcPr>
            <w:tcW w:type="dxa" w:w="2660"/>
            <w:shd w:fill="008D7F" w:val="clear"/>
            <w:tcMar>
              <w:top w:type="dxa" w:w="60"/>
              <w:left w:type="dxa" w:w="100"/>
              <w:bottom w:type="dxa" w:w="60"/>
              <w:right w:type="dxa" w:w="100"/>
            </w:tcMar>
          </w:tcPr>
          <w:p>
            <w:r>
              <w:rPr>
                <w:b/>
                <w:bCs/>
                <w:color w:val="FFFFFF"/>
                <w:sz w:val="19"/>
                <w:szCs w:val="19"/>
              </w:rPr>
              <w:t xml:space="preserve">Why</w:t>
            </w:r>
          </w:p>
        </w:tc>
      </w:tr>
      <w:tr>
        <w:tc>
          <w:tcPr>
            <w:tcW w:type="dxa" w:w="1100"/>
            <w:tcMar>
              <w:top w:type="dxa" w:w="60"/>
              <w:left w:type="dxa" w:w="100"/>
              <w:bottom w:type="dxa" w:w="60"/>
              <w:right w:type="dxa" w:w="100"/>
            </w:tcMar>
          </w:tcPr>
          <w:p>
            <w:r>
              <w:rPr>
                <w:b w:val="false"/>
                <w:bCs w:val="false"/>
                <w:sz w:val="19"/>
                <w:szCs w:val="19"/>
              </w:rPr>
              <w:t xml:space="preserve">light</w:t>
            </w:r>
          </w:p>
        </w:tc>
        <w:tc>
          <w:tcPr>
            <w:tcW w:type="dxa" w:w="2000"/>
            <w:tcMar>
              <w:top w:type="dxa" w:w="60"/>
              <w:left w:type="dxa" w:w="100"/>
              <w:bottom w:type="dxa" w:w="60"/>
              <w:right w:type="dxa" w:w="100"/>
            </w:tcMar>
          </w:tcPr>
          <w:p>
            <w:r>
              <w:rPr>
                <w:b w:val="false"/>
                <w:bCs w:val="false"/>
                <w:sz w:val="19"/>
                <w:szCs w:val="19"/>
              </w:rPr>
              <w:t xml:space="preserve">gpt-4o-mini</w:t>
            </w:r>
          </w:p>
        </w:tc>
        <w:tc>
          <w:tcPr>
            <w:tcW w:type="dxa" w:w="3600"/>
            <w:tcMar>
              <w:top w:type="dxa" w:w="60"/>
              <w:left w:type="dxa" w:w="100"/>
              <w:bottom w:type="dxa" w:w="60"/>
              <w:right w:type="dxa" w:w="100"/>
            </w:tcMar>
          </w:tcPr>
          <w:p>
            <w:r>
              <w:rPr>
                <w:b w:val="false"/>
                <w:bCs w:val="false"/>
                <w:sz w:val="19"/>
                <w:szCs w:val="19"/>
              </w:rPr>
              <w:t xml:space="preserve">Routing, deterministic transformation into a fixed schema, document toolkits</w:t>
            </w:r>
          </w:p>
        </w:tc>
        <w:tc>
          <w:tcPr>
            <w:tcW w:type="dxa" w:w="2660"/>
            <w:tcMar>
              <w:top w:type="dxa" w:w="60"/>
              <w:left w:type="dxa" w:w="100"/>
              <w:bottom w:type="dxa" w:w="60"/>
              <w:right w:type="dxa" w:w="100"/>
            </w:tcMar>
          </w:tcPr>
          <w:p>
            <w:r>
              <w:rPr>
                <w:b w:val="false"/>
                <w:bCs w:val="false"/>
                <w:sz w:val="19"/>
                <w:szCs w:val="19"/>
              </w:rPr>
              <w:t xml:space="preserve">The template carries the quality; the model only has to be exact</w:t>
            </w:r>
          </w:p>
        </w:tc>
      </w:tr>
      <w:tr>
        <w:tc>
          <w:tcPr>
            <w:tcW w:type="dxa" w:w="1100"/>
            <w:shd w:fill="E4F3F1" w:val="clear"/>
            <w:tcMar>
              <w:top w:type="dxa" w:w="60"/>
              <w:left w:type="dxa" w:w="100"/>
              <w:bottom w:type="dxa" w:w="60"/>
              <w:right w:type="dxa" w:w="100"/>
            </w:tcMar>
          </w:tcPr>
          <w:p>
            <w:r>
              <w:rPr>
                <w:b w:val="false"/>
                <w:bCs w:val="false"/>
                <w:sz w:val="19"/>
                <w:szCs w:val="19"/>
              </w:rPr>
              <w:t xml:space="preserve">chat</w:t>
            </w:r>
          </w:p>
        </w:tc>
        <w:tc>
          <w:tcPr>
            <w:tcW w:type="dxa" w:w="2000"/>
            <w:shd w:fill="E4F3F1" w:val="clear"/>
            <w:tcMar>
              <w:top w:type="dxa" w:w="60"/>
              <w:left w:type="dxa" w:w="100"/>
              <w:bottom w:type="dxa" w:w="60"/>
              <w:right w:type="dxa" w:w="100"/>
            </w:tcMar>
          </w:tcPr>
          <w:p>
            <w:r>
              <w:rPr>
                <w:b w:val="false"/>
                <w:bCs w:val="false"/>
                <w:sz w:val="19"/>
                <w:szCs w:val="19"/>
              </w:rPr>
              <w:t xml:space="preserve">gpt-4o</w:t>
            </w:r>
          </w:p>
        </w:tc>
        <w:tc>
          <w:tcPr>
            <w:tcW w:type="dxa" w:w="3600"/>
            <w:shd w:fill="E4F3F1" w:val="clear"/>
            <w:tcMar>
              <w:top w:type="dxa" w:w="60"/>
              <w:left w:type="dxa" w:w="100"/>
              <w:bottom w:type="dxa" w:w="60"/>
              <w:right w:type="dxa" w:w="100"/>
            </w:tcMar>
          </w:tcPr>
          <w:p>
            <w:r>
              <w:rPr>
                <w:b w:val="false"/>
                <w:bCs w:val="false"/>
                <w:sz w:val="19"/>
                <w:szCs w:val="19"/>
              </w:rPr>
              <w:t xml:space="preserve">Templated deliverables: DPIA, CISO reporting, slide generators, Form B, template manager</w:t>
            </w:r>
          </w:p>
        </w:tc>
        <w:tc>
          <w:tcPr>
            <w:tcW w:type="dxa" w:w="2660"/>
            <w:shd w:fill="E4F3F1" w:val="clear"/>
            <w:tcMar>
              <w:top w:type="dxa" w:w="60"/>
              <w:left w:type="dxa" w:w="100"/>
              <w:bottom w:type="dxa" w:w="60"/>
              <w:right w:type="dxa" w:w="100"/>
            </w:tcMar>
          </w:tcPr>
          <w:p>
            <w:r>
              <w:rPr>
                <w:b w:val="false"/>
                <w:bCs w:val="false"/>
                <w:sz w:val="19"/>
                <w:szCs w:val="19"/>
              </w:rPr>
              <w:t xml:space="preserve">Verified extraction rules plus a fixed template</w:t>
            </w:r>
          </w:p>
        </w:tc>
      </w:tr>
      <w:tr>
        <w:tc>
          <w:tcPr>
            <w:tcW w:type="dxa" w:w="1100"/>
            <w:tcMar>
              <w:top w:type="dxa" w:w="60"/>
              <w:left w:type="dxa" w:w="100"/>
              <w:bottom w:type="dxa" w:w="60"/>
              <w:right w:type="dxa" w:w="100"/>
            </w:tcMar>
          </w:tcPr>
          <w:p>
            <w:r>
              <w:rPr>
                <w:b w:val="false"/>
                <w:bCs w:val="false"/>
                <w:sz w:val="19"/>
                <w:szCs w:val="19"/>
              </w:rPr>
              <w:t xml:space="preserve">reasoning</w:t>
            </w:r>
          </w:p>
        </w:tc>
        <w:tc>
          <w:tcPr>
            <w:tcW w:type="dxa" w:w="2000"/>
            <w:tcMar>
              <w:top w:type="dxa" w:w="60"/>
              <w:left w:type="dxa" w:w="100"/>
              <w:bottom w:type="dxa" w:w="60"/>
              <w:right w:type="dxa" w:w="100"/>
            </w:tcMar>
          </w:tcPr>
          <w:p>
            <w:r>
              <w:rPr>
                <w:b w:val="false"/>
                <w:bCs w:val="false"/>
                <w:sz w:val="19"/>
                <w:szCs w:val="19"/>
              </w:rPr>
              <w:t xml:space="preserve">o4-mini</w:t>
            </w:r>
          </w:p>
        </w:tc>
        <w:tc>
          <w:tcPr>
            <w:tcW w:type="dxa" w:w="3600"/>
            <w:tcMar>
              <w:top w:type="dxa" w:w="60"/>
              <w:left w:type="dxa" w:w="100"/>
              <w:bottom w:type="dxa" w:w="60"/>
              <w:right w:type="dxa" w:w="100"/>
            </w:tcMar>
          </w:tcPr>
          <w:p>
            <w:r>
              <w:rPr>
                <w:b w:val="false"/>
                <w:bCs w:val="false"/>
                <w:sz w:val="19"/>
                <w:szCs w:val="19"/>
              </w:rPr>
              <w:t xml:space="preserve">OSINT research, evidence/SOC/pentest analysis, scoring, regulatory advisory, orchestration, verification</w:t>
            </w:r>
          </w:p>
        </w:tc>
        <w:tc>
          <w:tcPr>
            <w:tcW w:type="dxa" w:w="2660"/>
            <w:tcMar>
              <w:top w:type="dxa" w:w="60"/>
              <w:left w:type="dxa" w:w="100"/>
              <w:bottom w:type="dxa" w:w="60"/>
              <w:right w:type="dxa" w:w="100"/>
            </w:tcMar>
          </w:tcPr>
          <w:p>
            <w:r>
              <w:rPr>
                <w:b w:val="false"/>
                <w:bCs w:val="false"/>
                <w:sz w:val="19"/>
                <w:szCs w:val="19"/>
              </w:rPr>
              <w:t xml:space="preserve">Judgement is the product — and the model must be able to carry the tool surface</w:t>
            </w:r>
          </w:p>
        </w:tc>
      </w:tr>
    </w:tbl>
    <w:p>
      <w:pPr>
        <w:spacing w:after="140"/>
        <w:jc w:val="both"/>
      </w:pPr>
      <w:r>
        <w:t xml:space="preserve">Tool support is part of the routing rule, not a footnote: o3-mini supports none of the OpenAPI, MCP, AI Search, SharePoint or Web Search tools that every reasoning agent carries, so pinning the reasoning tier to it would produce agents that answer without ever calling a tool. The deployment script refuses that combination outright.</w:t>
      </w:r>
    </w:p>
    <w:p>
      <w:pPr>
        <w:pStyle w:val="Heading2"/>
        <w:spacing w:after="120" w:before="260"/>
      </w:pPr>
      <w:r>
        <w:t xml:space="preserve">11.2 Inference profiles</w:t>
      </w:r>
    </w:p>
    <w:p>
      <w:pPr>
        <w:spacing w:after="140"/>
        <w:jc w:val="both"/>
      </w:pPr>
      <w:r>
        <w:t xml:space="preserve">Every agent runs with an explicit profile rather than service defaults. The profile is a property of the agent's behavioural class, so it survives a change of tier model; the resolver returns only the parameters the model family accepts, because o-series reasoning models take a reasoning effort and reject sampling parameters, and the gpt-4o family is the reverse.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1150"/>
        <w:gridCol w:w="900"/>
        <w:gridCol w:w="1300"/>
        <w:gridCol w:w="1410"/>
      </w:tblGrid>
      <w:tr>
        <w:trPr>
          <w:tblHeader/>
        </w:trPr>
        <w:tc>
          <w:tcPr>
            <w:tcW w:type="dxa" w:w="1300"/>
            <w:shd w:fill="008D7F" w:val="clear"/>
            <w:tcMar>
              <w:top w:type="dxa" w:w="60"/>
              <w:left w:type="dxa" w:w="100"/>
              <w:bottom w:type="dxa" w:w="60"/>
              <w:right w:type="dxa" w:w="100"/>
            </w:tcMar>
          </w:tcPr>
          <w:p>
            <w:r>
              <w:rPr>
                <w:b/>
                <w:bCs/>
                <w:color w:val="FFFFFF"/>
                <w:sz w:val="19"/>
                <w:szCs w:val="19"/>
              </w:rPr>
              <w:t xml:space="preserve">Class</w:t>
            </w:r>
          </w:p>
        </w:tc>
        <w:tc>
          <w:tcPr>
            <w:tcW w:type="dxa" w:w="3300"/>
            <w:shd w:fill="008D7F" w:val="clear"/>
            <w:tcMar>
              <w:top w:type="dxa" w:w="60"/>
              <w:left w:type="dxa" w:w="100"/>
              <w:bottom w:type="dxa" w:w="60"/>
              <w:right w:type="dxa" w:w="100"/>
            </w:tcMar>
          </w:tcPr>
          <w:p>
            <w:r>
              <w:rPr>
                <w:b/>
                <w:bCs/>
                <w:color w:val="FFFFFF"/>
                <w:sz w:val="19"/>
                <w:szCs w:val="19"/>
              </w:rPr>
              <w:t xml:space="preserve">Agents</w:t>
            </w:r>
          </w:p>
        </w:tc>
        <w:tc>
          <w:tcPr>
            <w:tcW w:type="dxa" w:w="1150"/>
            <w:shd w:fill="008D7F" w:val="clear"/>
            <w:tcMar>
              <w:top w:type="dxa" w:w="60"/>
              <w:left w:type="dxa" w:w="100"/>
              <w:bottom w:type="dxa" w:w="60"/>
              <w:right w:type="dxa" w:w="100"/>
            </w:tcMar>
          </w:tcPr>
          <w:p>
            <w:r>
              <w:rPr>
                <w:b/>
                <w:bCs/>
                <w:color w:val="FFFFFF"/>
                <w:sz w:val="19"/>
                <w:szCs w:val="19"/>
              </w:rPr>
              <w:t xml:space="preserve">Determinism</w:t>
            </w:r>
          </w:p>
        </w:tc>
        <w:tc>
          <w:tcPr>
            <w:tcW w:type="dxa" w:w="900"/>
            <w:shd w:fill="008D7F" w:val="clear"/>
            <w:tcMar>
              <w:top w:type="dxa" w:w="60"/>
              <w:left w:type="dxa" w:w="100"/>
              <w:bottom w:type="dxa" w:w="60"/>
              <w:right w:type="dxa" w:w="100"/>
            </w:tcMar>
          </w:tcPr>
          <w:p>
            <w:r>
              <w:rPr>
                <w:b/>
                <w:bCs/>
                <w:color w:val="FFFFFF"/>
                <w:sz w:val="19"/>
                <w:szCs w:val="19"/>
              </w:rPr>
              <w:t xml:space="preserve">Effort</w:t>
            </w:r>
          </w:p>
        </w:tc>
        <w:tc>
          <w:tcPr>
            <w:tcW w:type="dxa" w:w="1300"/>
            <w:shd w:fill="008D7F" w:val="clear"/>
            <w:tcMar>
              <w:top w:type="dxa" w:w="60"/>
              <w:left w:type="dxa" w:w="100"/>
              <w:bottom w:type="dxa" w:w="60"/>
              <w:right w:type="dxa" w:w="100"/>
            </w:tcMar>
          </w:tcPr>
          <w:p>
            <w:r>
              <w:rPr>
                <w:b/>
                <w:bCs/>
                <w:color w:val="FFFFFF"/>
                <w:sz w:val="19"/>
                <w:szCs w:val="19"/>
              </w:rPr>
              <w:t xml:space="preserve">Output ceiling</w:t>
            </w:r>
          </w:p>
        </w:tc>
        <w:tc>
          <w:tcPr>
            <w:tcW w:type="dxa" w:w="1410"/>
            <w:shd w:fill="008D7F" w:val="clear"/>
            <w:tcMar>
              <w:top w:type="dxa" w:w="60"/>
              <w:left w:type="dxa" w:w="100"/>
              <w:bottom w:type="dxa" w:w="60"/>
              <w:right w:type="dxa" w:w="100"/>
            </w:tcMar>
          </w:tcPr>
          <w:p>
            <w:r>
              <w:rPr>
                <w:b/>
                <w:bCs/>
                <w:color w:val="FFFFFF"/>
                <w:sz w:val="19"/>
                <w:szCs w:val="19"/>
              </w:rPr>
              <w:t xml:space="preserve">Retrieval</w:t>
            </w:r>
          </w:p>
        </w:tc>
      </w:tr>
      <w:tr>
        <w:tc>
          <w:tcPr>
            <w:tcW w:type="dxa" w:w="1300"/>
            <w:tcMar>
              <w:top w:type="dxa" w:w="60"/>
              <w:left w:type="dxa" w:w="100"/>
              <w:bottom w:type="dxa" w:w="60"/>
              <w:right w:type="dxa" w:w="100"/>
            </w:tcMar>
          </w:tcPr>
          <w:p>
            <w:r>
              <w:rPr>
                <w:b w:val="false"/>
                <w:bCs w:val="false"/>
                <w:sz w:val="19"/>
                <w:szCs w:val="19"/>
              </w:rPr>
              <w:t xml:space="preserve">router</w:t>
            </w:r>
          </w:p>
        </w:tc>
        <w:tc>
          <w:tcPr>
            <w:tcW w:type="dxa" w:w="3300"/>
            <w:tcMar>
              <w:top w:type="dxa" w:w="60"/>
              <w:left w:type="dxa" w:w="100"/>
              <w:bottom w:type="dxa" w:w="60"/>
              <w:right w:type="dxa" w:w="100"/>
            </w:tcMar>
          </w:tcPr>
          <w:p>
            <w:r>
              <w:rPr>
                <w:b w:val="false"/>
                <w:bCs w:val="false"/>
                <w:sz w:val="19"/>
                <w:szCs w:val="19"/>
              </w:rPr>
              <w:t xml:space="preserve">control centre, orchestrator</w:t>
            </w:r>
          </w:p>
        </w:tc>
        <w:tc>
          <w:tcPr>
            <w:tcW w:type="dxa" w:w="1150"/>
            <w:tcMar>
              <w:top w:type="dxa" w:w="60"/>
              <w:left w:type="dxa" w:w="100"/>
              <w:bottom w:type="dxa" w:w="60"/>
              <w:right w:type="dxa" w:w="100"/>
            </w:tcMar>
          </w:tcPr>
          <w:p>
            <w:r>
              <w:rPr>
                <w:b w:val="false"/>
                <w:bCs w:val="false"/>
                <w:sz w:val="19"/>
                <w:szCs w:val="19"/>
              </w:rPr>
              <w:t xml:space="preserve">0.0</w:t>
            </w:r>
          </w:p>
        </w:tc>
        <w:tc>
          <w:tcPr>
            <w:tcW w:type="dxa" w:w="900"/>
            <w:tcMar>
              <w:top w:type="dxa" w:w="60"/>
              <w:left w:type="dxa" w:w="100"/>
              <w:bottom w:type="dxa" w:w="60"/>
              <w:right w:type="dxa" w:w="100"/>
            </w:tcMar>
          </w:tcPr>
          <w:p>
            <w:r>
              <w:rPr>
                <w:b w:val="false"/>
                <w:bCs w:val="false"/>
                <w:sz w:val="19"/>
                <w:szCs w:val="19"/>
              </w:rPr>
              <w:t xml:space="preserve">low</w:t>
            </w:r>
          </w:p>
        </w:tc>
        <w:tc>
          <w:tcPr>
            <w:tcW w:type="dxa" w:w="1300"/>
            <w:tcMar>
              <w:top w:type="dxa" w:w="60"/>
              <w:left w:type="dxa" w:w="100"/>
              <w:bottom w:type="dxa" w:w="60"/>
              <w:right w:type="dxa" w:w="100"/>
            </w:tcMar>
          </w:tcPr>
          <w:p>
            <w:r>
              <w:rPr>
                <w:b w:val="false"/>
                <w:bCs w:val="false"/>
                <w:sz w:val="19"/>
                <w:szCs w:val="19"/>
              </w:rPr>
              <w:t xml:space="preserve">512</w:t>
            </w:r>
          </w:p>
        </w:tc>
        <w:tc>
          <w:tcPr>
            <w:tcW w:type="dxa" w:w="1410"/>
            <w:tcMar>
              <w:top w:type="dxa" w:w="60"/>
              <w:left w:type="dxa" w:w="100"/>
              <w:bottom w:type="dxa" w:w="60"/>
              <w:right w:type="dxa" w:w="100"/>
            </w:tcMar>
          </w:tcPr>
          <w:p>
            <w:r>
              <w:rPr>
                <w:b w:val="false"/>
                <w:bCs w:val="false"/>
                <w:sz w:val="19"/>
                <w:szCs w:val="19"/>
              </w:rPr>
              <w:t xml:space="preserve">3 @ 0.5</w:t>
            </w:r>
          </w:p>
        </w:tc>
      </w:tr>
      <w:tr>
        <w:tc>
          <w:tcPr>
            <w:tcW w:type="dxa" w:w="1300"/>
            <w:shd w:fill="E4F3F1" w:val="clear"/>
            <w:tcMar>
              <w:top w:type="dxa" w:w="60"/>
              <w:left w:type="dxa" w:w="100"/>
              <w:bottom w:type="dxa" w:w="60"/>
              <w:right w:type="dxa" w:w="100"/>
            </w:tcMar>
          </w:tcPr>
          <w:p>
            <w:r>
              <w:rPr>
                <w:b w:val="false"/>
                <w:bCs w:val="false"/>
                <w:sz w:val="19"/>
                <w:szCs w:val="19"/>
              </w:rPr>
              <w:t xml:space="preserve">file-transform</w:t>
            </w:r>
          </w:p>
        </w:tc>
        <w:tc>
          <w:tcPr>
            <w:tcW w:type="dxa" w:w="3300"/>
            <w:shd w:fill="E4F3F1" w:val="clear"/>
            <w:tcMar>
              <w:top w:type="dxa" w:w="60"/>
              <w:left w:type="dxa" w:w="100"/>
              <w:bottom w:type="dxa" w:w="60"/>
              <w:right w:type="dxa" w:w="100"/>
            </w:tcMar>
          </w:tcPr>
          <w:p>
            <w:r>
              <w:rPr>
                <w:b w:val="false"/>
                <w:bCs w:val="false"/>
                <w:sz w:val="19"/>
                <w:szCs w:val="19"/>
              </w:rPr>
              <w:t xml:space="preserve">docx, pdf, pptx, xlsx, morning, whisperx</w:t>
            </w:r>
          </w:p>
        </w:tc>
        <w:tc>
          <w:tcPr>
            <w:tcW w:type="dxa" w:w="1150"/>
            <w:shd w:fill="E4F3F1" w:val="clear"/>
            <w:tcMar>
              <w:top w:type="dxa" w:w="60"/>
              <w:left w:type="dxa" w:w="100"/>
              <w:bottom w:type="dxa" w:w="60"/>
              <w:right w:type="dxa" w:w="100"/>
            </w:tcMar>
          </w:tcPr>
          <w:p>
            <w:r>
              <w:rPr>
                <w:b w:val="false"/>
                <w:bCs w:val="false"/>
                <w:sz w:val="19"/>
                <w:szCs w:val="19"/>
              </w:rPr>
              <w:t xml:space="preserve">0.0</w:t>
            </w:r>
          </w:p>
        </w:tc>
        <w:tc>
          <w:tcPr>
            <w:tcW w:type="dxa" w:w="900"/>
            <w:shd w:fill="E4F3F1" w:val="clear"/>
            <w:tcMar>
              <w:top w:type="dxa" w:w="60"/>
              <w:left w:type="dxa" w:w="100"/>
              <w:bottom w:type="dxa" w:w="60"/>
              <w:right w:type="dxa" w:w="100"/>
            </w:tcMar>
          </w:tcPr>
          <w:p>
            <w:r>
              <w:rPr>
                <w:b w:val="false"/>
                <w:bCs w:val="false"/>
                <w:sz w:val="19"/>
                <w:szCs w:val="19"/>
              </w:rPr>
              <w:t xml:space="preserve">low</w:t>
            </w:r>
          </w:p>
        </w:tc>
        <w:tc>
          <w:tcPr>
            <w:tcW w:type="dxa" w:w="1300"/>
            <w:shd w:fill="E4F3F1" w:val="clear"/>
            <w:tcMar>
              <w:top w:type="dxa" w:w="60"/>
              <w:left w:type="dxa" w:w="100"/>
              <w:bottom w:type="dxa" w:w="60"/>
              <w:right w:type="dxa" w:w="100"/>
            </w:tcMar>
          </w:tcPr>
          <w:p>
            <w:r>
              <w:rPr>
                <w:b w:val="false"/>
                <w:bCs w:val="false"/>
                <w:sz w:val="19"/>
                <w:szCs w:val="19"/>
              </w:rPr>
              <w:t xml:space="preserve">4 096</w:t>
            </w:r>
          </w:p>
        </w:tc>
        <w:tc>
          <w:tcPr>
            <w:tcW w:type="dxa" w:w="1410"/>
            <w:shd w:fill="E4F3F1" w:val="clear"/>
            <w:tcMar>
              <w:top w:type="dxa" w:w="60"/>
              <w:left w:type="dxa" w:w="100"/>
              <w:bottom w:type="dxa" w:w="60"/>
              <w:right w:type="dxa" w:w="100"/>
            </w:tcMar>
          </w:tcPr>
          <w:p>
            <w:r>
              <w:rPr>
                <w:b w:val="false"/>
                <w:bCs w:val="false"/>
                <w:sz w:val="19"/>
                <w:szCs w:val="19"/>
              </w:rPr>
              <w:t xml:space="preserve">5 @ 0.5</w:t>
            </w:r>
          </w:p>
        </w:tc>
      </w:tr>
      <w:tr>
        <w:tc>
          <w:tcPr>
            <w:tcW w:type="dxa" w:w="1300"/>
            <w:tcMar>
              <w:top w:type="dxa" w:w="60"/>
              <w:left w:type="dxa" w:w="100"/>
              <w:bottom w:type="dxa" w:w="60"/>
              <w:right w:type="dxa" w:w="100"/>
            </w:tcMar>
          </w:tcPr>
          <w:p>
            <w:r>
              <w:rPr>
                <w:b w:val="false"/>
                <w:bCs w:val="false"/>
                <w:sz w:val="19"/>
                <w:szCs w:val="19"/>
              </w:rPr>
              <w:t xml:space="preserve">report</w:t>
            </w:r>
          </w:p>
        </w:tc>
        <w:tc>
          <w:tcPr>
            <w:tcW w:type="dxa" w:w="3300"/>
            <w:tcMar>
              <w:top w:type="dxa" w:w="60"/>
              <w:left w:type="dxa" w:w="100"/>
              <w:bottom w:type="dxa" w:w="60"/>
              <w:right w:type="dxa" w:w="100"/>
            </w:tcMar>
          </w:tcPr>
          <w:p>
            <w:r>
              <w:rPr>
                <w:b w:val="false"/>
                <w:bCs w:val="false"/>
                <w:sz w:val="19"/>
                <w:szCs w:val="19"/>
              </w:rPr>
              <w:t xml:space="preserve">dpia, ciso-reporting, exec summary, slide generators, form B, template manager</w:t>
            </w:r>
          </w:p>
        </w:tc>
        <w:tc>
          <w:tcPr>
            <w:tcW w:type="dxa" w:w="1150"/>
            <w:tcMar>
              <w:top w:type="dxa" w:w="60"/>
              <w:left w:type="dxa" w:w="100"/>
              <w:bottom w:type="dxa" w:w="60"/>
              <w:right w:type="dxa" w:w="100"/>
            </w:tcMar>
          </w:tcPr>
          <w:p>
            <w:r>
              <w:rPr>
                <w:b w:val="false"/>
                <w:bCs w:val="false"/>
                <w:sz w:val="19"/>
                <w:szCs w:val="19"/>
              </w:rPr>
              <w:t xml:space="preserve">0.1</w:t>
            </w:r>
          </w:p>
        </w:tc>
        <w:tc>
          <w:tcPr>
            <w:tcW w:type="dxa" w:w="900"/>
            <w:tcMar>
              <w:top w:type="dxa" w:w="60"/>
              <w:left w:type="dxa" w:w="100"/>
              <w:bottom w:type="dxa" w:w="60"/>
              <w:right w:type="dxa" w:w="100"/>
            </w:tcMar>
          </w:tcPr>
          <w:p>
            <w:r>
              <w:rPr>
                <w:b w:val="false"/>
                <w:bCs w:val="false"/>
                <w:sz w:val="19"/>
                <w:szCs w:val="19"/>
              </w:rPr>
              <w:t xml:space="preserve">medium</w:t>
            </w:r>
          </w:p>
        </w:tc>
        <w:tc>
          <w:tcPr>
            <w:tcW w:type="dxa" w:w="1300"/>
            <w:tcMar>
              <w:top w:type="dxa" w:w="60"/>
              <w:left w:type="dxa" w:w="100"/>
              <w:bottom w:type="dxa" w:w="60"/>
              <w:right w:type="dxa" w:w="100"/>
            </w:tcMar>
          </w:tcPr>
          <w:p>
            <w:r>
              <w:rPr>
                <w:b w:val="false"/>
                <w:bCs w:val="false"/>
                <w:sz w:val="19"/>
                <w:szCs w:val="19"/>
              </w:rPr>
              <w:t xml:space="preserve">16 384</w:t>
            </w:r>
          </w:p>
        </w:tc>
        <w:tc>
          <w:tcPr>
            <w:tcW w:type="dxa" w:w="1410"/>
            <w:tcMar>
              <w:top w:type="dxa" w:w="60"/>
              <w:left w:type="dxa" w:w="100"/>
              <w:bottom w:type="dxa" w:w="60"/>
              <w:right w:type="dxa" w:w="100"/>
            </w:tcMar>
          </w:tcPr>
          <w:p>
            <w:r>
              <w:rPr>
                <w:b w:val="false"/>
                <w:bCs w:val="false"/>
                <w:sz w:val="19"/>
                <w:szCs w:val="19"/>
              </w:rPr>
              <w:t xml:space="preserve">8 @ 0.45</w:t>
            </w:r>
          </w:p>
        </w:tc>
      </w:tr>
      <w:tr>
        <w:tc>
          <w:tcPr>
            <w:tcW w:type="dxa" w:w="1300"/>
            <w:shd w:fill="E4F3F1" w:val="clear"/>
            <w:tcMar>
              <w:top w:type="dxa" w:w="60"/>
              <w:left w:type="dxa" w:w="100"/>
              <w:bottom w:type="dxa" w:w="60"/>
              <w:right w:type="dxa" w:w="100"/>
            </w:tcMar>
          </w:tcPr>
          <w:p>
            <w:r>
              <w:rPr>
                <w:b w:val="false"/>
                <w:bCs w:val="false"/>
                <w:sz w:val="19"/>
                <w:szCs w:val="19"/>
              </w:rPr>
              <w:t xml:space="preserve">analysis</w:t>
            </w:r>
          </w:p>
        </w:tc>
        <w:tc>
          <w:tcPr>
            <w:tcW w:type="dxa" w:w="3300"/>
            <w:shd w:fill="E4F3F1" w:val="clear"/>
            <w:tcMar>
              <w:top w:type="dxa" w:w="60"/>
              <w:left w:type="dxa" w:w="100"/>
              <w:bottom w:type="dxa" w:w="60"/>
              <w:right w:type="dxa" w:w="100"/>
            </w:tcMar>
          </w:tcPr>
          <w:p>
            <w:r>
              <w:rPr>
                <w:b w:val="false"/>
                <w:bCs w:val="false"/>
                <w:sz w:val="19"/>
                <w:szCs w:val="19"/>
              </w:rPr>
              <w:t xml:space="preserve">deepsearch ×2, ciso-global, tpa/soc/pentest analyzers, pdf coverage, tpsrca</w:t>
            </w:r>
          </w:p>
        </w:tc>
        <w:tc>
          <w:tcPr>
            <w:tcW w:type="dxa" w:w="1150"/>
            <w:shd w:fill="E4F3F1" w:val="clear"/>
            <w:tcMar>
              <w:top w:type="dxa" w:w="60"/>
              <w:left w:type="dxa" w:w="100"/>
              <w:bottom w:type="dxa" w:w="60"/>
              <w:right w:type="dxa" w:w="100"/>
            </w:tcMar>
          </w:tcPr>
          <w:p>
            <w:r>
              <w:rPr>
                <w:b w:val="false"/>
                <w:bCs w:val="false"/>
                <w:sz w:val="19"/>
                <w:szCs w:val="19"/>
              </w:rPr>
              <w:t xml:space="preserve">0.0</w:t>
            </w:r>
          </w:p>
        </w:tc>
        <w:tc>
          <w:tcPr>
            <w:tcW w:type="dxa" w:w="900"/>
            <w:shd w:fill="E4F3F1" w:val="clear"/>
            <w:tcMar>
              <w:top w:type="dxa" w:w="60"/>
              <w:left w:type="dxa" w:w="100"/>
              <w:bottom w:type="dxa" w:w="60"/>
              <w:right w:type="dxa" w:w="100"/>
            </w:tcMar>
          </w:tcPr>
          <w:p>
            <w:r>
              <w:rPr>
                <w:b w:val="false"/>
                <w:bCs w:val="false"/>
                <w:sz w:val="19"/>
                <w:szCs w:val="19"/>
              </w:rPr>
              <w:t xml:space="preserve">high</w:t>
            </w:r>
          </w:p>
        </w:tc>
        <w:tc>
          <w:tcPr>
            <w:tcW w:type="dxa" w:w="1300"/>
            <w:shd w:fill="E4F3F1" w:val="clear"/>
            <w:tcMar>
              <w:top w:type="dxa" w:w="60"/>
              <w:left w:type="dxa" w:w="100"/>
              <w:bottom w:type="dxa" w:w="60"/>
              <w:right w:type="dxa" w:w="100"/>
            </w:tcMar>
          </w:tcPr>
          <w:p>
            <w:r>
              <w:rPr>
                <w:b w:val="false"/>
                <w:bCs w:val="false"/>
                <w:sz w:val="19"/>
                <w:szCs w:val="19"/>
              </w:rPr>
              <w:t xml:space="preserve">32 768</w:t>
            </w:r>
          </w:p>
        </w:tc>
        <w:tc>
          <w:tcPr>
            <w:tcW w:type="dxa" w:w="1410"/>
            <w:shd w:fill="E4F3F1" w:val="clear"/>
            <w:tcMar>
              <w:top w:type="dxa" w:w="60"/>
              <w:left w:type="dxa" w:w="100"/>
              <w:bottom w:type="dxa" w:w="60"/>
              <w:right w:type="dxa" w:w="100"/>
            </w:tcMar>
          </w:tcPr>
          <w:p>
            <w:r>
              <w:rPr>
                <w:b w:val="false"/>
                <w:bCs w:val="false"/>
                <w:sz w:val="19"/>
                <w:szCs w:val="19"/>
              </w:rPr>
              <w:t xml:space="preserve">12 @ 0.4</w:t>
            </w:r>
          </w:p>
        </w:tc>
      </w:tr>
      <w:tr>
        <w:tc>
          <w:tcPr>
            <w:tcW w:type="dxa" w:w="1300"/>
            <w:tcMar>
              <w:top w:type="dxa" w:w="60"/>
              <w:left w:type="dxa" w:w="100"/>
              <w:bottom w:type="dxa" w:w="60"/>
              <w:right w:type="dxa" w:w="100"/>
            </w:tcMar>
          </w:tcPr>
          <w:p>
            <w:r>
              <w:rPr>
                <w:b w:val="false"/>
                <w:bCs w:val="false"/>
                <w:sz w:val="19"/>
                <w:szCs w:val="19"/>
              </w:rPr>
              <w:t xml:space="preserve">advisory</w:t>
            </w:r>
          </w:p>
        </w:tc>
        <w:tc>
          <w:tcPr>
            <w:tcW w:type="dxa" w:w="3300"/>
            <w:tcMar>
              <w:top w:type="dxa" w:w="60"/>
              <w:left w:type="dxa" w:w="100"/>
              <w:bottom w:type="dxa" w:w="60"/>
              <w:right w:type="dxa" w:w="100"/>
            </w:tcMar>
          </w:tcPr>
          <w:p>
            <w:r>
              <w:rPr>
                <w:b w:val="false"/>
                <w:bCs w:val="false"/>
                <w:sz w:val="19"/>
                <w:szCs w:val="19"/>
              </w:rPr>
              <w:t xml:space="preserve">cyber-forum, advisor, iso27001, iso42001, dora, nis2, eu-ai-act, learn</w:t>
            </w:r>
          </w:p>
        </w:tc>
        <w:tc>
          <w:tcPr>
            <w:tcW w:type="dxa" w:w="1150"/>
            <w:tcMar>
              <w:top w:type="dxa" w:w="60"/>
              <w:left w:type="dxa" w:w="100"/>
              <w:bottom w:type="dxa" w:w="60"/>
              <w:right w:type="dxa" w:w="100"/>
            </w:tcMar>
          </w:tcPr>
          <w:p>
            <w:r>
              <w:rPr>
                <w:b w:val="false"/>
                <w:bCs w:val="false"/>
                <w:sz w:val="19"/>
                <w:szCs w:val="19"/>
              </w:rPr>
              <w:t xml:space="preserve">0.2</w:t>
            </w:r>
          </w:p>
        </w:tc>
        <w:tc>
          <w:tcPr>
            <w:tcW w:type="dxa" w:w="900"/>
            <w:tcMar>
              <w:top w:type="dxa" w:w="60"/>
              <w:left w:type="dxa" w:w="100"/>
              <w:bottom w:type="dxa" w:w="60"/>
              <w:right w:type="dxa" w:w="100"/>
            </w:tcMar>
          </w:tcPr>
          <w:p>
            <w:r>
              <w:rPr>
                <w:b w:val="false"/>
                <w:bCs w:val="false"/>
                <w:sz w:val="19"/>
                <w:szCs w:val="19"/>
              </w:rPr>
              <w:t xml:space="preserve">high</w:t>
            </w:r>
          </w:p>
        </w:tc>
        <w:tc>
          <w:tcPr>
            <w:tcW w:type="dxa" w:w="1300"/>
            <w:tcMar>
              <w:top w:type="dxa" w:w="60"/>
              <w:left w:type="dxa" w:w="100"/>
              <w:bottom w:type="dxa" w:w="60"/>
              <w:right w:type="dxa" w:w="100"/>
            </w:tcMar>
          </w:tcPr>
          <w:p>
            <w:r>
              <w:rPr>
                <w:b w:val="false"/>
                <w:bCs w:val="false"/>
                <w:sz w:val="19"/>
                <w:szCs w:val="19"/>
              </w:rPr>
              <w:t xml:space="preserve">32 768</w:t>
            </w:r>
          </w:p>
        </w:tc>
        <w:tc>
          <w:tcPr>
            <w:tcW w:type="dxa" w:w="1410"/>
            <w:tcMar>
              <w:top w:type="dxa" w:w="60"/>
              <w:left w:type="dxa" w:w="100"/>
              <w:bottom w:type="dxa" w:w="60"/>
              <w:right w:type="dxa" w:w="100"/>
            </w:tcMar>
          </w:tcPr>
          <w:p>
            <w:r>
              <w:rPr>
                <w:b w:val="false"/>
                <w:bCs w:val="false"/>
                <w:sz w:val="19"/>
                <w:szCs w:val="19"/>
              </w:rPr>
              <w:t xml:space="preserve">12 @ 0.4</w:t>
            </w:r>
          </w:p>
        </w:tc>
      </w:tr>
      <w:tr>
        <w:tc>
          <w:tcPr>
            <w:tcW w:type="dxa" w:w="1300"/>
            <w:shd w:fill="E4F3F1" w:val="clear"/>
            <w:tcMar>
              <w:top w:type="dxa" w:w="60"/>
              <w:left w:type="dxa" w:w="100"/>
              <w:bottom w:type="dxa" w:w="60"/>
              <w:right w:type="dxa" w:w="100"/>
            </w:tcMar>
          </w:tcPr>
          <w:p>
            <w:r>
              <w:rPr>
                <w:b w:val="false"/>
                <w:bCs w:val="false"/>
                <w:sz w:val="19"/>
                <w:szCs w:val="19"/>
              </w:rPr>
              <w:t xml:space="preserve">verifier</w:t>
            </w:r>
          </w:p>
        </w:tc>
        <w:tc>
          <w:tcPr>
            <w:tcW w:type="dxa" w:w="3300"/>
            <w:shd w:fill="E4F3F1" w:val="clear"/>
            <w:tcMar>
              <w:top w:type="dxa" w:w="60"/>
              <w:left w:type="dxa" w:w="100"/>
              <w:bottom w:type="dxa" w:w="60"/>
              <w:right w:type="dxa" w:w="100"/>
            </w:tcMar>
          </w:tcPr>
          <w:p>
            <w:r>
              <w:rPr>
                <w:b w:val="false"/>
                <w:bCs w:val="false"/>
                <w:sz w:val="19"/>
                <w:szCs w:val="19"/>
              </w:rPr>
              <w:t xml:space="preserve">output-verifier</w:t>
            </w:r>
          </w:p>
        </w:tc>
        <w:tc>
          <w:tcPr>
            <w:tcW w:type="dxa" w:w="1150"/>
            <w:shd w:fill="E4F3F1" w:val="clear"/>
            <w:tcMar>
              <w:top w:type="dxa" w:w="60"/>
              <w:left w:type="dxa" w:w="100"/>
              <w:bottom w:type="dxa" w:w="60"/>
              <w:right w:type="dxa" w:w="100"/>
            </w:tcMar>
          </w:tcPr>
          <w:p>
            <w:r>
              <w:rPr>
                <w:b w:val="false"/>
                <w:bCs w:val="false"/>
                <w:sz w:val="19"/>
                <w:szCs w:val="19"/>
              </w:rPr>
              <w:t xml:space="preserve">0.0</w:t>
            </w:r>
          </w:p>
        </w:tc>
        <w:tc>
          <w:tcPr>
            <w:tcW w:type="dxa" w:w="900"/>
            <w:shd w:fill="E4F3F1" w:val="clear"/>
            <w:tcMar>
              <w:top w:type="dxa" w:w="60"/>
              <w:left w:type="dxa" w:w="100"/>
              <w:bottom w:type="dxa" w:w="60"/>
              <w:right w:type="dxa" w:w="100"/>
            </w:tcMar>
          </w:tcPr>
          <w:p>
            <w:r>
              <w:rPr>
                <w:b w:val="false"/>
                <w:bCs w:val="false"/>
                <w:sz w:val="19"/>
                <w:szCs w:val="19"/>
              </w:rPr>
              <w:t xml:space="preserve">medium</w:t>
            </w:r>
          </w:p>
        </w:tc>
        <w:tc>
          <w:tcPr>
            <w:tcW w:type="dxa" w:w="1300"/>
            <w:shd w:fill="E4F3F1" w:val="clear"/>
            <w:tcMar>
              <w:top w:type="dxa" w:w="60"/>
              <w:left w:type="dxa" w:w="100"/>
              <w:bottom w:type="dxa" w:w="60"/>
              <w:right w:type="dxa" w:w="100"/>
            </w:tcMar>
          </w:tcPr>
          <w:p>
            <w:r>
              <w:rPr>
                <w:b w:val="false"/>
                <w:bCs w:val="false"/>
                <w:sz w:val="19"/>
                <w:szCs w:val="19"/>
              </w:rPr>
              <w:t xml:space="preserve">2 048</w:t>
            </w:r>
          </w:p>
        </w:tc>
        <w:tc>
          <w:tcPr>
            <w:tcW w:type="dxa" w:w="1410"/>
            <w:shd w:fill="E4F3F1" w:val="clear"/>
            <w:tcMar>
              <w:top w:type="dxa" w:w="60"/>
              <w:left w:type="dxa" w:w="100"/>
              <w:bottom w:type="dxa" w:w="60"/>
              <w:right w:type="dxa" w:w="100"/>
            </w:tcMar>
          </w:tcPr>
          <w:p>
            <w:r>
              <w:rPr>
                <w:b w:val="false"/>
                <w:bCs w:val="false"/>
                <w:sz w:val="19"/>
                <w:szCs w:val="19"/>
              </w:rPr>
              <w:t xml:space="preserve">6 @ 0.5</w:t>
            </w:r>
          </w:p>
        </w:tc>
      </w:tr>
    </w:tbl>
    <w:p>
      <w:pPr>
        <w:spacing w:after="140"/>
        <w:jc w:val="both"/>
      </w:pPr>
      <w:r>
        <w:t xml:space="preserve">Anything whose output is diffed, scored or compared samples at zero, so the same evidence yields the same score and a reviewer can reproduce it. The output ceiling is a runaway guard sized from each deliverable's JSON schema — a truncated response is a verifier FAIL, never a shipped deliverable, so the remedy is to raise the ceiling and investigate the prompt, never to trim the schema.</w:t>
      </w:r>
    </w:p>
    <w:p>
      <w:pPr>
        <w:spacing w:after="140"/>
        <w:jc w:val="both"/>
      </w:pPr>
      <w:r>
        <w:t xml:space="preserve">Instructions are also a cached prefix: they carry the persona and the charter only, never a date, run id or supplier name, so the cache survives between calls. A CI test enforces it and a KQL query measures the hit rate.</w:t>
      </w:r>
    </w:p>
    <w:p>
      <w:pPr>
        <w:pStyle w:val="Heading1"/>
        <w:spacing w:after="160" w:before="360"/>
      </w:pPr>
      <w:r>
        <w:t xml:space="preserve">12. Agents and the Conversion Pipeline</w:t>
      </w:r>
    </w:p>
    <w:p>
      <w:pPr>
        <w:pStyle w:val="Heading2"/>
        <w:spacing w:after="120" w:before="260"/>
      </w:pPr>
      <w:r>
        <w:t xml:space="preserve">12.1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700"/>
        <w:gridCol w:w="5760"/>
      </w:tblGrid>
      <w:tr>
        <w:trPr>
          <w:tblHeader/>
        </w:trPr>
        <w:tc>
          <w:tcPr>
            <w:tcW w:type="dxa" w:w="2900"/>
            <w:shd w:fill="008D7F" w:val="clear"/>
            <w:tcMar>
              <w:top w:type="dxa" w:w="60"/>
              <w:left w:type="dxa" w:w="100"/>
              <w:bottom w:type="dxa" w:w="60"/>
              <w:right w:type="dxa" w:w="100"/>
            </w:tcMar>
          </w:tcPr>
          <w:p>
            <w:r>
              <w:rPr>
                <w:b/>
                <w:bCs/>
                <w:color w:val="FFFFFF"/>
                <w:sz w:val="19"/>
                <w:szCs w:val="19"/>
              </w:rPr>
              <w:t xml:space="preserve">Group</w:t>
            </w:r>
          </w:p>
        </w:tc>
        <w:tc>
          <w:tcPr>
            <w:tcW w:type="dxa" w:w="700"/>
            <w:shd w:fill="008D7F" w:val="clear"/>
            <w:tcMar>
              <w:top w:type="dxa" w:w="60"/>
              <w:left w:type="dxa" w:w="100"/>
              <w:bottom w:type="dxa" w:w="60"/>
              <w:right w:type="dxa" w:w="100"/>
            </w:tcMar>
          </w:tcPr>
          <w:p>
            <w:r>
              <w:rPr>
                <w:b/>
                <w:bCs/>
                <w:color w:val="FFFFFF"/>
                <w:sz w:val="19"/>
                <w:szCs w:val="19"/>
              </w:rPr>
              <w:t xml:space="preserve">Count</w:t>
            </w:r>
          </w:p>
        </w:tc>
        <w:tc>
          <w:tcPr>
            <w:tcW w:type="dxa" w:w="5760"/>
            <w:shd w:fill="008D7F" w:val="clear"/>
            <w:tcMar>
              <w:top w:type="dxa" w:w="60"/>
              <w:left w:type="dxa" w:w="100"/>
              <w:bottom w:type="dxa" w:w="60"/>
              <w:right w:type="dxa" w:w="100"/>
            </w:tcMar>
          </w:tcPr>
          <w:p>
            <w:r>
              <w:rPr>
                <w:b/>
                <w:bCs/>
                <w:color w:val="FFFFFF"/>
                <w:sz w:val="19"/>
                <w:szCs w:val="19"/>
              </w:rPr>
              <w:t xml:space="preserve">Examples</w:t>
            </w:r>
          </w:p>
        </w:tc>
      </w:tr>
      <w:tr>
        <w:tc>
          <w:tcPr>
            <w:tcW w:type="dxa" w:w="2900"/>
            <w:tcMar>
              <w:top w:type="dxa" w:w="60"/>
              <w:left w:type="dxa" w:w="100"/>
              <w:bottom w:type="dxa" w:w="60"/>
              <w:right w:type="dxa" w:w="100"/>
            </w:tcMar>
          </w:tcPr>
          <w:p>
            <w:r>
              <w:rPr>
                <w:b w:val="false"/>
                <w:bCs w:val="false"/>
                <w:sz w:val="19"/>
                <w:szCs w:val="19"/>
              </w:rPr>
              <w:t xml:space="preserve">Converted GRC/TPRM specialists</w:t>
            </w:r>
          </w:p>
        </w:tc>
        <w:tc>
          <w:tcPr>
            <w:tcW w:type="dxa" w:w="700"/>
            <w:tcMar>
              <w:top w:type="dxa" w:w="60"/>
              <w:left w:type="dxa" w:w="100"/>
              <w:bottom w:type="dxa" w:w="60"/>
              <w:right w:type="dxa" w:w="100"/>
            </w:tcMar>
          </w:tcPr>
          <w:p>
            <w:r>
              <w:rPr>
                <w:b w:val="false"/>
                <w:bCs w:val="false"/>
                <w:sz w:val="19"/>
                <w:szCs w:val="19"/>
              </w:rPr>
              <w:t xml:space="preserve">18</w:t>
            </w:r>
          </w:p>
        </w:tc>
        <w:tc>
          <w:tcPr>
            <w:tcW w:type="dxa" w:w="5760"/>
            <w:tcMar>
              <w:top w:type="dxa" w:w="60"/>
              <w:left w:type="dxa" w:w="100"/>
              <w:bottom w:type="dxa" w:w="60"/>
              <w:right w:type="dxa" w:w="100"/>
            </w:tcMar>
          </w:tcPr>
          <w:p>
            <w:r>
              <w:rPr>
                <w:b w:val="false"/>
                <w:bCs w:val="false"/>
                <w:sz w:val="19"/>
                <w:szCs w:val="19"/>
              </w:rPr>
              <w:t xml:space="preserve">deepsearch-protocol, dpia, ciso-reporting, ciso-executive-summary, onetrust-form-b, cyber-forum, iso27001, iso42001, dora, nis2, eu-ai-act, tpsrca-assessment-engine, pdf-full-coverage-analyzer, tprm-slide-generator, enx-tprm-control-center</w:t>
            </w:r>
          </w:p>
        </w:tc>
      </w:tr>
      <w:tr>
        <w:tc>
          <w:tcPr>
            <w:tcW w:type="dxa" w:w="2900"/>
            <w:shd w:fill="E4F3F1" w:val="clear"/>
            <w:tcMar>
              <w:top w:type="dxa" w:w="60"/>
              <w:left w:type="dxa" w:w="100"/>
              <w:bottom w:type="dxa" w:w="60"/>
              <w:right w:type="dxa" w:w="100"/>
            </w:tcMar>
          </w:tcPr>
          <w:p>
            <w:r>
              <w:rPr>
                <w:b w:val="false"/>
                <w:bCs w:val="false"/>
                <w:sz w:val="19"/>
                <w:szCs w:val="19"/>
              </w:rPr>
              <w:t xml:space="preserve">Document toolkits</w:t>
            </w:r>
          </w:p>
        </w:tc>
        <w:tc>
          <w:tcPr>
            <w:tcW w:type="dxa" w:w="700"/>
            <w:shd w:fill="E4F3F1" w:val="clear"/>
            <w:tcMar>
              <w:top w:type="dxa" w:w="60"/>
              <w:left w:type="dxa" w:w="100"/>
              <w:bottom w:type="dxa" w:w="60"/>
              <w:right w:type="dxa" w:w="100"/>
            </w:tcMar>
          </w:tcPr>
          <w:p>
            <w:r>
              <w:rPr>
                <w:b w:val="false"/>
                <w:bCs w:val="false"/>
                <w:sz w:val="19"/>
                <w:szCs w:val="19"/>
              </w:rPr>
              <w:t xml:space="preserve">4</w:t>
            </w:r>
          </w:p>
        </w:tc>
        <w:tc>
          <w:tcPr>
            <w:tcW w:type="dxa" w:w="5760"/>
            <w:shd w:fill="E4F3F1" w:val="clear"/>
            <w:tcMar>
              <w:top w:type="dxa" w:w="60"/>
              <w:left w:type="dxa" w:w="100"/>
              <w:bottom w:type="dxa" w:w="60"/>
              <w:right w:type="dxa" w:w="100"/>
            </w:tcMar>
          </w:tcPr>
          <w:p>
            <w:r>
              <w:rPr>
                <w:b w:val="false"/>
                <w:bCs w:val="false"/>
                <w:sz w:val="19"/>
                <w:szCs w:val="19"/>
              </w:rPr>
              <w:t xml:space="preserve">docx, pdf, pptx, xlsx — code-interpreter production agents</w:t>
            </w:r>
          </w:p>
        </w:tc>
      </w:tr>
      <w:tr>
        <w:tc>
          <w:tcPr>
            <w:tcW w:type="dxa" w:w="2900"/>
            <w:tcMar>
              <w:top w:type="dxa" w:w="60"/>
              <w:left w:type="dxa" w:w="100"/>
              <w:bottom w:type="dxa" w:w="60"/>
              <w:right w:type="dxa" w:w="100"/>
            </w:tcMar>
          </w:tcPr>
          <w:p>
            <w:r>
              <w:rPr>
                <w:b w:val="false"/>
                <w:bCs w:val="false"/>
                <w:sz w:val="19"/>
                <w:szCs w:val="19"/>
              </w:rPr>
              <w:t xml:space="preserve">Delivery agents (requirements d, d2, e, f, j)</w:t>
            </w:r>
          </w:p>
        </w:tc>
        <w:tc>
          <w:tcPr>
            <w:tcW w:type="dxa" w:w="700"/>
            <w:tcMar>
              <w:top w:type="dxa" w:w="60"/>
              <w:left w:type="dxa" w:w="100"/>
              <w:bottom w:type="dxa" w:w="60"/>
              <w:right w:type="dxa" w:w="100"/>
            </w:tcMar>
          </w:tcPr>
          <w:p>
            <w:r>
              <w:rPr>
                <w:b w:val="false"/>
                <w:bCs w:val="false"/>
                <w:sz w:val="19"/>
                <w:szCs w:val="19"/>
              </w:rPr>
              <w:t xml:space="preserve">5</w:t>
            </w:r>
          </w:p>
        </w:tc>
        <w:tc>
          <w:tcPr>
            <w:tcW w:type="dxa" w:w="5760"/>
            <w:tcMar>
              <w:top w:type="dxa" w:w="60"/>
              <w:left w:type="dxa" w:w="100"/>
              <w:bottom w:type="dxa" w:w="60"/>
              <w:right w:type="dxa" w:w="100"/>
            </w:tcMar>
          </w:tcPr>
          <w:p>
            <w:r>
              <w:rPr>
                <w:b w:val="false"/>
                <w:bCs w:val="false"/>
                <w:sz w:val="19"/>
                <w:szCs w:val="19"/>
              </w:rPr>
              <w:t xml:space="preserve">ciso-global-report, tpa-evidence-analyzer, soc-report-analyzer, pentest-report-analyzer, template-manager</w:t>
            </w:r>
          </w:p>
        </w:tc>
      </w:tr>
      <w:tr>
        <w:tc>
          <w:tcPr>
            <w:tcW w:type="dxa" w:w="2900"/>
            <w:shd w:fill="E4F3F1" w:val="clear"/>
            <w:tcMar>
              <w:top w:type="dxa" w:w="60"/>
              <w:left w:type="dxa" w:w="100"/>
              <w:bottom w:type="dxa" w:w="60"/>
              <w:right w:type="dxa" w:w="100"/>
            </w:tcMar>
          </w:tcPr>
          <w:p>
            <w:r>
              <w:rPr>
                <w:b w:val="false"/>
                <w:bCs w:val="false"/>
                <w:sz w:val="19"/>
                <w:szCs w:val="19"/>
              </w:rPr>
              <w:t xml:space="preserve">Platform agents</w:t>
            </w:r>
          </w:p>
        </w:tc>
        <w:tc>
          <w:tcPr>
            <w:tcW w:type="dxa" w:w="700"/>
            <w:shd w:fill="E4F3F1" w:val="clear"/>
            <w:tcMar>
              <w:top w:type="dxa" w:w="60"/>
              <w:left w:type="dxa" w:w="100"/>
              <w:bottom w:type="dxa" w:w="60"/>
              <w:right w:type="dxa" w:w="100"/>
            </w:tcMar>
          </w:tcPr>
          <w:p>
            <w:r>
              <w:rPr>
                <w:b w:val="false"/>
                <w:bCs w:val="false"/>
                <w:sz w:val="19"/>
                <w:szCs w:val="19"/>
              </w:rPr>
              <w:t xml:space="preserve">3</w:t>
            </w:r>
          </w:p>
        </w:tc>
        <w:tc>
          <w:tcPr>
            <w:tcW w:type="dxa" w:w="5760"/>
            <w:shd w:fill="E4F3F1" w:val="clear"/>
            <w:tcMar>
              <w:top w:type="dxa" w:w="60"/>
              <w:left w:type="dxa" w:w="100"/>
              <w:bottom w:type="dxa" w:w="60"/>
              <w:right w:type="dxa" w:w="100"/>
            </w:tcMar>
          </w:tcPr>
          <w:p>
            <w:r>
              <w:rPr>
                <w:b w:val="false"/>
                <w:bCs w:val="false"/>
                <w:sz w:val="19"/>
                <w:szCs w:val="19"/>
              </w:rPr>
              <w:t xml:space="preserve">infosec-assurance-orchestrator (routing and decomposition), infosec-assurance-advisor (reasoning generalist with combined knowledge and durable memory), output-verifier</w:t>
            </w:r>
          </w:p>
        </w:tc>
      </w:tr>
      <w:tr>
        <w:tc>
          <w:tcPr>
            <w:tcW w:type="dxa" w:w="2900"/>
            <w:tcMar>
              <w:top w:type="dxa" w:w="60"/>
              <w:left w:type="dxa" w:w="100"/>
              <w:bottom w:type="dxa" w:w="60"/>
              <w:right w:type="dxa" w:w="100"/>
            </w:tcMar>
          </w:tcPr>
          <w:p>
            <w:r>
              <w:rPr>
                <w:b w:val="false"/>
                <w:bCs w:val="false"/>
                <w:sz w:val="19"/>
                <w:szCs w:val="19"/>
              </w:rPr>
              <w:t xml:space="preserve">TPSRCA sub-agents</w:t>
            </w:r>
          </w:p>
        </w:tc>
        <w:tc>
          <w:tcPr>
            <w:tcW w:type="dxa" w:w="700"/>
            <w:tcMar>
              <w:top w:type="dxa" w:w="60"/>
              <w:left w:type="dxa" w:w="100"/>
              <w:bottom w:type="dxa" w:w="60"/>
              <w:right w:type="dxa" w:w="100"/>
            </w:tcMar>
          </w:tcPr>
          <w:p>
            <w:r>
              <w:rPr>
                <w:b w:val="false"/>
                <w:bCs w:val="false"/>
                <w:sz w:val="19"/>
                <w:szCs w:val="19"/>
              </w:rPr>
              <w:t xml:space="preserve">2</w:t>
            </w:r>
          </w:p>
        </w:tc>
        <w:tc>
          <w:tcPr>
            <w:tcW w:type="dxa" w:w="5760"/>
            <w:tcMar>
              <w:top w:type="dxa" w:w="60"/>
              <w:left w:type="dxa" w:w="100"/>
              <w:bottom w:type="dxa" w:w="60"/>
              <w:right w:type="dxa" w:w="100"/>
            </w:tcMar>
          </w:tcPr>
          <w:p>
            <w:r>
              <w:rPr>
                <w:b w:val="false"/>
                <w:bCs w:val="false"/>
                <w:sz w:val="19"/>
                <w:szCs w:val="19"/>
              </w:rPr>
              <w:t xml:space="preserve">tpsrca-calc (deterministic scoring, carries calculation_engine.py) and tpsrca-analysis</w:t>
            </w:r>
          </w:p>
        </w:tc>
      </w:tr>
    </w:tbl>
    <w:p>
      <w:pPr>
        <w:spacing w:after="140"/>
        <w:jc w:val="both"/>
      </w:pPr>
      <w:r>
        <w:t xml:space="preserve">Thirty-six agents are registered with their tier, tools and guardrail policy in convertion/integrations/registry.json; thirty-eight carry an inference-profile class. Hand-off between them is A2A / Agent Framework — Connected Agents no longer exist in the service — and every deliverable hand-off passes through the verifier.</w:t>
      </w:r>
    </w:p>
    <w:p>
      <w:pPr>
        <w:pStyle w:val="Heading2"/>
        <w:spacing w:after="120" w:before="260"/>
      </w:pPr>
      <w:r>
        <w:t xml:space="preserve">12.2 Conversion and fidelity</w:t>
      </w:r>
    </w:p>
    <w:p>
      <w:pPr>
        <w:spacing w:after="140"/>
        <w:jc w:val="both"/>
      </w:pPr>
      <w:r>
        <w:t xml:space="preserve">An agent is not authored here; it is converted. SKILL.md becomes the instructions, references become the vector store, scripts and assets become code-interpreter files, and the persona, overlays and approval gate are prepended. The verification step then hashes every instruction, template and generator against the export: a definition that drifted cannot reach the tenant.</w:t>
      </w:r>
    </w:p>
    <w:p>
      <w:pPr>
        <w:spacing w:after="60" w:before="20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67050"/>
                    </a:xfrm>
                    <a:prstGeom prst="rect">
                      <a:avLst/>
                    </a:prstGeom>
                  </pic:spPr>
                </pic:pic>
              </a:graphicData>
            </a:graphic>
          </wp:inline>
        </w:drawing>
      </w:r>
    </w:p>
    <w:p>
      <w:pPr>
        <w:spacing w:after="240"/>
        <w:jc w:val="center"/>
      </w:pPr>
      <w:r>
        <w:rPr>
          <w:i/>
          <w:iCs/>
          <w:color w:val="5B6B69"/>
          <w:sz w:val="18"/>
          <w:szCs w:val="18"/>
        </w:rPr>
        <w:t xml:space="preserve">Figure 4 — The gated conversion and deployment pipeline with its reliability substrate</w:t>
      </w:r>
    </w:p>
    <w:p>
      <w:pPr>
        <w:pStyle w:val="ListParagraph"/>
        <w:numPr>
          <w:ilvl w:val="0"/>
          <w:numId w:val="2"/>
        </w:numPr>
        <w:spacing w:after="80"/>
      </w:pPr>
      <w:r>
        <w:rPr>
          <w:b/>
          <w:bCs/>
        </w:rPr>
        <w:t xml:space="preserve">Runtime: </w:t>
      </w:r>
      <w:r>
        <w:t xml:space="preserve">the GA Responses API (agents / conversations / responses). The classic threads-and-runs surface retires 2027-03-31 and exists in the kit only as a documented fallback that warns on use.</w:t>
      </w:r>
    </w:p>
    <w:p>
      <w:pPr>
        <w:pStyle w:val="ListParagraph"/>
        <w:numPr>
          <w:ilvl w:val="0"/>
          <w:numId w:val="2"/>
        </w:numPr>
        <w:spacing w:after="80"/>
      </w:pPr>
      <w:r>
        <w:rPr>
          <w:b/>
          <w:bCs/>
        </w:rPr>
        <w:t xml:space="preserve">Versioning: </w:t>
      </w:r>
      <w:r>
        <w:t xml:space="preserve">every save produces an immutable agent version; pipelines pin &lt;agent&gt;:&lt;version&gt;, and a nightly drift check compares the live version against the ledger.</w:t>
      </w:r>
    </w:p>
    <w:p>
      <w:pPr>
        <w:pStyle w:val="ListParagraph"/>
        <w:numPr>
          <w:ilvl w:val="0"/>
          <w:numId w:val="2"/>
        </w:numPr>
        <w:spacing w:after="80"/>
      </w:pPr>
      <w:r>
        <w:rPr>
          <w:b/>
          <w:bCs/>
        </w:rPr>
        <w:t xml:space="preserve">Reliability: </w:t>
      </w:r>
      <w:r>
        <w:t xml:space="preserve">exponential-backoff retries, parallel uploads, a content-hash upload cache and per-agent failure isolation.</w:t>
      </w:r>
    </w:p>
    <w:p>
      <w:r>
        <w:br w:type="page"/>
      </w:r>
    </w:p>
    <w:p>
      <w:pPr>
        <w:pStyle w:val="Heading1"/>
        <w:spacing w:after="160" w:before="360"/>
      </w:pPr>
      <w:r>
        <w:t xml:space="preserve">13. Connections and Integrations</w:t>
      </w:r>
    </w:p>
    <w:p>
      <w:pPr>
        <w:spacing w:after="140"/>
        <w:jc w:val="both"/>
      </w:pPr>
      <w:r>
        <w:t xml:space="preserve">Twenty connections give the agents reach into the Euronext estate. Every one of them is read-only by construction: the deployment script strips each non-GET operation from the OpenAPI specification before it ever becomes a tool, and the five surviving POST operations are query operations (JQL, AQL, KQL hunting, Graph search, code search) explicitly allow-listed because they are the only way to ask those systems a question. No connection carries a write grant.</w:t>
      </w:r>
    </w:p>
    <w:p>
      <w:pPr>
        <w:spacing w:after="60" w:before="20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181475"/>
                    </a:xfrm>
                    <a:prstGeom prst="rect">
                      <a:avLst/>
                    </a:prstGeom>
                  </pic:spPr>
                </pic:pic>
              </a:graphicData>
            </a:graphic>
          </wp:inline>
        </w:drawing>
      </w:r>
    </w:p>
    <w:p>
      <w:pPr>
        <w:spacing w:after="240"/>
        <w:jc w:val="center"/>
      </w:pPr>
      <w:r>
        <w:rPr>
          <w:i/>
          <w:iCs/>
          <w:color w:val="5B6B69"/>
          <w:sz w:val="18"/>
          <w:szCs w:val="18"/>
        </w:rPr>
        <w:t xml:space="preserve">Figure 5 — Interconnections with the Euronext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400"/>
        <w:gridCol w:w="5210"/>
      </w:tblGrid>
      <w:tr>
        <w:trPr>
          <w:tblHeader/>
        </w:trPr>
        <w:tc>
          <w:tcPr>
            <w:tcW w:type="dxa" w:w="1750"/>
            <w:shd w:fill="008D7F" w:val="clear"/>
            <w:tcMar>
              <w:top w:type="dxa" w:w="60"/>
              <w:left w:type="dxa" w:w="100"/>
              <w:bottom w:type="dxa" w:w="60"/>
              <w:right w:type="dxa" w:w="100"/>
            </w:tcMar>
          </w:tcPr>
          <w:p>
            <w:r>
              <w:rPr>
                <w:b/>
                <w:bCs/>
                <w:color w:val="FFFFFF"/>
                <w:sz w:val="19"/>
                <w:szCs w:val="19"/>
              </w:rPr>
              <w:t xml:space="preserve">Connection</w:t>
            </w:r>
          </w:p>
        </w:tc>
        <w:tc>
          <w:tcPr>
            <w:tcW w:type="dxa" w:w="2400"/>
            <w:shd w:fill="008D7F" w:val="clear"/>
            <w:tcMar>
              <w:top w:type="dxa" w:w="60"/>
              <w:left w:type="dxa" w:w="100"/>
              <w:bottom w:type="dxa" w:w="60"/>
              <w:right w:type="dxa" w:w="100"/>
            </w:tcMar>
          </w:tcPr>
          <w:p>
            <w:r>
              <w:rPr>
                <w:b/>
                <w:bCs/>
                <w:color w:val="FFFFFF"/>
                <w:sz w:val="19"/>
                <w:szCs w:val="19"/>
              </w:rPr>
              <w:t xml:space="preserve">System</w:t>
            </w:r>
          </w:p>
        </w:tc>
        <w:tc>
          <w:tcPr>
            <w:tcW w:type="dxa" w:w="5210"/>
            <w:shd w:fill="008D7F" w:val="clear"/>
            <w:tcMar>
              <w:top w:type="dxa" w:w="60"/>
              <w:left w:type="dxa" w:w="100"/>
              <w:bottom w:type="dxa" w:w="60"/>
              <w:right w:type="dxa" w:w="100"/>
            </w:tcMar>
          </w:tcPr>
          <w:p>
            <w:r>
              <w:rPr>
                <w:b/>
                <w:bCs/>
                <w:color w:val="FFFFFF"/>
                <w:sz w:val="19"/>
                <w:szCs w:val="19"/>
              </w:rPr>
              <w:t xml:space="preserve">What the agents read</w:t>
            </w:r>
          </w:p>
        </w:tc>
      </w:tr>
      <w:tr>
        <w:tc>
          <w:tcPr>
            <w:tcW w:type="dxa" w:w="1750"/>
            <w:tcMar>
              <w:top w:type="dxa" w:w="60"/>
              <w:left w:type="dxa" w:w="100"/>
              <w:bottom w:type="dxa" w:w="60"/>
              <w:right w:type="dxa" w:w="100"/>
            </w:tcMar>
          </w:tcPr>
          <w:p>
            <w:r>
              <w:rPr>
                <w:b w:val="false"/>
                <w:bCs w:val="false"/>
                <w:sz w:val="19"/>
                <w:szCs w:val="19"/>
              </w:rPr>
              <w:t xml:space="preserve">confluence-cloud</w:t>
            </w:r>
          </w:p>
        </w:tc>
        <w:tc>
          <w:tcPr>
            <w:tcW w:type="dxa" w:w="2400"/>
            <w:tcMar>
              <w:top w:type="dxa" w:w="60"/>
              <w:left w:type="dxa" w:w="100"/>
              <w:bottom w:type="dxa" w:w="60"/>
              <w:right w:type="dxa" w:w="100"/>
            </w:tcMar>
          </w:tcPr>
          <w:p>
            <w:r>
              <w:rPr>
                <w:b w:val="false"/>
                <w:bCs w:val="false"/>
                <w:sz w:val="19"/>
                <w:szCs w:val="19"/>
              </w:rPr>
              <w:t xml:space="preserve">Confluence Cloud</w:t>
            </w:r>
          </w:p>
        </w:tc>
        <w:tc>
          <w:tcPr>
            <w:tcW w:type="dxa" w:w="5210"/>
            <w:tcMar>
              <w:top w:type="dxa" w:w="60"/>
              <w:left w:type="dxa" w:w="100"/>
              <w:bottom w:type="dxa" w:w="60"/>
              <w:right w:type="dxa" w:w="100"/>
            </w:tcMar>
          </w:tcPr>
          <w:p>
            <w:r>
              <w:rPr>
                <w:b w:val="false"/>
                <w:bCs w:val="false"/>
                <w:sz w:val="19"/>
                <w:szCs w:val="19"/>
              </w:rPr>
              <w:t xml:space="preserve">Spaces, pages, search — policy and standard content</w:t>
            </w:r>
          </w:p>
        </w:tc>
      </w:tr>
      <w:tr>
        <w:tc>
          <w:tcPr>
            <w:tcW w:type="dxa" w:w="1750"/>
            <w:shd w:fill="E4F3F1" w:val="clear"/>
            <w:tcMar>
              <w:top w:type="dxa" w:w="60"/>
              <w:left w:type="dxa" w:w="100"/>
              <w:bottom w:type="dxa" w:w="60"/>
              <w:right w:type="dxa" w:w="100"/>
            </w:tcMar>
          </w:tcPr>
          <w:p>
            <w:r>
              <w:rPr>
                <w:b w:val="false"/>
                <w:bCs w:val="false"/>
                <w:sz w:val="19"/>
                <w:szCs w:val="19"/>
              </w:rPr>
              <w:t xml:space="preserve">jira-cloud</w:t>
            </w:r>
          </w:p>
        </w:tc>
        <w:tc>
          <w:tcPr>
            <w:tcW w:type="dxa" w:w="2400"/>
            <w:shd w:fill="E4F3F1" w:val="clear"/>
            <w:tcMar>
              <w:top w:type="dxa" w:w="60"/>
              <w:left w:type="dxa" w:w="100"/>
              <w:bottom w:type="dxa" w:w="60"/>
              <w:right w:type="dxa" w:w="100"/>
            </w:tcMar>
          </w:tcPr>
          <w:p>
            <w:r>
              <w:rPr>
                <w:b w:val="false"/>
                <w:bCs w:val="false"/>
                <w:sz w:val="19"/>
                <w:szCs w:val="19"/>
              </w:rPr>
              <w:t xml:space="preserve">Jira Cloud</w:t>
            </w:r>
          </w:p>
        </w:tc>
        <w:tc>
          <w:tcPr>
            <w:tcW w:type="dxa" w:w="5210"/>
            <w:shd w:fill="E4F3F1" w:val="clear"/>
            <w:tcMar>
              <w:top w:type="dxa" w:w="60"/>
              <w:left w:type="dxa" w:w="100"/>
              <w:bottom w:type="dxa" w:w="60"/>
              <w:right w:type="dxa" w:w="100"/>
            </w:tcMar>
          </w:tcPr>
          <w:p>
            <w:r>
              <w:rPr>
                <w:b w:val="false"/>
                <w:bCs w:val="false"/>
                <w:sz w:val="19"/>
                <w:szCs w:val="19"/>
              </w:rPr>
              <w:t xml:space="preserve">Issues and JQL search — findings and remediation state</w:t>
            </w:r>
          </w:p>
        </w:tc>
      </w:tr>
      <w:tr>
        <w:tc>
          <w:tcPr>
            <w:tcW w:type="dxa" w:w="1750"/>
            <w:tcMar>
              <w:top w:type="dxa" w:w="60"/>
              <w:left w:type="dxa" w:w="100"/>
              <w:bottom w:type="dxa" w:w="60"/>
              <w:right w:type="dxa" w:w="100"/>
            </w:tcMar>
          </w:tcPr>
          <w:p>
            <w:r>
              <w:rPr>
                <w:b w:val="false"/>
                <w:bCs w:val="false"/>
                <w:sz w:val="19"/>
                <w:szCs w:val="19"/>
              </w:rPr>
              <w:t xml:space="preserve">jira-assets-cmdb</w:t>
            </w:r>
          </w:p>
        </w:tc>
        <w:tc>
          <w:tcPr>
            <w:tcW w:type="dxa" w:w="2400"/>
            <w:tcMar>
              <w:top w:type="dxa" w:w="60"/>
              <w:left w:type="dxa" w:w="100"/>
              <w:bottom w:type="dxa" w:w="60"/>
              <w:right w:type="dxa" w:w="100"/>
            </w:tcMar>
          </w:tcPr>
          <w:p>
            <w:r>
              <w:rPr>
                <w:b w:val="false"/>
                <w:bCs w:val="false"/>
                <w:sz w:val="19"/>
                <w:szCs w:val="19"/>
              </w:rPr>
              <w:t xml:space="preserve">Jira Assets</w:t>
            </w:r>
          </w:p>
        </w:tc>
        <w:tc>
          <w:tcPr>
            <w:tcW w:type="dxa" w:w="5210"/>
            <w:tcMar>
              <w:top w:type="dxa" w:w="60"/>
              <w:left w:type="dxa" w:w="100"/>
              <w:bottom w:type="dxa" w:w="60"/>
              <w:right w:type="dxa" w:w="100"/>
            </w:tcMar>
          </w:tcPr>
          <w:p>
            <w:r>
              <w:rPr>
                <w:b w:val="false"/>
                <w:bCs w:val="false"/>
                <w:sz w:val="19"/>
                <w:szCs w:val="19"/>
              </w:rPr>
              <w:t xml:space="preserve">CMDB objects via AQL — services, owners, dependencies</w:t>
            </w:r>
          </w:p>
        </w:tc>
      </w:tr>
      <w:tr>
        <w:tc>
          <w:tcPr>
            <w:tcW w:type="dxa" w:w="1750"/>
            <w:shd w:fill="E4F3F1" w:val="clear"/>
            <w:tcMar>
              <w:top w:type="dxa" w:w="60"/>
              <w:left w:type="dxa" w:w="100"/>
              <w:bottom w:type="dxa" w:w="60"/>
              <w:right w:type="dxa" w:w="100"/>
            </w:tcMar>
          </w:tcPr>
          <w:p>
            <w:r>
              <w:rPr>
                <w:b w:val="false"/>
                <w:bCs w:val="false"/>
                <w:sz w:val="19"/>
                <w:szCs w:val="19"/>
              </w:rPr>
              <w:t xml:space="preserve">sharepoint-graph</w:t>
            </w:r>
          </w:p>
        </w:tc>
        <w:tc>
          <w:tcPr>
            <w:tcW w:type="dxa" w:w="2400"/>
            <w:shd w:fill="E4F3F1" w:val="clear"/>
            <w:tcMar>
              <w:top w:type="dxa" w:w="60"/>
              <w:left w:type="dxa" w:w="100"/>
              <w:bottom w:type="dxa" w:w="60"/>
              <w:right w:type="dxa" w:w="100"/>
            </w:tcMar>
          </w:tcPr>
          <w:p>
            <w:r>
              <w:rPr>
                <w:b w:val="false"/>
                <w:bCs w:val="false"/>
                <w:sz w:val="19"/>
                <w:szCs w:val="19"/>
              </w:rPr>
              <w:t xml:space="preserve">SharePoint (Graph)</w:t>
            </w:r>
          </w:p>
        </w:tc>
        <w:tc>
          <w:tcPr>
            <w:tcW w:type="dxa" w:w="5210"/>
            <w:shd w:fill="E4F3F1" w:val="clear"/>
            <w:tcMar>
              <w:top w:type="dxa" w:w="60"/>
              <w:left w:type="dxa" w:w="100"/>
              <w:bottom w:type="dxa" w:w="60"/>
              <w:right w:type="dxa" w:w="100"/>
            </w:tcMar>
          </w:tcPr>
          <w:p>
            <w:r>
              <w:rPr>
                <w:b w:val="false"/>
                <w:bCs w:val="false"/>
                <w:sz w:val="19"/>
                <w:szCs w:val="19"/>
              </w:rPr>
              <w:t xml:space="preserve">Drives, folders, items, drive-scoped search — the evidence library</w:t>
            </w:r>
          </w:p>
        </w:tc>
      </w:tr>
      <w:tr>
        <w:tc>
          <w:tcPr>
            <w:tcW w:type="dxa" w:w="1750"/>
            <w:tcMar>
              <w:top w:type="dxa" w:w="60"/>
              <w:left w:type="dxa" w:w="100"/>
              <w:bottom w:type="dxa" w:w="60"/>
              <w:right w:type="dxa" w:w="100"/>
            </w:tcMar>
          </w:tcPr>
          <w:p>
            <w:r>
              <w:rPr>
                <w:b w:val="false"/>
                <w:bCs w:val="false"/>
                <w:sz w:val="19"/>
                <w:szCs w:val="19"/>
              </w:rPr>
              <w:t xml:space="preserve">sharepoint-grounding</w:t>
            </w:r>
          </w:p>
        </w:tc>
        <w:tc>
          <w:tcPr>
            <w:tcW w:type="dxa" w:w="2400"/>
            <w:tcMar>
              <w:top w:type="dxa" w:w="60"/>
              <w:left w:type="dxa" w:w="100"/>
              <w:bottom w:type="dxa" w:w="60"/>
              <w:right w:type="dxa" w:w="100"/>
            </w:tcMar>
          </w:tcPr>
          <w:p>
            <w:r>
              <w:rPr>
                <w:b w:val="false"/>
                <w:bCs w:val="false"/>
                <w:sz w:val="19"/>
                <w:szCs w:val="19"/>
              </w:rPr>
              <w:t xml:space="preserve">SharePoint tool (preview)</w:t>
            </w:r>
          </w:p>
        </w:tc>
        <w:tc>
          <w:tcPr>
            <w:tcW w:type="dxa" w:w="5210"/>
            <w:tcMar>
              <w:top w:type="dxa" w:w="60"/>
              <w:left w:type="dxa" w:w="100"/>
              <w:bottom w:type="dxa" w:w="60"/>
              <w:right w:type="dxa" w:w="100"/>
            </w:tcMar>
          </w:tcPr>
          <w:p>
            <w:r>
              <w:rPr>
                <w:b w:val="false"/>
                <w:bCs w:val="false"/>
                <w:sz w:val="19"/>
                <w:szCs w:val="19"/>
              </w:rPr>
              <w:t xml:space="preserve">Registered, disabled by default: permission-trimmed citations for interactive advisors only</w:t>
            </w:r>
          </w:p>
        </w:tc>
      </w:tr>
      <w:tr>
        <w:tc>
          <w:tcPr>
            <w:tcW w:type="dxa" w:w="1750"/>
            <w:shd w:fill="E4F3F1" w:val="clear"/>
            <w:tcMar>
              <w:top w:type="dxa" w:w="60"/>
              <w:left w:type="dxa" w:w="100"/>
              <w:bottom w:type="dxa" w:w="60"/>
              <w:right w:type="dxa" w:w="100"/>
            </w:tcMar>
          </w:tcPr>
          <w:p>
            <w:r>
              <w:rPr>
                <w:b w:val="false"/>
                <w:bCs w:val="false"/>
                <w:sz w:val="19"/>
                <w:szCs w:val="19"/>
              </w:rPr>
              <w:t xml:space="preserve">onetrust</w:t>
            </w:r>
          </w:p>
        </w:tc>
        <w:tc>
          <w:tcPr>
            <w:tcW w:type="dxa" w:w="2400"/>
            <w:shd w:fill="E4F3F1" w:val="clear"/>
            <w:tcMar>
              <w:top w:type="dxa" w:w="60"/>
              <w:left w:type="dxa" w:w="100"/>
              <w:bottom w:type="dxa" w:w="60"/>
              <w:right w:type="dxa" w:w="100"/>
            </w:tcMar>
          </w:tcPr>
          <w:p>
            <w:r>
              <w:rPr>
                <w:b w:val="false"/>
                <w:bCs w:val="false"/>
                <w:sz w:val="19"/>
                <w:szCs w:val="19"/>
              </w:rPr>
              <w:t xml:space="preserve">OneTrust</w:t>
            </w:r>
          </w:p>
        </w:tc>
        <w:tc>
          <w:tcPr>
            <w:tcW w:type="dxa" w:w="5210"/>
            <w:shd w:fill="E4F3F1" w:val="clear"/>
            <w:tcMar>
              <w:top w:type="dxa" w:w="60"/>
              <w:left w:type="dxa" w:w="100"/>
              <w:bottom w:type="dxa" w:w="60"/>
              <w:right w:type="dxa" w:w="100"/>
            </w:tcMar>
          </w:tcPr>
          <w:p>
            <w:r>
              <w:rPr>
                <w:b w:val="false"/>
                <w:bCs w:val="false"/>
                <w:sz w:val="19"/>
                <w:szCs w:val="19"/>
              </w:rPr>
              <w:t xml:space="preserve">Assessments, inventories, risks — the source for requirements b, c, d</w:t>
            </w:r>
          </w:p>
        </w:tc>
      </w:tr>
      <w:tr>
        <w:tc>
          <w:tcPr>
            <w:tcW w:type="dxa" w:w="1750"/>
            <w:tcMar>
              <w:top w:type="dxa" w:w="60"/>
              <w:left w:type="dxa" w:w="100"/>
              <w:bottom w:type="dxa" w:w="60"/>
              <w:right w:type="dxa" w:w="100"/>
            </w:tcMar>
          </w:tcPr>
          <w:p>
            <w:r>
              <w:rPr>
                <w:b w:val="false"/>
                <w:bCs w:val="false"/>
                <w:sz w:val="19"/>
                <w:szCs w:val="19"/>
              </w:rPr>
              <w:t xml:space="preserve">defender-graph</w:t>
            </w:r>
          </w:p>
        </w:tc>
        <w:tc>
          <w:tcPr>
            <w:tcW w:type="dxa" w:w="2400"/>
            <w:tcMar>
              <w:top w:type="dxa" w:w="60"/>
              <w:left w:type="dxa" w:w="100"/>
              <w:bottom w:type="dxa" w:w="60"/>
              <w:right w:type="dxa" w:w="100"/>
            </w:tcMar>
          </w:tcPr>
          <w:p>
            <w:r>
              <w:rPr>
                <w:b w:val="false"/>
                <w:bCs w:val="false"/>
                <w:sz w:val="19"/>
                <w:szCs w:val="19"/>
              </w:rPr>
              <w:t xml:space="preserve">Microsoft Defender (Graph security)</w:t>
            </w:r>
          </w:p>
        </w:tc>
        <w:tc>
          <w:tcPr>
            <w:tcW w:type="dxa" w:w="5210"/>
            <w:tcMar>
              <w:top w:type="dxa" w:w="60"/>
              <w:left w:type="dxa" w:w="100"/>
              <w:bottom w:type="dxa" w:w="60"/>
              <w:right w:type="dxa" w:w="100"/>
            </w:tcMar>
          </w:tcPr>
          <w:p>
            <w:r>
              <w:rPr>
                <w:b w:val="false"/>
                <w:bCs w:val="false"/>
                <w:sz w:val="19"/>
                <w:szCs w:val="19"/>
              </w:rPr>
              <w:t xml:space="preserve">Alerts, incidents and advanced hunting</w:t>
            </w:r>
          </w:p>
        </w:tc>
      </w:tr>
      <w:tr>
        <w:tc>
          <w:tcPr>
            <w:tcW w:type="dxa" w:w="1750"/>
            <w:shd w:fill="E4F3F1" w:val="clear"/>
            <w:tcMar>
              <w:top w:type="dxa" w:w="60"/>
              <w:left w:type="dxa" w:w="100"/>
              <w:bottom w:type="dxa" w:w="60"/>
              <w:right w:type="dxa" w:w="100"/>
            </w:tcMar>
          </w:tcPr>
          <w:p>
            <w:r>
              <w:rPr>
                <w:b w:val="false"/>
                <w:bCs w:val="false"/>
                <w:sz w:val="19"/>
                <w:szCs w:val="19"/>
              </w:rPr>
              <w:t xml:space="preserve">entra-iam-graph</w:t>
            </w:r>
          </w:p>
        </w:tc>
        <w:tc>
          <w:tcPr>
            <w:tcW w:type="dxa" w:w="2400"/>
            <w:shd w:fill="E4F3F1" w:val="clear"/>
            <w:tcMar>
              <w:top w:type="dxa" w:w="60"/>
              <w:left w:type="dxa" w:w="100"/>
              <w:bottom w:type="dxa" w:w="60"/>
              <w:right w:type="dxa" w:w="100"/>
            </w:tcMar>
          </w:tcPr>
          <w:p>
            <w:r>
              <w:rPr>
                <w:b w:val="false"/>
                <w:bCs w:val="false"/>
                <w:sz w:val="19"/>
                <w:szCs w:val="19"/>
              </w:rPr>
              <w:t xml:space="preserve">Entra ID (Graph)</w:t>
            </w:r>
          </w:p>
        </w:tc>
        <w:tc>
          <w:tcPr>
            <w:tcW w:type="dxa" w:w="5210"/>
            <w:shd w:fill="E4F3F1" w:val="clear"/>
            <w:tcMar>
              <w:top w:type="dxa" w:w="60"/>
              <w:left w:type="dxa" w:w="100"/>
              <w:bottom w:type="dxa" w:w="60"/>
              <w:right w:type="dxa" w:w="100"/>
            </w:tcMar>
          </w:tcPr>
          <w:p>
            <w:r>
              <w:rPr>
                <w:b w:val="false"/>
                <w:bCs w:val="false"/>
                <w:sz w:val="19"/>
                <w:szCs w:val="19"/>
              </w:rPr>
              <w:t xml:space="preserve">Directory, groups, roles — identity context for assessments</w:t>
            </w:r>
          </w:p>
        </w:tc>
      </w:tr>
      <w:tr>
        <w:tc>
          <w:tcPr>
            <w:tcW w:type="dxa" w:w="1750"/>
            <w:tcMar>
              <w:top w:type="dxa" w:w="60"/>
              <w:left w:type="dxa" w:w="100"/>
              <w:bottom w:type="dxa" w:w="60"/>
              <w:right w:type="dxa" w:w="100"/>
            </w:tcMar>
          </w:tcPr>
          <w:p>
            <w:r>
              <w:rPr>
                <w:b w:val="false"/>
                <w:bCs w:val="false"/>
                <w:sz w:val="19"/>
                <w:szCs w:val="19"/>
              </w:rPr>
              <w:t xml:space="preserve">exchange-graph</w:t>
            </w:r>
          </w:p>
        </w:tc>
        <w:tc>
          <w:tcPr>
            <w:tcW w:type="dxa" w:w="2400"/>
            <w:tcMar>
              <w:top w:type="dxa" w:w="60"/>
              <w:left w:type="dxa" w:w="100"/>
              <w:bottom w:type="dxa" w:w="60"/>
              <w:right w:type="dxa" w:w="100"/>
            </w:tcMar>
          </w:tcPr>
          <w:p>
            <w:r>
              <w:rPr>
                <w:b w:val="false"/>
                <w:bCs w:val="false"/>
                <w:sz w:val="19"/>
                <w:szCs w:val="19"/>
              </w:rPr>
              <w:t xml:space="preserve">Exchange (Graph)</w:t>
            </w:r>
          </w:p>
        </w:tc>
        <w:tc>
          <w:tcPr>
            <w:tcW w:type="dxa" w:w="5210"/>
            <w:tcMar>
              <w:top w:type="dxa" w:w="60"/>
              <w:left w:type="dxa" w:w="100"/>
              <w:bottom w:type="dxa" w:w="60"/>
              <w:right w:type="dxa" w:w="100"/>
            </w:tcMar>
          </w:tcPr>
          <w:p>
            <w:r>
              <w:rPr>
                <w:b w:val="false"/>
                <w:bCs w:val="false"/>
                <w:sz w:val="19"/>
                <w:szCs w:val="19"/>
              </w:rPr>
              <w:t xml:space="preserve">Evidence that arrives by e-mail, as metadata</w:t>
            </w:r>
          </w:p>
        </w:tc>
      </w:tr>
      <w:tr>
        <w:tc>
          <w:tcPr>
            <w:tcW w:type="dxa" w:w="1750"/>
            <w:shd w:fill="E4F3F1" w:val="clear"/>
            <w:tcMar>
              <w:top w:type="dxa" w:w="60"/>
              <w:left w:type="dxa" w:w="100"/>
              <w:bottom w:type="dxa" w:w="60"/>
              <w:right w:type="dxa" w:w="100"/>
            </w:tcMar>
          </w:tcPr>
          <w:p>
            <w:r>
              <w:rPr>
                <w:b w:val="false"/>
                <w:bCs w:val="false"/>
                <w:sz w:val="19"/>
                <w:szCs w:val="19"/>
              </w:rPr>
              <w:t xml:space="preserve">teams-graph</w:t>
            </w:r>
          </w:p>
        </w:tc>
        <w:tc>
          <w:tcPr>
            <w:tcW w:type="dxa" w:w="2400"/>
            <w:shd w:fill="E4F3F1" w:val="clear"/>
            <w:tcMar>
              <w:top w:type="dxa" w:w="60"/>
              <w:left w:type="dxa" w:w="100"/>
              <w:bottom w:type="dxa" w:w="60"/>
              <w:right w:type="dxa" w:w="100"/>
            </w:tcMar>
          </w:tcPr>
          <w:p>
            <w:r>
              <w:rPr>
                <w:b w:val="false"/>
                <w:bCs w:val="false"/>
                <w:sz w:val="19"/>
                <w:szCs w:val="19"/>
              </w:rPr>
              <w:t xml:space="preserve">Teams (Graph)</w:t>
            </w:r>
          </w:p>
        </w:tc>
        <w:tc>
          <w:tcPr>
            <w:tcW w:type="dxa" w:w="5210"/>
            <w:shd w:fill="E4F3F1" w:val="clear"/>
            <w:tcMar>
              <w:top w:type="dxa" w:w="60"/>
              <w:left w:type="dxa" w:w="100"/>
              <w:bottom w:type="dxa" w:w="60"/>
              <w:right w:type="dxa" w:w="100"/>
            </w:tcMar>
          </w:tcPr>
          <w:p>
            <w:r>
              <w:rPr>
                <w:b w:val="false"/>
                <w:bCs w:val="false"/>
                <w:sz w:val="19"/>
                <w:szCs w:val="19"/>
              </w:rPr>
              <w:t xml:space="preserve">Channel context for notifications</w:t>
            </w:r>
          </w:p>
        </w:tc>
      </w:tr>
      <w:tr>
        <w:tc>
          <w:tcPr>
            <w:tcW w:type="dxa" w:w="1750"/>
            <w:tcMar>
              <w:top w:type="dxa" w:w="60"/>
              <w:left w:type="dxa" w:w="100"/>
              <w:bottom w:type="dxa" w:w="60"/>
              <w:right w:type="dxa" w:w="100"/>
            </w:tcMar>
          </w:tcPr>
          <w:p>
            <w:r>
              <w:rPr>
                <w:b w:val="false"/>
                <w:bCs w:val="false"/>
                <w:sz w:val="19"/>
                <w:szCs w:val="19"/>
              </w:rPr>
              <w:t xml:space="preserve">m365-personal-graph</w:t>
            </w:r>
          </w:p>
        </w:tc>
        <w:tc>
          <w:tcPr>
            <w:tcW w:type="dxa" w:w="2400"/>
            <w:tcMar>
              <w:top w:type="dxa" w:w="60"/>
              <w:left w:type="dxa" w:w="100"/>
              <w:bottom w:type="dxa" w:w="60"/>
              <w:right w:type="dxa" w:w="100"/>
            </w:tcMar>
          </w:tcPr>
          <w:p>
            <w:r>
              <w:rPr>
                <w:b w:val="false"/>
                <w:bCs w:val="false"/>
                <w:sz w:val="19"/>
                <w:szCs w:val="19"/>
              </w:rPr>
              <w:t xml:space="preserve">M365 personal scope</w:t>
            </w:r>
          </w:p>
        </w:tc>
        <w:tc>
          <w:tcPr>
            <w:tcW w:type="dxa" w:w="5210"/>
            <w:tcMar>
              <w:top w:type="dxa" w:w="60"/>
              <w:left w:type="dxa" w:w="100"/>
              <w:bottom w:type="dxa" w:w="60"/>
              <w:right w:type="dxa" w:w="100"/>
            </w:tcMar>
          </w:tcPr>
          <w:p>
            <w:r>
              <w:rPr>
                <w:b w:val="false"/>
                <w:bCs w:val="false"/>
                <w:sz w:val="19"/>
                <w:szCs w:val="19"/>
              </w:rPr>
              <w:t xml:space="preserve">The requesting user's own calendar/mail for the morning brief</w:t>
            </w:r>
          </w:p>
        </w:tc>
      </w:tr>
      <w:tr>
        <w:tc>
          <w:tcPr>
            <w:tcW w:type="dxa" w:w="1750"/>
            <w:shd w:fill="E4F3F1" w:val="clear"/>
            <w:tcMar>
              <w:top w:type="dxa" w:w="60"/>
              <w:left w:type="dxa" w:w="100"/>
              <w:bottom w:type="dxa" w:w="60"/>
              <w:right w:type="dxa" w:w="100"/>
            </w:tcMar>
          </w:tcPr>
          <w:p>
            <w:r>
              <w:rPr>
                <w:b w:val="false"/>
                <w:bCs w:val="false"/>
                <w:sz w:val="19"/>
                <w:szCs w:val="19"/>
              </w:rPr>
              <w:t xml:space="preserve">azure-devops</w:t>
            </w:r>
          </w:p>
        </w:tc>
        <w:tc>
          <w:tcPr>
            <w:tcW w:type="dxa" w:w="2400"/>
            <w:shd w:fill="E4F3F1" w:val="clear"/>
            <w:tcMar>
              <w:top w:type="dxa" w:w="60"/>
              <w:left w:type="dxa" w:w="100"/>
              <w:bottom w:type="dxa" w:w="60"/>
              <w:right w:type="dxa" w:w="100"/>
            </w:tcMar>
          </w:tcPr>
          <w:p>
            <w:r>
              <w:rPr>
                <w:b w:val="false"/>
                <w:bCs w:val="false"/>
                <w:sz w:val="19"/>
                <w:szCs w:val="19"/>
              </w:rPr>
              <w:t xml:space="preserve">Azure DevOps</w:t>
            </w:r>
          </w:p>
        </w:tc>
        <w:tc>
          <w:tcPr>
            <w:tcW w:type="dxa" w:w="5210"/>
            <w:shd w:fill="E4F3F1" w:val="clear"/>
            <w:tcMar>
              <w:top w:type="dxa" w:w="60"/>
              <w:left w:type="dxa" w:w="100"/>
              <w:bottom w:type="dxa" w:w="60"/>
              <w:right w:type="dxa" w:w="100"/>
            </w:tcMar>
          </w:tcPr>
          <w:p>
            <w:r>
              <w:rPr>
                <w:b w:val="false"/>
                <w:bCs w:val="false"/>
                <w:sz w:val="19"/>
                <w:szCs w:val="19"/>
              </w:rPr>
              <w:t xml:space="preserve">Work items and code search</w:t>
            </w:r>
          </w:p>
        </w:tc>
      </w:tr>
      <w:tr>
        <w:tc>
          <w:tcPr>
            <w:tcW w:type="dxa" w:w="1750"/>
            <w:tcMar>
              <w:top w:type="dxa" w:w="60"/>
              <w:left w:type="dxa" w:w="100"/>
              <w:bottom w:type="dxa" w:w="60"/>
              <w:right w:type="dxa" w:w="100"/>
            </w:tcMar>
          </w:tcPr>
          <w:p>
            <w:r>
              <w:rPr>
                <w:b w:val="false"/>
                <w:bCs w:val="false"/>
                <w:sz w:val="19"/>
                <w:szCs w:val="19"/>
              </w:rPr>
              <w:t xml:space="preserve">securityscorecard</w:t>
            </w:r>
          </w:p>
        </w:tc>
        <w:tc>
          <w:tcPr>
            <w:tcW w:type="dxa" w:w="2400"/>
            <w:tcMar>
              <w:top w:type="dxa" w:w="60"/>
              <w:left w:type="dxa" w:w="100"/>
              <w:bottom w:type="dxa" w:w="60"/>
              <w:right w:type="dxa" w:w="100"/>
            </w:tcMar>
          </w:tcPr>
          <w:p>
            <w:r>
              <w:rPr>
                <w:b w:val="false"/>
                <w:bCs w:val="false"/>
                <w:sz w:val="19"/>
                <w:szCs w:val="19"/>
              </w:rPr>
              <w:t xml:space="preserve">SecurityScorecard</w:t>
            </w:r>
          </w:p>
        </w:tc>
        <w:tc>
          <w:tcPr>
            <w:tcW w:type="dxa" w:w="5210"/>
            <w:tcMar>
              <w:top w:type="dxa" w:w="60"/>
              <w:left w:type="dxa" w:w="100"/>
              <w:bottom w:type="dxa" w:w="60"/>
              <w:right w:type="dxa" w:w="100"/>
            </w:tcMar>
          </w:tcPr>
          <w:p>
            <w:r>
              <w:rPr>
                <w:b w:val="false"/>
                <w:bCs w:val="false"/>
                <w:sz w:val="19"/>
                <w:szCs w:val="19"/>
              </w:rPr>
              <w:t xml:space="preserve">External ratings and issue detail for supplier assessments</w:t>
            </w:r>
          </w:p>
        </w:tc>
      </w:tr>
      <w:tr>
        <w:tc>
          <w:tcPr>
            <w:tcW w:type="dxa" w:w="1750"/>
            <w:shd w:fill="E4F3F1" w:val="clear"/>
            <w:tcMar>
              <w:top w:type="dxa" w:w="60"/>
              <w:left w:type="dxa" w:w="100"/>
              <w:bottom w:type="dxa" w:w="60"/>
              <w:right w:type="dxa" w:w="100"/>
            </w:tcMar>
          </w:tcPr>
          <w:p>
            <w:r>
              <w:rPr>
                <w:b w:val="false"/>
                <w:bCs w:val="false"/>
                <w:sz w:val="19"/>
                <w:szCs w:val="19"/>
              </w:rPr>
              <w:t xml:space="preserve">iaf-api</w:t>
            </w:r>
          </w:p>
        </w:tc>
        <w:tc>
          <w:tcPr>
            <w:tcW w:type="dxa" w:w="2400"/>
            <w:shd w:fill="E4F3F1" w:val="clear"/>
            <w:tcMar>
              <w:top w:type="dxa" w:w="60"/>
              <w:left w:type="dxa" w:w="100"/>
              <w:bottom w:type="dxa" w:w="60"/>
              <w:right w:type="dxa" w:w="100"/>
            </w:tcMar>
          </w:tcPr>
          <w:p>
            <w:r>
              <w:rPr>
                <w:b w:val="false"/>
                <w:bCs w:val="false"/>
                <w:sz w:val="19"/>
                <w:szCs w:val="19"/>
              </w:rPr>
              <w:t xml:space="preserve">Internal assurance API (IAF)</w:t>
            </w:r>
          </w:p>
        </w:tc>
        <w:tc>
          <w:tcPr>
            <w:tcW w:type="dxa" w:w="5210"/>
            <w:shd w:fill="E4F3F1" w:val="clear"/>
            <w:tcMar>
              <w:top w:type="dxa" w:w="60"/>
              <w:left w:type="dxa" w:w="100"/>
              <w:bottom w:type="dxa" w:w="60"/>
              <w:right w:type="dxa" w:w="100"/>
            </w:tcMar>
          </w:tcPr>
          <w:p>
            <w:r>
              <w:rPr>
                <w:b w:val="false"/>
                <w:bCs w:val="false"/>
                <w:sz w:val="19"/>
                <w:szCs w:val="19"/>
              </w:rPr>
              <w:t xml:space="preserve">Euronext's own assurance data</w:t>
            </w:r>
          </w:p>
        </w:tc>
      </w:tr>
      <w:tr>
        <w:tc>
          <w:tcPr>
            <w:tcW w:type="dxa" w:w="1750"/>
            <w:tcMar>
              <w:top w:type="dxa" w:w="60"/>
              <w:left w:type="dxa" w:w="100"/>
              <w:bottom w:type="dxa" w:w="60"/>
              <w:right w:type="dxa" w:w="100"/>
            </w:tcMar>
          </w:tcPr>
          <w:p>
            <w:r>
              <w:rPr>
                <w:b w:val="false"/>
                <w:bCs w:val="false"/>
                <w:sz w:val="19"/>
                <w:szCs w:val="19"/>
              </w:rPr>
              <w:t xml:space="preserve">enx-gateway-mcp</w:t>
            </w:r>
          </w:p>
        </w:tc>
        <w:tc>
          <w:tcPr>
            <w:tcW w:type="dxa" w:w="2400"/>
            <w:tcMar>
              <w:top w:type="dxa" w:w="60"/>
              <w:left w:type="dxa" w:w="100"/>
              <w:bottom w:type="dxa" w:w="60"/>
              <w:right w:type="dxa" w:w="100"/>
            </w:tcMar>
          </w:tcPr>
          <w:p>
            <w:r>
              <w:rPr>
                <w:b w:val="false"/>
                <w:bCs w:val="false"/>
                <w:sz w:val="19"/>
                <w:szCs w:val="19"/>
              </w:rPr>
              <w:t xml:space="preserve">ENX gateway (MCP)</w:t>
            </w:r>
          </w:p>
        </w:tc>
        <w:tc>
          <w:tcPr>
            <w:tcW w:type="dxa" w:w="5210"/>
            <w:tcMar>
              <w:top w:type="dxa" w:w="60"/>
              <w:left w:type="dxa" w:w="100"/>
              <w:bottom w:type="dxa" w:w="60"/>
              <w:right w:type="dxa" w:w="100"/>
            </w:tcMar>
          </w:tcPr>
          <w:p>
            <w:r>
              <w:rPr>
                <w:b w:val="false"/>
                <w:bCs w:val="false"/>
                <w:sz w:val="19"/>
                <w:szCs w:val="19"/>
              </w:rPr>
              <w:t xml:space="preserve">The internal MCP server, read-only tools only</w:t>
            </w:r>
          </w:p>
        </w:tc>
      </w:tr>
      <w:tr>
        <w:tc>
          <w:tcPr>
            <w:tcW w:type="dxa" w:w="1750"/>
            <w:shd w:fill="E4F3F1" w:val="clear"/>
            <w:tcMar>
              <w:top w:type="dxa" w:w="60"/>
              <w:left w:type="dxa" w:w="100"/>
              <w:bottom w:type="dxa" w:w="60"/>
              <w:right w:type="dxa" w:w="100"/>
            </w:tcMar>
          </w:tcPr>
          <w:p>
            <w:r>
              <w:rPr>
                <w:b w:val="false"/>
                <w:bCs w:val="false"/>
                <w:sz w:val="19"/>
                <w:szCs w:val="19"/>
              </w:rPr>
              <w:t xml:space="preserve">osint-proxy</w:t>
            </w:r>
          </w:p>
        </w:tc>
        <w:tc>
          <w:tcPr>
            <w:tcW w:type="dxa" w:w="2400"/>
            <w:shd w:fill="E4F3F1" w:val="clear"/>
            <w:tcMar>
              <w:top w:type="dxa" w:w="60"/>
              <w:left w:type="dxa" w:w="100"/>
              <w:bottom w:type="dxa" w:w="60"/>
              <w:right w:type="dxa" w:w="100"/>
            </w:tcMar>
          </w:tcPr>
          <w:p>
            <w:r>
              <w:rPr>
                <w:b w:val="false"/>
                <w:bCs w:val="false"/>
                <w:sz w:val="19"/>
                <w:szCs w:val="19"/>
              </w:rPr>
              <w:t xml:space="preserve">Delivery Function</w:t>
            </w:r>
          </w:p>
        </w:tc>
        <w:tc>
          <w:tcPr>
            <w:tcW w:type="dxa" w:w="5210"/>
            <w:shd w:fill="E4F3F1" w:val="clear"/>
            <w:tcMar>
              <w:top w:type="dxa" w:w="60"/>
              <w:left w:type="dxa" w:w="100"/>
              <w:bottom w:type="dxa" w:w="60"/>
              <w:right w:type="dxa" w:w="100"/>
            </w:tcMar>
          </w:tcPr>
          <w:p>
            <w:r>
              <w:rPr>
                <w:b w:val="false"/>
                <w:bCs w:val="false"/>
                <w:sz w:val="19"/>
                <w:szCs w:val="19"/>
              </w:rPr>
              <w:t xml:space="preserve">Public supplier pages (Trust Center, DPA, subprocessor lists) through a policed proxy</w:t>
            </w:r>
          </w:p>
        </w:tc>
      </w:tr>
      <w:tr>
        <w:tc>
          <w:tcPr>
            <w:tcW w:type="dxa" w:w="1750"/>
            <w:tcMar>
              <w:top w:type="dxa" w:w="60"/>
              <w:left w:type="dxa" w:w="100"/>
              <w:bottom w:type="dxa" w:w="60"/>
              <w:right w:type="dxa" w:w="100"/>
            </w:tcMar>
          </w:tcPr>
          <w:p>
            <w:r>
              <w:rPr>
                <w:b w:val="false"/>
                <w:bCs w:val="false"/>
                <w:sz w:val="19"/>
                <w:szCs w:val="19"/>
              </w:rPr>
              <w:t xml:space="preserve">passive-recon</w:t>
            </w:r>
          </w:p>
        </w:tc>
        <w:tc>
          <w:tcPr>
            <w:tcW w:type="dxa" w:w="2400"/>
            <w:tcMar>
              <w:top w:type="dxa" w:w="60"/>
              <w:left w:type="dxa" w:w="100"/>
              <w:bottom w:type="dxa" w:w="60"/>
              <w:right w:type="dxa" w:w="100"/>
            </w:tcMar>
          </w:tcPr>
          <w:p>
            <w:r>
              <w:rPr>
                <w:b w:val="false"/>
                <w:bCs w:val="false"/>
                <w:sz w:val="19"/>
                <w:szCs w:val="19"/>
              </w:rPr>
              <w:t xml:space="preserve">Delivery Function</w:t>
            </w:r>
          </w:p>
        </w:tc>
        <w:tc>
          <w:tcPr>
            <w:tcW w:type="dxa" w:w="5210"/>
            <w:tcMar>
              <w:top w:type="dxa" w:w="60"/>
              <w:left w:type="dxa" w:w="100"/>
              <w:bottom w:type="dxa" w:w="60"/>
              <w:right w:type="dxa" w:w="100"/>
            </w:tcMar>
          </w:tcPr>
          <w:p>
            <w:r>
              <w:rPr>
                <w:b w:val="false"/>
                <w:bCs w:val="false"/>
                <w:sz w:val="19"/>
                <w:szCs w:val="19"/>
              </w:rPr>
              <w:t xml:space="preserve">Strictly passive DNS/TLS/header fingerprint of a public domain — no scan, no crawl</w:t>
            </w:r>
          </w:p>
        </w:tc>
      </w:tr>
      <w:tr>
        <w:tc>
          <w:tcPr>
            <w:tcW w:type="dxa" w:w="1750"/>
            <w:shd w:fill="E4F3F1" w:val="clear"/>
            <w:tcMar>
              <w:top w:type="dxa" w:w="60"/>
              <w:left w:type="dxa" w:w="100"/>
              <w:bottom w:type="dxa" w:w="60"/>
              <w:right w:type="dxa" w:w="100"/>
            </w:tcMar>
          </w:tcPr>
          <w:p>
            <w:r>
              <w:rPr>
                <w:b w:val="false"/>
                <w:bCs w:val="false"/>
                <w:sz w:val="19"/>
                <w:szCs w:val="19"/>
              </w:rPr>
              <w:t xml:space="preserve">evidence-cache</w:t>
            </w:r>
          </w:p>
        </w:tc>
        <w:tc>
          <w:tcPr>
            <w:tcW w:type="dxa" w:w="2400"/>
            <w:shd w:fill="E4F3F1" w:val="clear"/>
            <w:tcMar>
              <w:top w:type="dxa" w:w="60"/>
              <w:left w:type="dxa" w:w="100"/>
              <w:bottom w:type="dxa" w:w="60"/>
              <w:right w:type="dxa" w:w="100"/>
            </w:tcMar>
          </w:tcPr>
          <w:p>
            <w:r>
              <w:rPr>
                <w:b w:val="false"/>
                <w:bCs w:val="false"/>
                <w:sz w:val="19"/>
                <w:szCs w:val="19"/>
              </w:rPr>
              <w:t xml:space="preserve">Delivery Function</w:t>
            </w:r>
          </w:p>
        </w:tc>
        <w:tc>
          <w:tcPr>
            <w:tcW w:type="dxa" w:w="5210"/>
            <w:shd w:fill="E4F3F1" w:val="clear"/>
            <w:tcMar>
              <w:top w:type="dxa" w:w="60"/>
              <w:left w:type="dxa" w:w="100"/>
              <w:bottom w:type="dxa" w:w="60"/>
              <w:right w:type="dxa" w:w="100"/>
            </w:tcMar>
          </w:tcPr>
          <w:p>
            <w:r>
              <w:rPr>
                <w:b w:val="false"/>
                <w:bCs w:val="false"/>
                <w:sz w:val="19"/>
                <w:szCs w:val="19"/>
              </w:rPr>
              <w:t xml:space="preserve">Facts already extracted from unchanged evidence — the delta re-analysis path</w:t>
            </w:r>
          </w:p>
        </w:tc>
      </w:tr>
      <w:tr>
        <w:tc>
          <w:tcPr>
            <w:tcW w:type="dxa" w:w="1750"/>
            <w:tcMar>
              <w:top w:type="dxa" w:w="60"/>
              <w:left w:type="dxa" w:w="100"/>
              <w:bottom w:type="dxa" w:w="60"/>
              <w:right w:type="dxa" w:w="100"/>
            </w:tcMar>
          </w:tcPr>
          <w:p>
            <w:r>
              <w:rPr>
                <w:b w:val="false"/>
                <w:bCs w:val="false"/>
                <w:sz w:val="19"/>
                <w:szCs w:val="19"/>
              </w:rPr>
              <w:t xml:space="preserve">web-search</w:t>
            </w:r>
          </w:p>
        </w:tc>
        <w:tc>
          <w:tcPr>
            <w:tcW w:type="dxa" w:w="2400"/>
            <w:tcMar>
              <w:top w:type="dxa" w:w="60"/>
              <w:left w:type="dxa" w:w="100"/>
              <w:bottom w:type="dxa" w:w="60"/>
              <w:right w:type="dxa" w:w="100"/>
            </w:tcMar>
          </w:tcPr>
          <w:p>
            <w:r>
              <w:rPr>
                <w:b w:val="false"/>
                <w:bCs w:val="false"/>
                <w:sz w:val="19"/>
                <w:szCs w:val="19"/>
              </w:rPr>
              <w:t xml:space="preserve">Bing grounding / Web Search</w:t>
            </w:r>
          </w:p>
        </w:tc>
        <w:tc>
          <w:tcPr>
            <w:tcW w:type="dxa" w:w="5210"/>
            <w:tcMar>
              <w:top w:type="dxa" w:w="60"/>
              <w:left w:type="dxa" w:w="100"/>
              <w:bottom w:type="dxa" w:w="60"/>
              <w:right w:type="dxa" w:w="100"/>
            </w:tcMar>
          </w:tcPr>
          <w:p>
            <w:r>
              <w:rPr>
                <w:b w:val="false"/>
                <w:bCs w:val="false"/>
                <w:sz w:val="19"/>
                <w:szCs w:val="19"/>
              </w:rPr>
              <w:t xml:space="preserve">Public terms only; outside the Azure compliance boundary and recorded as such</w:t>
            </w:r>
          </w:p>
        </w:tc>
      </w:tr>
      <w:tr>
        <w:tc>
          <w:tcPr>
            <w:tcW w:type="dxa" w:w="1750"/>
            <w:shd w:fill="E4F3F1" w:val="clear"/>
            <w:tcMar>
              <w:top w:type="dxa" w:w="60"/>
              <w:left w:type="dxa" w:w="100"/>
              <w:bottom w:type="dxa" w:w="60"/>
              <w:right w:type="dxa" w:w="100"/>
            </w:tcMar>
          </w:tcPr>
          <w:p>
            <w:r>
              <w:rPr>
                <w:b w:val="false"/>
                <w:bCs w:val="false"/>
                <w:sz w:val="19"/>
                <w:szCs w:val="19"/>
              </w:rPr>
              <w:t xml:space="preserve">followup-scheduler</w:t>
            </w:r>
          </w:p>
        </w:tc>
        <w:tc>
          <w:tcPr>
            <w:tcW w:type="dxa" w:w="2400"/>
            <w:shd w:fill="E4F3F1" w:val="clear"/>
            <w:tcMar>
              <w:top w:type="dxa" w:w="60"/>
              <w:left w:type="dxa" w:w="100"/>
              <w:bottom w:type="dxa" w:w="60"/>
              <w:right w:type="dxa" w:w="100"/>
            </w:tcMar>
          </w:tcPr>
          <w:p>
            <w:r>
              <w:rPr>
                <w:b w:val="false"/>
                <w:bCs w:val="false"/>
                <w:sz w:val="19"/>
                <w:szCs w:val="19"/>
              </w:rPr>
              <w:t xml:space="preserve">Delivery Function</w:t>
            </w:r>
          </w:p>
        </w:tc>
        <w:tc>
          <w:tcPr>
            <w:tcW w:type="dxa" w:w="5210"/>
            <w:shd w:fill="E4F3F1" w:val="clear"/>
            <w:tcMar>
              <w:top w:type="dxa" w:w="60"/>
              <w:left w:type="dxa" w:w="100"/>
              <w:bottom w:type="dxa" w:w="60"/>
              <w:right w:type="dxa" w:w="100"/>
            </w:tcMar>
          </w:tcPr>
          <w:p>
            <w:r>
              <w:rPr>
                <w:b w:val="false"/>
                <w:bCs w:val="false"/>
                <w:sz w:val="19"/>
                <w:szCs w:val="19"/>
              </w:rPr>
              <w:t xml:space="preserve">Registered and disabled: a scheduling surface that is deliberately not an agent tool</w:t>
            </w:r>
          </w:p>
        </w:tc>
      </w:tr>
    </w:tbl>
    <w:p>
      <w:pPr>
        <w:spacing w:after="140"/>
        <w:jc w:val="both"/>
      </w:pPr>
      <w:r>
        <w:t xml:space="preserve">Secrets never appear in the repository or in a workflow body: each connection resolves its credential from Key Vault through a Foundry project connection, and the platform's own identities are managed identities and OIDC federated credentials.</w:t>
      </w:r>
    </w:p>
    <w:p>
      <w:pPr>
        <w:pStyle w:val="Heading1"/>
        <w:spacing w:after="160" w:before="360"/>
      </w:pPr>
      <w:r>
        <w:t xml:space="preserve">14. Workflows and the Delivery Pipeline</w:t>
      </w:r>
    </w:p>
    <w:p>
      <w:pPr>
        <w:spacing w:after="140"/>
        <w:jc w:val="both"/>
      </w:pPr>
      <w:r>
        <w:t xml:space="preserve">Seventeen Logic Apps definitions plus a pipelines manifest replace the claude.ai Routines and carry every delivery. One generic delivery pipeline is instantiated twelve times — once per deliverable type — so the approval gate, the storage rule, the labelling and the audit trail exist once and cannot drift between report types.</w:t>
      </w:r>
    </w:p>
    <w:p>
      <w:pPr>
        <w:spacing w:after="60" w:before="200"/>
        <w:jc w:val="center"/>
      </w:pPr>
      <w:r>
        <w:drawing>
          <wp:inline distT="0" distB="0" distL="0" distR="0">
            <wp:extent cx="59055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133850"/>
                    </a:xfrm>
                    <a:prstGeom prst="rect">
                      <a:avLst/>
                    </a:prstGeom>
                  </pic:spPr>
                </pic:pic>
              </a:graphicData>
            </a:graphic>
          </wp:inline>
        </w:drawing>
      </w:r>
    </w:p>
    <w:p>
      <w:pPr>
        <w:spacing w:after="240"/>
        <w:jc w:val="center"/>
      </w:pPr>
      <w:r>
        <w:rPr>
          <w:i/>
          <w:iCs/>
          <w:color w:val="5B6B69"/>
          <w:sz w:val="18"/>
          <w:szCs w:val="18"/>
        </w:rPr>
        <w:t xml:space="preserve">Figure 6 — Automated workflows and their human-approval gates</w:t>
      </w:r>
    </w:p>
    <w:p>
      <w:pPr>
        <w:pStyle w:val="Heading2"/>
        <w:spacing w:after="120" w:before="260"/>
      </w:pPr>
      <w:r>
        <w:t xml:space="preserve">14.1 The twelve delivery pipelines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3400"/>
        <w:gridCol w:w="2960"/>
      </w:tblGrid>
      <w:tr>
        <w:trPr>
          <w:tblHeader/>
        </w:trPr>
        <w:tc>
          <w:tcPr>
            <w:tcW w:type="dxa" w:w="2300"/>
            <w:shd w:fill="008D7F" w:val="clear"/>
            <w:tcMar>
              <w:top w:type="dxa" w:w="60"/>
              <w:left w:type="dxa" w:w="100"/>
              <w:bottom w:type="dxa" w:w="60"/>
              <w:right w:type="dxa" w:w="100"/>
            </w:tcMar>
          </w:tcPr>
          <w:p>
            <w:r>
              <w:rPr>
                <w:b/>
                <w:bCs/>
                <w:color w:val="FFFFFF"/>
                <w:sz w:val="19"/>
                <w:szCs w:val="19"/>
              </w:rPr>
              <w:t xml:space="preserve">Pipeline</w:t>
            </w:r>
          </w:p>
        </w:tc>
        <w:tc>
          <w:tcPr>
            <w:tcW w:type="dxa" w:w="700"/>
            <w:shd w:fill="008D7F" w:val="clear"/>
            <w:tcMar>
              <w:top w:type="dxa" w:w="60"/>
              <w:left w:type="dxa" w:w="100"/>
              <w:bottom w:type="dxa" w:w="60"/>
              <w:right w:type="dxa" w:w="100"/>
            </w:tcMar>
          </w:tcPr>
          <w:p>
            <w:r>
              <w:rPr>
                <w:b/>
                <w:bCs/>
                <w:color w:val="FFFFFF"/>
                <w:sz w:val="19"/>
                <w:szCs w:val="19"/>
              </w:rPr>
              <w:t xml:space="preserve">Req</w:t>
            </w:r>
          </w:p>
        </w:tc>
        <w:tc>
          <w:tcPr>
            <w:tcW w:type="dxa" w:w="3400"/>
            <w:shd w:fill="008D7F" w:val="clear"/>
            <w:tcMar>
              <w:top w:type="dxa" w:w="60"/>
              <w:left w:type="dxa" w:w="100"/>
              <w:bottom w:type="dxa" w:w="60"/>
              <w:right w:type="dxa" w:w="100"/>
            </w:tcMar>
          </w:tcPr>
          <w:p>
            <w:r>
              <w:rPr>
                <w:b/>
                <w:bCs/>
                <w:color w:val="FFFFFF"/>
                <w:sz w:val="19"/>
                <w:szCs w:val="19"/>
              </w:rPr>
              <w:t xml:space="preserve">Producing agent</w:t>
            </w:r>
          </w:p>
        </w:tc>
        <w:tc>
          <w:tcPr>
            <w:tcW w:type="dxa" w:w="2960"/>
            <w:shd w:fill="008D7F" w:val="clear"/>
            <w:tcMar>
              <w:top w:type="dxa" w:w="60"/>
              <w:left w:type="dxa" w:w="100"/>
              <w:bottom w:type="dxa" w:w="60"/>
              <w:right w:type="dxa" w:w="100"/>
            </w:tcMar>
          </w:tcPr>
          <w:p>
            <w:r>
              <w:rPr>
                <w:b/>
                <w:bCs/>
                <w:color w:val="FFFFFF"/>
                <w:sz w:val="19"/>
                <w:szCs w:val="19"/>
              </w:rPr>
              <w:t xml:space="preserve">Output</w:t>
            </w:r>
          </w:p>
        </w:tc>
      </w:tr>
      <w:tr>
        <w:tc>
          <w:tcPr>
            <w:tcW w:type="dxa" w:w="2300"/>
            <w:tcMar>
              <w:top w:type="dxa" w:w="60"/>
              <w:left w:type="dxa" w:w="100"/>
              <w:bottom w:type="dxa" w:w="60"/>
              <w:right w:type="dxa" w:w="100"/>
            </w:tcMar>
          </w:tcPr>
          <w:p>
            <w:r>
              <w:rPr>
                <w:b w:val="false"/>
                <w:bCs w:val="false"/>
                <w:sz w:val="19"/>
                <w:szCs w:val="19"/>
              </w:rPr>
              <w:t xml:space="preserve">deepsearch-report</w:t>
            </w:r>
          </w:p>
        </w:tc>
        <w:tc>
          <w:tcPr>
            <w:tcW w:type="dxa" w:w="700"/>
            <w:tcMar>
              <w:top w:type="dxa" w:w="60"/>
              <w:left w:type="dxa" w:w="100"/>
              <w:bottom w:type="dxa" w:w="60"/>
              <w:right w:type="dxa" w:w="100"/>
            </w:tcMar>
          </w:tcPr>
          <w:p>
            <w:r>
              <w:rPr>
                <w:b w:val="false"/>
                <w:bCs w:val="false"/>
                <w:sz w:val="19"/>
                <w:szCs w:val="19"/>
              </w:rPr>
              <w:t xml:space="preserve">a</w:t>
            </w:r>
          </w:p>
        </w:tc>
        <w:tc>
          <w:tcPr>
            <w:tcW w:type="dxa" w:w="3400"/>
            <w:tcMar>
              <w:top w:type="dxa" w:w="60"/>
              <w:left w:type="dxa" w:w="100"/>
              <w:bottom w:type="dxa" w:w="60"/>
              <w:right w:type="dxa" w:w="100"/>
            </w:tcMar>
          </w:tcPr>
          <w:p>
            <w:r>
              <w:rPr>
                <w:b w:val="false"/>
                <w:bCs w:val="false"/>
                <w:sz w:val="19"/>
                <w:szCs w:val="19"/>
              </w:rPr>
              <w:t xml:space="preserve">deepsearch-protocol</w:t>
            </w:r>
          </w:p>
        </w:tc>
        <w:tc>
          <w:tcPr>
            <w:tcW w:type="dxa" w:w="2960"/>
            <w:tcMar>
              <w:top w:type="dxa" w:w="60"/>
              <w:left w:type="dxa" w:w="100"/>
              <w:bottom w:type="dxa" w:w="60"/>
              <w:right w:type="dxa" w:w="100"/>
            </w:tcMar>
          </w:tcPr>
          <w:p>
            <w:r>
              <w:rPr>
                <w:b w:val="false"/>
                <w:bCs w:val="false"/>
                <w:sz w:val="19"/>
                <w:szCs w:val="19"/>
              </w:rPr>
              <w:t xml:space="preserve">HTML dashboard</w:t>
            </w:r>
          </w:p>
        </w:tc>
      </w:tr>
      <w:tr>
        <w:tc>
          <w:tcPr>
            <w:tcW w:type="dxa" w:w="2300"/>
            <w:shd w:fill="E4F3F1" w:val="clear"/>
            <w:tcMar>
              <w:top w:type="dxa" w:w="60"/>
              <w:left w:type="dxa" w:w="100"/>
              <w:bottom w:type="dxa" w:w="60"/>
              <w:right w:type="dxa" w:w="100"/>
            </w:tcMar>
          </w:tcPr>
          <w:p>
            <w:r>
              <w:rPr>
                <w:b w:val="false"/>
                <w:bCs w:val="false"/>
                <w:sz w:val="19"/>
                <w:szCs w:val="19"/>
              </w:rPr>
              <w:t xml:space="preserve">ai-deepsearch-report</w:t>
            </w:r>
          </w:p>
        </w:tc>
        <w:tc>
          <w:tcPr>
            <w:tcW w:type="dxa" w:w="700"/>
            <w:shd w:fill="E4F3F1" w:val="clear"/>
            <w:tcMar>
              <w:top w:type="dxa" w:w="60"/>
              <w:left w:type="dxa" w:w="100"/>
              <w:bottom w:type="dxa" w:w="60"/>
              <w:right w:type="dxa" w:w="100"/>
            </w:tcMar>
          </w:tcPr>
          <w:p>
            <w:r>
              <w:rPr>
                <w:b w:val="false"/>
                <w:bCs w:val="false"/>
                <w:sz w:val="19"/>
                <w:szCs w:val="19"/>
              </w:rPr>
              <w:t xml:space="preserve">a</w:t>
            </w:r>
          </w:p>
        </w:tc>
        <w:tc>
          <w:tcPr>
            <w:tcW w:type="dxa" w:w="3400"/>
            <w:shd w:fill="E4F3F1" w:val="clear"/>
            <w:tcMar>
              <w:top w:type="dxa" w:w="60"/>
              <w:left w:type="dxa" w:w="100"/>
              <w:bottom w:type="dxa" w:w="60"/>
              <w:right w:type="dxa" w:w="100"/>
            </w:tcMar>
          </w:tcPr>
          <w:p>
            <w:r>
              <w:rPr>
                <w:b w:val="false"/>
                <w:bCs w:val="false"/>
                <w:sz w:val="19"/>
                <w:szCs w:val="19"/>
              </w:rPr>
              <w:t xml:space="preserve">ai-deepsearch-osint-gathering-report</w:t>
            </w:r>
          </w:p>
        </w:tc>
        <w:tc>
          <w:tcPr>
            <w:tcW w:type="dxa" w:w="2960"/>
            <w:shd w:fill="E4F3F1" w:val="clear"/>
            <w:tcMar>
              <w:top w:type="dxa" w:w="60"/>
              <w:left w:type="dxa" w:w="100"/>
              <w:bottom w:type="dxa" w:w="60"/>
              <w:right w:type="dxa" w:w="100"/>
            </w:tcMar>
          </w:tcPr>
          <w:p>
            <w:r>
              <w:rPr>
                <w:b w:val="false"/>
                <w:bCs w:val="false"/>
                <w:sz w:val="19"/>
                <w:szCs w:val="19"/>
              </w:rPr>
              <w:t xml:space="preserve">HTML dashboard</w:t>
            </w:r>
          </w:p>
        </w:tc>
      </w:tr>
      <w:tr>
        <w:tc>
          <w:tcPr>
            <w:tcW w:type="dxa" w:w="2300"/>
            <w:tcMar>
              <w:top w:type="dxa" w:w="60"/>
              <w:left w:type="dxa" w:w="100"/>
              <w:bottom w:type="dxa" w:w="60"/>
              <w:right w:type="dxa" w:w="100"/>
            </w:tcMar>
          </w:tcPr>
          <w:p>
            <w:r>
              <w:rPr>
                <w:b w:val="false"/>
                <w:bCs w:val="false"/>
                <w:sz w:val="19"/>
                <w:szCs w:val="19"/>
              </w:rPr>
              <w:t xml:space="preserve">dpia-dpo-report</w:t>
            </w:r>
          </w:p>
        </w:tc>
        <w:tc>
          <w:tcPr>
            <w:tcW w:type="dxa" w:w="700"/>
            <w:tcMar>
              <w:top w:type="dxa" w:w="60"/>
              <w:left w:type="dxa" w:w="100"/>
              <w:bottom w:type="dxa" w:w="60"/>
              <w:right w:type="dxa" w:w="100"/>
            </w:tcMar>
          </w:tcPr>
          <w:p>
            <w:r>
              <w:rPr>
                <w:b w:val="false"/>
                <w:bCs w:val="false"/>
                <w:sz w:val="19"/>
                <w:szCs w:val="19"/>
              </w:rPr>
              <w:t xml:space="preserve">b</w:t>
            </w:r>
          </w:p>
        </w:tc>
        <w:tc>
          <w:tcPr>
            <w:tcW w:type="dxa" w:w="3400"/>
            <w:tcMar>
              <w:top w:type="dxa" w:w="60"/>
              <w:left w:type="dxa" w:w="100"/>
              <w:bottom w:type="dxa" w:w="60"/>
              <w:right w:type="dxa" w:w="100"/>
            </w:tcMar>
          </w:tcPr>
          <w:p>
            <w:r>
              <w:rPr>
                <w:b w:val="false"/>
                <w:bCs w:val="false"/>
                <w:sz w:val="19"/>
                <w:szCs w:val="19"/>
              </w:rPr>
              <w:t xml:space="preserve">dpia</w:t>
            </w:r>
          </w:p>
        </w:tc>
        <w:tc>
          <w:tcPr>
            <w:tcW w:type="dxa" w:w="2960"/>
            <w:tcMar>
              <w:top w:type="dxa" w:w="60"/>
              <w:left w:type="dxa" w:w="100"/>
              <w:bottom w:type="dxa" w:w="60"/>
              <w:right w:type="dxa" w:w="100"/>
            </w:tcMar>
          </w:tcPr>
          <w:p>
            <w:r>
              <w:rPr>
                <w:b w:val="false"/>
                <w:bCs w:val="false"/>
                <w:sz w:val="19"/>
                <w:szCs w:val="19"/>
              </w:rPr>
              <w:t xml:space="preserve">DOCX for the DPO</w:t>
            </w:r>
          </w:p>
        </w:tc>
      </w:tr>
      <w:tr>
        <w:tc>
          <w:tcPr>
            <w:tcW w:type="dxa" w:w="2300"/>
            <w:shd w:fill="E4F3F1" w:val="clear"/>
            <w:tcMar>
              <w:top w:type="dxa" w:w="60"/>
              <w:left w:type="dxa" w:w="100"/>
              <w:bottom w:type="dxa" w:w="60"/>
              <w:right w:type="dxa" w:w="100"/>
            </w:tcMar>
          </w:tcPr>
          <w:p>
            <w:r>
              <w:rPr>
                <w:b w:val="false"/>
                <w:bCs w:val="false"/>
                <w:sz w:val="19"/>
                <w:szCs w:val="19"/>
              </w:rPr>
              <w:t xml:space="preserve">cyber-forum-pptx</w:t>
            </w:r>
          </w:p>
        </w:tc>
        <w:tc>
          <w:tcPr>
            <w:tcW w:type="dxa" w:w="700"/>
            <w:shd w:fill="E4F3F1" w:val="clear"/>
            <w:tcMar>
              <w:top w:type="dxa" w:w="60"/>
              <w:left w:type="dxa" w:w="100"/>
              <w:bottom w:type="dxa" w:w="60"/>
              <w:right w:type="dxa" w:w="100"/>
            </w:tcMar>
          </w:tcPr>
          <w:p>
            <w:r>
              <w:rPr>
                <w:b w:val="false"/>
                <w:bCs w:val="false"/>
                <w:sz w:val="19"/>
                <w:szCs w:val="19"/>
              </w:rPr>
              <w:t xml:space="preserve">c</w:t>
            </w:r>
          </w:p>
        </w:tc>
        <w:tc>
          <w:tcPr>
            <w:tcW w:type="dxa" w:w="3400"/>
            <w:shd w:fill="E4F3F1" w:val="clear"/>
            <w:tcMar>
              <w:top w:type="dxa" w:w="60"/>
              <w:left w:type="dxa" w:w="100"/>
              <w:bottom w:type="dxa" w:w="60"/>
              <w:right w:type="dxa" w:w="100"/>
            </w:tcMar>
          </w:tcPr>
          <w:p>
            <w:r>
              <w:rPr>
                <w:b w:val="false"/>
                <w:bCs w:val="false"/>
                <w:sz w:val="19"/>
                <w:szCs w:val="19"/>
              </w:rPr>
              <w:t xml:space="preserve">ciso-reporting</w:t>
            </w:r>
          </w:p>
        </w:tc>
        <w:tc>
          <w:tcPr>
            <w:tcW w:type="dxa" w:w="2960"/>
            <w:shd w:fill="E4F3F1" w:val="clear"/>
            <w:tcMar>
              <w:top w:type="dxa" w:w="60"/>
              <w:left w:type="dxa" w:w="100"/>
              <w:bottom w:type="dxa" w:w="60"/>
              <w:right w:type="dxa" w:w="100"/>
            </w:tcMar>
          </w:tcPr>
          <w:p>
            <w:r>
              <w:rPr>
                <w:b w:val="false"/>
                <w:bCs w:val="false"/>
                <w:sz w:val="19"/>
                <w:szCs w:val="19"/>
              </w:rPr>
              <w:t xml:space="preserve">PPTX governance deck</w:t>
            </w:r>
          </w:p>
        </w:tc>
      </w:tr>
      <w:tr>
        <w:tc>
          <w:tcPr>
            <w:tcW w:type="dxa" w:w="2300"/>
            <w:tcMar>
              <w:top w:type="dxa" w:w="60"/>
              <w:left w:type="dxa" w:w="100"/>
              <w:bottom w:type="dxa" w:w="60"/>
              <w:right w:type="dxa" w:w="100"/>
            </w:tcMar>
          </w:tcPr>
          <w:p>
            <w:r>
              <w:rPr>
                <w:b w:val="false"/>
                <w:bCs w:val="false"/>
                <w:sz w:val="19"/>
                <w:szCs w:val="19"/>
              </w:rPr>
              <w:t xml:space="preserve">ciso-exec-summary</w:t>
            </w:r>
          </w:p>
        </w:tc>
        <w:tc>
          <w:tcPr>
            <w:tcW w:type="dxa" w:w="700"/>
            <w:tcMar>
              <w:top w:type="dxa" w:w="60"/>
              <w:left w:type="dxa" w:w="100"/>
              <w:bottom w:type="dxa" w:w="60"/>
              <w:right w:type="dxa" w:w="100"/>
            </w:tcMar>
          </w:tcPr>
          <w:p>
            <w:r>
              <w:rPr>
                <w:b w:val="false"/>
                <w:bCs w:val="false"/>
                <w:sz w:val="19"/>
                <w:szCs w:val="19"/>
              </w:rPr>
              <w:t xml:space="preserve">c/d</w:t>
            </w:r>
          </w:p>
        </w:tc>
        <w:tc>
          <w:tcPr>
            <w:tcW w:type="dxa" w:w="3400"/>
            <w:tcMar>
              <w:top w:type="dxa" w:w="60"/>
              <w:left w:type="dxa" w:w="100"/>
              <w:bottom w:type="dxa" w:w="60"/>
              <w:right w:type="dxa" w:w="100"/>
            </w:tcMar>
          </w:tcPr>
          <w:p>
            <w:r>
              <w:rPr>
                <w:b w:val="false"/>
                <w:bCs w:val="false"/>
                <w:sz w:val="19"/>
                <w:szCs w:val="19"/>
              </w:rPr>
              <w:t xml:space="preserve">ciso-executive-summary</w:t>
            </w:r>
          </w:p>
        </w:tc>
        <w:tc>
          <w:tcPr>
            <w:tcW w:type="dxa" w:w="2960"/>
            <w:tcMar>
              <w:top w:type="dxa" w:w="60"/>
              <w:left w:type="dxa" w:w="100"/>
              <w:bottom w:type="dxa" w:w="60"/>
              <w:right w:type="dxa" w:w="100"/>
            </w:tcMar>
          </w:tcPr>
          <w:p>
            <w:r>
              <w:rPr>
                <w:b w:val="false"/>
                <w:bCs w:val="false"/>
                <w:sz w:val="19"/>
                <w:szCs w:val="19"/>
              </w:rPr>
              <w:t xml:space="preserve">HTML executive dashboard</w:t>
            </w:r>
          </w:p>
        </w:tc>
      </w:tr>
      <w:tr>
        <w:tc>
          <w:tcPr>
            <w:tcW w:type="dxa" w:w="2300"/>
            <w:shd w:fill="E4F3F1" w:val="clear"/>
            <w:tcMar>
              <w:top w:type="dxa" w:w="60"/>
              <w:left w:type="dxa" w:w="100"/>
              <w:bottom w:type="dxa" w:w="60"/>
              <w:right w:type="dxa" w:w="100"/>
            </w:tcMar>
          </w:tcPr>
          <w:p>
            <w:r>
              <w:rPr>
                <w:b w:val="false"/>
                <w:bCs w:val="false"/>
                <w:sz w:val="19"/>
                <w:szCs w:val="19"/>
              </w:rPr>
              <w:t xml:space="preserve">ciso-global-pptx</w:t>
            </w:r>
          </w:p>
        </w:tc>
        <w:tc>
          <w:tcPr>
            <w:tcW w:type="dxa" w:w="700"/>
            <w:shd w:fill="E4F3F1" w:val="clear"/>
            <w:tcMar>
              <w:top w:type="dxa" w:w="60"/>
              <w:left w:type="dxa" w:w="100"/>
              <w:bottom w:type="dxa" w:w="60"/>
              <w:right w:type="dxa" w:w="100"/>
            </w:tcMar>
          </w:tcPr>
          <w:p>
            <w:r>
              <w:rPr>
                <w:b w:val="false"/>
                <w:bCs w:val="false"/>
                <w:sz w:val="19"/>
                <w:szCs w:val="19"/>
              </w:rPr>
              <w:t xml:space="preserve">d</w:t>
            </w:r>
          </w:p>
        </w:tc>
        <w:tc>
          <w:tcPr>
            <w:tcW w:type="dxa" w:w="3400"/>
            <w:shd w:fill="E4F3F1" w:val="clear"/>
            <w:tcMar>
              <w:top w:type="dxa" w:w="60"/>
              <w:left w:type="dxa" w:w="100"/>
              <w:bottom w:type="dxa" w:w="60"/>
              <w:right w:type="dxa" w:w="100"/>
            </w:tcMar>
          </w:tcPr>
          <w:p>
            <w:r>
              <w:rPr>
                <w:b w:val="false"/>
                <w:bCs w:val="false"/>
                <w:sz w:val="19"/>
                <w:szCs w:val="19"/>
              </w:rPr>
              <w:t xml:space="preserve">ciso-global-report</w:t>
            </w:r>
          </w:p>
        </w:tc>
        <w:tc>
          <w:tcPr>
            <w:tcW w:type="dxa" w:w="2960"/>
            <w:shd w:fill="E4F3F1" w:val="clear"/>
            <w:tcMar>
              <w:top w:type="dxa" w:w="60"/>
              <w:left w:type="dxa" w:w="100"/>
              <w:bottom w:type="dxa" w:w="60"/>
              <w:right w:type="dxa" w:w="100"/>
            </w:tcMar>
          </w:tcPr>
          <w:p>
            <w:r>
              <w:rPr>
                <w:b w:val="false"/>
                <w:bCs w:val="false"/>
                <w:sz w:val="19"/>
                <w:szCs w:val="19"/>
              </w:rPr>
              <w:t xml:space="preserve">9-slide PPTX</w:t>
            </w:r>
          </w:p>
        </w:tc>
      </w:tr>
      <w:tr>
        <w:tc>
          <w:tcPr>
            <w:tcW w:type="dxa" w:w="2300"/>
            <w:tcMar>
              <w:top w:type="dxa" w:w="60"/>
              <w:left w:type="dxa" w:w="100"/>
              <w:bottom w:type="dxa" w:w="60"/>
              <w:right w:type="dxa" w:w="100"/>
            </w:tcMar>
          </w:tcPr>
          <w:p>
            <w:r>
              <w:rPr>
                <w:b w:val="false"/>
                <w:bCs w:val="false"/>
                <w:sz w:val="19"/>
                <w:szCs w:val="19"/>
              </w:rPr>
              <w:t xml:space="preserve">tpa-evidence-analysis</w:t>
            </w:r>
          </w:p>
        </w:tc>
        <w:tc>
          <w:tcPr>
            <w:tcW w:type="dxa" w:w="700"/>
            <w:tcMar>
              <w:top w:type="dxa" w:w="60"/>
              <w:left w:type="dxa" w:w="100"/>
              <w:bottom w:type="dxa" w:w="60"/>
              <w:right w:type="dxa" w:w="100"/>
            </w:tcMar>
          </w:tcPr>
          <w:p>
            <w:r>
              <w:rPr>
                <w:b w:val="false"/>
                <w:bCs w:val="false"/>
                <w:sz w:val="19"/>
                <w:szCs w:val="19"/>
              </w:rPr>
              <w:t xml:space="preserve">d2</w:t>
            </w:r>
          </w:p>
        </w:tc>
        <w:tc>
          <w:tcPr>
            <w:tcW w:type="dxa" w:w="3400"/>
            <w:tcMar>
              <w:top w:type="dxa" w:w="60"/>
              <w:left w:type="dxa" w:w="100"/>
              <w:bottom w:type="dxa" w:w="60"/>
              <w:right w:type="dxa" w:w="100"/>
            </w:tcMar>
          </w:tcPr>
          <w:p>
            <w:r>
              <w:rPr>
                <w:b w:val="false"/>
                <w:bCs w:val="false"/>
                <w:sz w:val="19"/>
                <w:szCs w:val="19"/>
              </w:rPr>
              <w:t xml:space="preserve">tpa-evidence-analyzer</w:t>
            </w:r>
          </w:p>
        </w:tc>
        <w:tc>
          <w:tcPr>
            <w:tcW w:type="dxa" w:w="2960"/>
            <w:tcMar>
              <w:top w:type="dxa" w:w="60"/>
              <w:left w:type="dxa" w:w="100"/>
              <w:bottom w:type="dxa" w:w="60"/>
              <w:right w:type="dxa" w:w="100"/>
            </w:tcMar>
          </w:tcPr>
          <w:p>
            <w:r>
              <w:rPr>
                <w:b w:val="false"/>
                <w:bCs w:val="false"/>
                <w:sz w:val="19"/>
                <w:szCs w:val="19"/>
              </w:rPr>
              <w:t xml:space="preserve">DOCX evidence register</w:t>
            </w:r>
          </w:p>
        </w:tc>
      </w:tr>
      <w:tr>
        <w:tc>
          <w:tcPr>
            <w:tcW w:type="dxa" w:w="2300"/>
            <w:shd w:fill="E4F3F1" w:val="clear"/>
            <w:tcMar>
              <w:top w:type="dxa" w:w="60"/>
              <w:left w:type="dxa" w:w="100"/>
              <w:bottom w:type="dxa" w:w="60"/>
              <w:right w:type="dxa" w:w="100"/>
            </w:tcMar>
          </w:tcPr>
          <w:p>
            <w:r>
              <w:rPr>
                <w:b w:val="false"/>
                <w:bCs w:val="false"/>
                <w:sz w:val="19"/>
                <w:szCs w:val="19"/>
              </w:rPr>
              <w:t xml:space="preserve">soc-report-summary</w:t>
            </w:r>
          </w:p>
        </w:tc>
        <w:tc>
          <w:tcPr>
            <w:tcW w:type="dxa" w:w="700"/>
            <w:shd w:fill="E4F3F1" w:val="clear"/>
            <w:tcMar>
              <w:top w:type="dxa" w:w="60"/>
              <w:left w:type="dxa" w:w="100"/>
              <w:bottom w:type="dxa" w:w="60"/>
              <w:right w:type="dxa" w:w="100"/>
            </w:tcMar>
          </w:tcPr>
          <w:p>
            <w:r>
              <w:rPr>
                <w:b w:val="false"/>
                <w:bCs w:val="false"/>
                <w:sz w:val="19"/>
                <w:szCs w:val="19"/>
              </w:rPr>
              <w:t xml:space="preserve">e</w:t>
            </w:r>
          </w:p>
        </w:tc>
        <w:tc>
          <w:tcPr>
            <w:tcW w:type="dxa" w:w="3400"/>
            <w:shd w:fill="E4F3F1" w:val="clear"/>
            <w:tcMar>
              <w:top w:type="dxa" w:w="60"/>
              <w:left w:type="dxa" w:w="100"/>
              <w:bottom w:type="dxa" w:w="60"/>
              <w:right w:type="dxa" w:w="100"/>
            </w:tcMar>
          </w:tcPr>
          <w:p>
            <w:r>
              <w:rPr>
                <w:b w:val="false"/>
                <w:bCs w:val="false"/>
                <w:sz w:val="19"/>
                <w:szCs w:val="19"/>
              </w:rPr>
              <w:t xml:space="preserve">soc-report-analyzer</w:t>
            </w:r>
          </w:p>
        </w:tc>
        <w:tc>
          <w:tcPr>
            <w:tcW w:type="dxa" w:w="2960"/>
            <w:shd w:fill="E4F3F1" w:val="clear"/>
            <w:tcMar>
              <w:top w:type="dxa" w:w="60"/>
              <w:left w:type="dxa" w:w="100"/>
              <w:bottom w:type="dxa" w:w="60"/>
              <w:right w:type="dxa" w:w="100"/>
            </w:tcMar>
          </w:tcPr>
          <w:p>
            <w:r>
              <w:rPr>
                <w:b w:val="false"/>
                <w:bCs w:val="false"/>
                <w:sz w:val="19"/>
                <w:szCs w:val="19"/>
              </w:rPr>
              <w:t xml:space="preserve">DOCX findings summary</w:t>
            </w:r>
          </w:p>
        </w:tc>
      </w:tr>
      <w:tr>
        <w:tc>
          <w:tcPr>
            <w:tcW w:type="dxa" w:w="2300"/>
            <w:tcMar>
              <w:top w:type="dxa" w:w="60"/>
              <w:left w:type="dxa" w:w="100"/>
              <w:bottom w:type="dxa" w:w="60"/>
              <w:right w:type="dxa" w:w="100"/>
            </w:tcMar>
          </w:tcPr>
          <w:p>
            <w:r>
              <w:rPr>
                <w:b w:val="false"/>
                <w:bCs w:val="false"/>
                <w:sz w:val="19"/>
                <w:szCs w:val="19"/>
              </w:rPr>
              <w:t xml:space="preserve">pentest-report-summary</w:t>
            </w:r>
          </w:p>
        </w:tc>
        <w:tc>
          <w:tcPr>
            <w:tcW w:type="dxa" w:w="700"/>
            <w:tcMar>
              <w:top w:type="dxa" w:w="60"/>
              <w:left w:type="dxa" w:w="100"/>
              <w:bottom w:type="dxa" w:w="60"/>
              <w:right w:type="dxa" w:w="100"/>
            </w:tcMar>
          </w:tcPr>
          <w:p>
            <w:r>
              <w:rPr>
                <w:b w:val="false"/>
                <w:bCs w:val="false"/>
                <w:sz w:val="19"/>
                <w:szCs w:val="19"/>
              </w:rPr>
              <w:t xml:space="preserve">f</w:t>
            </w:r>
          </w:p>
        </w:tc>
        <w:tc>
          <w:tcPr>
            <w:tcW w:type="dxa" w:w="3400"/>
            <w:tcMar>
              <w:top w:type="dxa" w:w="60"/>
              <w:left w:type="dxa" w:w="100"/>
              <w:bottom w:type="dxa" w:w="60"/>
              <w:right w:type="dxa" w:w="100"/>
            </w:tcMar>
          </w:tcPr>
          <w:p>
            <w:r>
              <w:rPr>
                <w:b w:val="false"/>
                <w:bCs w:val="false"/>
                <w:sz w:val="19"/>
                <w:szCs w:val="19"/>
              </w:rPr>
              <w:t xml:space="preserve">pentest-report-analyzer</w:t>
            </w:r>
          </w:p>
        </w:tc>
        <w:tc>
          <w:tcPr>
            <w:tcW w:type="dxa" w:w="2960"/>
            <w:tcMar>
              <w:top w:type="dxa" w:w="60"/>
              <w:left w:type="dxa" w:w="100"/>
              <w:bottom w:type="dxa" w:w="60"/>
              <w:right w:type="dxa" w:w="100"/>
            </w:tcMar>
          </w:tcPr>
          <w:p>
            <w:r>
              <w:rPr>
                <w:b w:val="false"/>
                <w:bCs w:val="false"/>
                <w:sz w:val="19"/>
                <w:szCs w:val="19"/>
              </w:rPr>
              <w:t xml:space="preserve">DOCX findings summary</w:t>
            </w:r>
          </w:p>
        </w:tc>
      </w:tr>
      <w:tr>
        <w:tc>
          <w:tcPr>
            <w:tcW w:type="dxa" w:w="2300"/>
            <w:shd w:fill="E4F3F1" w:val="clear"/>
            <w:tcMar>
              <w:top w:type="dxa" w:w="60"/>
              <w:left w:type="dxa" w:w="100"/>
              <w:bottom w:type="dxa" w:w="60"/>
              <w:right w:type="dxa" w:w="100"/>
            </w:tcMar>
          </w:tcPr>
          <w:p>
            <w:r>
              <w:rPr>
                <w:b w:val="false"/>
                <w:bCs w:val="false"/>
                <w:sz w:val="19"/>
                <w:szCs w:val="19"/>
              </w:rPr>
              <w:t xml:space="preserve">advisory-file-delivery</w:t>
            </w:r>
          </w:p>
        </w:tc>
        <w:tc>
          <w:tcPr>
            <w:tcW w:type="dxa" w:w="700"/>
            <w:shd w:fill="E4F3F1" w:val="clear"/>
            <w:tcMar>
              <w:top w:type="dxa" w:w="60"/>
              <w:left w:type="dxa" w:w="100"/>
              <w:bottom w:type="dxa" w:w="60"/>
              <w:right w:type="dxa" w:w="100"/>
            </w:tcMar>
          </w:tcPr>
          <w:p>
            <w:r>
              <w:rPr>
                <w:b w:val="false"/>
                <w:bCs w:val="false"/>
                <w:sz w:val="19"/>
                <w:szCs w:val="19"/>
              </w:rPr>
              <w:t xml:space="preserve">g/h</w:t>
            </w:r>
          </w:p>
        </w:tc>
        <w:tc>
          <w:tcPr>
            <w:tcW w:type="dxa" w:w="3400"/>
            <w:shd w:fill="E4F3F1" w:val="clear"/>
            <w:tcMar>
              <w:top w:type="dxa" w:w="60"/>
              <w:left w:type="dxa" w:w="100"/>
              <w:bottom w:type="dxa" w:w="60"/>
              <w:right w:type="dxa" w:w="100"/>
            </w:tcMar>
          </w:tcPr>
          <w:p>
            <w:r>
              <w:rPr>
                <w:b w:val="false"/>
                <w:bCs w:val="false"/>
                <w:sz w:val="19"/>
                <w:szCs w:val="19"/>
              </w:rPr>
              <w:t xml:space="preserve">any advisory agent (pinned by reference)</w:t>
            </w:r>
          </w:p>
        </w:tc>
        <w:tc>
          <w:tcPr>
            <w:tcW w:type="dxa" w:w="2960"/>
            <w:shd w:fill="E4F3F1" w:val="clear"/>
            <w:tcMar>
              <w:top w:type="dxa" w:w="60"/>
              <w:left w:type="dxa" w:w="100"/>
              <w:bottom w:type="dxa" w:w="60"/>
              <w:right w:type="dxa" w:w="100"/>
            </w:tcMar>
          </w:tcPr>
          <w:p>
            <w:r>
              <w:rPr>
                <w:b w:val="false"/>
                <w:bCs w:val="false"/>
                <w:sz w:val="19"/>
                <w:szCs w:val="19"/>
              </w:rPr>
              <w:t xml:space="preserve">DOCX/XLSX/PPTX/HTML</w:t>
            </w:r>
          </w:p>
        </w:tc>
      </w:tr>
      <w:tr>
        <w:tc>
          <w:tcPr>
            <w:tcW w:type="dxa" w:w="2300"/>
            <w:tcMar>
              <w:top w:type="dxa" w:w="60"/>
              <w:left w:type="dxa" w:w="100"/>
              <w:bottom w:type="dxa" w:w="60"/>
              <w:right w:type="dxa" w:w="100"/>
            </w:tcMar>
          </w:tcPr>
          <w:p>
            <w:r>
              <w:rPr>
                <w:b w:val="false"/>
                <w:bCs w:val="false"/>
                <w:sz w:val="19"/>
                <w:szCs w:val="19"/>
              </w:rPr>
              <w:t xml:space="preserve">cyber-forum-brief</w:t>
            </w:r>
          </w:p>
        </w:tc>
        <w:tc>
          <w:tcPr>
            <w:tcW w:type="dxa" w:w="700"/>
            <w:tcMar>
              <w:top w:type="dxa" w:w="60"/>
              <w:left w:type="dxa" w:w="100"/>
              <w:bottom w:type="dxa" w:w="60"/>
              <w:right w:type="dxa" w:w="100"/>
            </w:tcMar>
          </w:tcPr>
          <w:p>
            <w:r>
              <w:rPr>
                <w:b w:val="false"/>
                <w:bCs w:val="false"/>
                <w:sz w:val="19"/>
                <w:szCs w:val="19"/>
              </w:rPr>
              <w:t xml:space="preserve">c</w:t>
            </w:r>
          </w:p>
        </w:tc>
        <w:tc>
          <w:tcPr>
            <w:tcW w:type="dxa" w:w="3400"/>
            <w:tcMar>
              <w:top w:type="dxa" w:w="60"/>
              <w:left w:type="dxa" w:w="100"/>
              <w:bottom w:type="dxa" w:w="60"/>
              <w:right w:type="dxa" w:w="100"/>
            </w:tcMar>
          </w:tcPr>
          <w:p>
            <w:r>
              <w:rPr>
                <w:b w:val="false"/>
                <w:bCs w:val="false"/>
                <w:sz w:val="19"/>
                <w:szCs w:val="19"/>
              </w:rPr>
              <w:t xml:space="preserve">cyber-forum</w:t>
            </w:r>
          </w:p>
        </w:tc>
        <w:tc>
          <w:tcPr>
            <w:tcW w:type="dxa" w:w="2960"/>
            <w:tcMar>
              <w:top w:type="dxa" w:w="60"/>
              <w:left w:type="dxa" w:w="100"/>
              <w:bottom w:type="dxa" w:w="60"/>
              <w:right w:type="dxa" w:w="100"/>
            </w:tcMar>
          </w:tcPr>
          <w:p>
            <w:r>
              <w:rPr>
                <w:b w:val="false"/>
                <w:bCs w:val="false"/>
                <w:sz w:val="19"/>
                <w:szCs w:val="19"/>
              </w:rPr>
              <w:t xml:space="preserve">DOCX threat-intel brief</w:t>
            </w:r>
          </w:p>
        </w:tc>
      </w:tr>
      <w:tr>
        <w:tc>
          <w:tcPr>
            <w:tcW w:type="dxa" w:w="2300"/>
            <w:shd w:fill="E4F3F1" w:val="clear"/>
            <w:tcMar>
              <w:top w:type="dxa" w:w="60"/>
              <w:left w:type="dxa" w:w="100"/>
              <w:bottom w:type="dxa" w:w="60"/>
              <w:right w:type="dxa" w:w="100"/>
            </w:tcMar>
          </w:tcPr>
          <w:p>
            <w:r>
              <w:rPr>
                <w:b w:val="false"/>
                <w:bCs w:val="false"/>
                <w:sz w:val="19"/>
                <w:szCs w:val="19"/>
              </w:rPr>
              <w:t xml:space="preserve">transcript-summary</w:t>
            </w:r>
          </w:p>
        </w:tc>
        <w:tc>
          <w:tcPr>
            <w:tcW w:type="dxa" w:w="700"/>
            <w:shd w:fill="E4F3F1" w:val="clear"/>
            <w:tcMar>
              <w:top w:type="dxa" w:w="60"/>
              <w:left w:type="dxa" w:w="100"/>
              <w:bottom w:type="dxa" w:w="60"/>
              <w:right w:type="dxa" w:w="100"/>
            </w:tcMar>
          </w:tcPr>
          <w:p>
            <w:r>
              <w:rPr>
                <w:b w:val="false"/>
                <w:bCs w:val="false"/>
                <w:sz w:val="19"/>
                <w:szCs w:val="19"/>
              </w:rPr>
              <w:t xml:space="preserve">—</w:t>
            </w:r>
          </w:p>
        </w:tc>
        <w:tc>
          <w:tcPr>
            <w:tcW w:type="dxa" w:w="3400"/>
            <w:shd w:fill="E4F3F1" w:val="clear"/>
            <w:tcMar>
              <w:top w:type="dxa" w:w="60"/>
              <w:left w:type="dxa" w:w="100"/>
              <w:bottom w:type="dxa" w:w="60"/>
              <w:right w:type="dxa" w:w="100"/>
            </w:tcMar>
          </w:tcPr>
          <w:p>
            <w:r>
              <w:rPr>
                <w:b w:val="false"/>
                <w:bCs w:val="false"/>
                <w:sz w:val="19"/>
                <w:szCs w:val="19"/>
              </w:rPr>
              <w:t xml:space="preserve">whisperx-transcribe-diarize</w:t>
            </w:r>
          </w:p>
        </w:tc>
        <w:tc>
          <w:tcPr>
            <w:tcW w:type="dxa" w:w="2960"/>
            <w:shd w:fill="E4F3F1" w:val="clear"/>
            <w:tcMar>
              <w:top w:type="dxa" w:w="60"/>
              <w:left w:type="dxa" w:w="100"/>
              <w:bottom w:type="dxa" w:w="60"/>
              <w:right w:type="dxa" w:w="100"/>
            </w:tcMar>
          </w:tcPr>
          <w:p>
            <w:r>
              <w:rPr>
                <w:b w:val="false"/>
                <w:bCs w:val="false"/>
                <w:sz w:val="19"/>
                <w:szCs w:val="19"/>
              </w:rPr>
              <w:t xml:space="preserve">DOCX transcript</w:t>
            </w:r>
          </w:p>
        </w:tc>
      </w:tr>
    </w:tbl>
    <w:p>
      <w:pPr>
        <w:pStyle w:val="Heading2"/>
        <w:spacing w:after="120" w:before="260"/>
      </w:pPr>
      <w:r>
        <w:t xml:space="preserve">14.2 What one delivery run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4260"/>
      </w:tblGrid>
      <w:tr>
        <w:trPr>
          <w:tblHeader/>
        </w:trPr>
        <w:tc>
          <w:tcPr>
            <w:tcW w:type="dxa" w:w="500"/>
            <w:shd w:fill="008D7F" w:val="clear"/>
            <w:tcMar>
              <w:top w:type="dxa" w:w="60"/>
              <w:left w:type="dxa" w:w="100"/>
              <w:bottom w:type="dxa" w:w="60"/>
              <w:right w:type="dxa" w:w="100"/>
            </w:tcMar>
          </w:tcPr>
          <w:p>
            <w:r>
              <w:rPr>
                <w:b/>
                <w:bCs/>
                <w:color w:val="FFFFFF"/>
                <w:sz w:val="19"/>
                <w:szCs w:val="19"/>
              </w:rPr>
              <w:t xml:space="preserve">Step</w:t>
            </w:r>
          </w:p>
        </w:tc>
        <w:tc>
          <w:tcPr>
            <w:tcW w:type="dxa" w:w="4600"/>
            <w:shd w:fill="008D7F" w:val="clear"/>
            <w:tcMar>
              <w:top w:type="dxa" w:w="60"/>
              <w:left w:type="dxa" w:w="100"/>
              <w:bottom w:type="dxa" w:w="60"/>
              <w:right w:type="dxa" w:w="100"/>
            </w:tcMar>
          </w:tcPr>
          <w:p>
            <w:r>
              <w:rPr>
                <w:b/>
                <w:bCs/>
                <w:color w:val="FFFFFF"/>
                <w:sz w:val="19"/>
                <w:szCs w:val="19"/>
              </w:rPr>
              <w:t xml:space="preserve">Action</w:t>
            </w:r>
          </w:p>
        </w:tc>
        <w:tc>
          <w:tcPr>
            <w:tcW w:type="dxa" w:w="4260"/>
            <w:shd w:fill="008D7F" w:val="clear"/>
            <w:tcMar>
              <w:top w:type="dxa" w:w="60"/>
              <w:left w:type="dxa" w:w="100"/>
              <w:bottom w:type="dxa" w:w="60"/>
              <w:right w:type="dxa" w:w="100"/>
            </w:tcMar>
          </w:tcPr>
          <w:p>
            <w:r>
              <w:rPr>
                <w:b/>
                <w:bCs/>
                <w:color w:val="FFFFFF"/>
                <w:sz w:val="19"/>
                <w:szCs w:val="19"/>
              </w:rPr>
              <w:t xml:space="preserve">Control</w:t>
            </w:r>
          </w:p>
        </w:tc>
      </w:tr>
      <w:tr>
        <w:tc>
          <w:tcPr>
            <w:tcW w:type="dxa" w:w="500"/>
            <w:tcMar>
              <w:top w:type="dxa" w:w="60"/>
              <w:left w:type="dxa" w:w="100"/>
              <w:bottom w:type="dxa" w:w="60"/>
              <w:right w:type="dxa" w:w="100"/>
            </w:tcMar>
          </w:tcPr>
          <w:p>
            <w:r>
              <w:rPr>
                <w:b w:val="false"/>
                <w:bCs w:val="false"/>
                <w:sz w:val="19"/>
                <w:szCs w:val="19"/>
              </w:rPr>
              <w:t xml:space="preserve">1</w:t>
            </w:r>
          </w:p>
        </w:tc>
        <w:tc>
          <w:tcPr>
            <w:tcW w:type="dxa" w:w="4600"/>
            <w:tcMar>
              <w:top w:type="dxa" w:w="60"/>
              <w:left w:type="dxa" w:w="100"/>
              <w:bottom w:type="dxa" w:w="60"/>
              <w:right w:type="dxa" w:w="100"/>
            </w:tcMar>
          </w:tcPr>
          <w:p>
            <w:r>
              <w:rPr>
                <w:b w:val="false"/>
                <w:bCs w:val="false"/>
                <w:sz w:val="19"/>
                <w:szCs w:val="19"/>
              </w:rPr>
              <w:t xml:space="preserve">Resolve supplier and service names; refuse to continue without them</w:t>
            </w:r>
          </w:p>
        </w:tc>
        <w:tc>
          <w:tcPr>
            <w:tcW w:type="dxa" w:w="4260"/>
            <w:tcMar>
              <w:top w:type="dxa" w:w="60"/>
              <w:left w:type="dxa" w:w="100"/>
              <w:bottom w:type="dxa" w:w="60"/>
              <w:right w:type="dxa" w:w="100"/>
            </w:tcMar>
          </w:tcPr>
          <w:p>
            <w:r>
              <w:rPr>
                <w:b w:val="false"/>
                <w:bCs w:val="false"/>
                <w:sz w:val="19"/>
                <w:szCs w:val="19"/>
              </w:rPr>
              <w:t xml:space="preserve">The storage rule cannot be bypassed by omission</w:t>
            </w:r>
          </w:p>
        </w:tc>
      </w:tr>
      <w:tr>
        <w:tc>
          <w:tcPr>
            <w:tcW w:type="dxa" w:w="500"/>
            <w:shd w:fill="E4F3F1" w:val="clear"/>
            <w:tcMar>
              <w:top w:type="dxa" w:w="60"/>
              <w:left w:type="dxa" w:w="100"/>
              <w:bottom w:type="dxa" w:w="60"/>
              <w:right w:type="dxa" w:w="100"/>
            </w:tcMar>
          </w:tcPr>
          <w:p>
            <w:r>
              <w:rPr>
                <w:b w:val="false"/>
                <w:bCs w:val="false"/>
                <w:sz w:val="19"/>
                <w:szCs w:val="19"/>
              </w:rPr>
              <w:t xml:space="preserve">2</w:t>
            </w:r>
          </w:p>
        </w:tc>
        <w:tc>
          <w:tcPr>
            <w:tcW w:type="dxa" w:w="4600"/>
            <w:shd w:fill="E4F3F1" w:val="clear"/>
            <w:tcMar>
              <w:top w:type="dxa" w:w="60"/>
              <w:left w:type="dxa" w:w="100"/>
              <w:bottom w:type="dxa" w:w="60"/>
              <w:right w:type="dxa" w:w="100"/>
            </w:tcMar>
          </w:tcPr>
          <w:p>
            <w:r>
              <w:rPr>
                <w:b w:val="false"/>
                <w:bCs w:val="false"/>
                <w:sz w:val="19"/>
                <w:szCs w:val="19"/>
              </w:rPr>
              <w:t xml:space="preserve">Create a conversation and run the producing agent in the background, polling to completion</w:t>
            </w:r>
          </w:p>
        </w:tc>
        <w:tc>
          <w:tcPr>
            <w:tcW w:type="dxa" w:w="4260"/>
            <w:shd w:fill="E4F3F1" w:val="clear"/>
            <w:tcMar>
              <w:top w:type="dxa" w:w="60"/>
              <w:left w:type="dxa" w:w="100"/>
              <w:bottom w:type="dxa" w:w="60"/>
              <w:right w:type="dxa" w:w="100"/>
            </w:tcMar>
          </w:tcPr>
          <w:p>
            <w:r>
              <w:rPr>
                <w:b w:val="false"/>
                <w:bCs w:val="false"/>
                <w:sz w:val="19"/>
                <w:szCs w:val="19"/>
              </w:rPr>
              <w:t xml:space="preserve">Agent pinned to a version; profile applied per request</w:t>
            </w:r>
          </w:p>
        </w:tc>
      </w:tr>
      <w:tr>
        <w:tc>
          <w:tcPr>
            <w:tcW w:type="dxa" w:w="500"/>
            <w:tcMar>
              <w:top w:type="dxa" w:w="60"/>
              <w:left w:type="dxa" w:w="100"/>
              <w:bottom w:type="dxa" w:w="60"/>
              <w:right w:type="dxa" w:w="100"/>
            </w:tcMar>
          </w:tcPr>
          <w:p>
            <w:r>
              <w:rPr>
                <w:b w:val="false"/>
                <w:bCs w:val="false"/>
                <w:sz w:val="19"/>
                <w:szCs w:val="19"/>
              </w:rPr>
              <w:t xml:space="preserve">3</w:t>
            </w:r>
          </w:p>
        </w:tc>
        <w:tc>
          <w:tcPr>
            <w:tcW w:type="dxa" w:w="4600"/>
            <w:tcMar>
              <w:top w:type="dxa" w:w="60"/>
              <w:left w:type="dxa" w:w="100"/>
              <w:bottom w:type="dxa" w:w="60"/>
              <w:right w:type="dxa" w:w="100"/>
            </w:tcMar>
          </w:tcPr>
          <w:p>
            <w:r>
              <w:rPr>
                <w:b w:val="false"/>
                <w:bCs w:val="false"/>
                <w:sz w:val="19"/>
                <w:szCs w:val="19"/>
              </w:rPr>
              <w:t xml:space="preserve">Run the output-verifier on the draft</w:t>
            </w:r>
          </w:p>
        </w:tc>
        <w:tc>
          <w:tcPr>
            <w:tcW w:type="dxa" w:w="4260"/>
            <w:tcMar>
              <w:top w:type="dxa" w:w="60"/>
              <w:left w:type="dxa" w:w="100"/>
              <w:bottom w:type="dxa" w:w="60"/>
              <w:right w:type="dxa" w:w="100"/>
            </w:tcMar>
          </w:tcPr>
          <w:p>
            <w:r>
              <w:rPr>
                <w:b w:val="false"/>
                <w:bCs w:val="false"/>
                <w:sz w:val="19"/>
                <w:szCs w:val="19"/>
              </w:rPr>
              <w:t xml:space="preserve">PASS/FAIL against deterministic rules; FAIL notifies and stops — no regeneration loop</w:t>
            </w:r>
          </w:p>
        </w:tc>
      </w:tr>
      <w:tr>
        <w:tc>
          <w:tcPr>
            <w:tcW w:type="dxa" w:w="500"/>
            <w:shd w:fill="E4F3F1" w:val="clear"/>
            <w:tcMar>
              <w:top w:type="dxa" w:w="60"/>
              <w:left w:type="dxa" w:w="100"/>
              <w:bottom w:type="dxa" w:w="60"/>
              <w:right w:type="dxa" w:w="100"/>
            </w:tcMar>
          </w:tcPr>
          <w:p>
            <w:r>
              <w:rPr>
                <w:b w:val="false"/>
                <w:bCs w:val="false"/>
                <w:sz w:val="19"/>
                <w:szCs w:val="19"/>
              </w:rPr>
              <w:t xml:space="preserve">4</w:t>
            </w:r>
          </w:p>
        </w:tc>
        <w:tc>
          <w:tcPr>
            <w:tcW w:type="dxa" w:w="4600"/>
            <w:shd w:fill="E4F3F1" w:val="clear"/>
            <w:tcMar>
              <w:top w:type="dxa" w:w="60"/>
              <w:left w:type="dxa" w:w="100"/>
              <w:bottom w:type="dxa" w:w="60"/>
              <w:right w:type="dxa" w:w="100"/>
            </w:tcMar>
          </w:tcPr>
          <w:p>
            <w:r>
              <w:rPr>
                <w:b w:val="false"/>
                <w:bCs w:val="false"/>
                <w:sz w:val="19"/>
                <w:szCs w:val="19"/>
              </w:rPr>
              <w:t xml:space="preserve">Suspend on the human-approval webhook</w:t>
            </w:r>
          </w:p>
        </w:tc>
        <w:tc>
          <w:tcPr>
            <w:tcW w:type="dxa" w:w="4260"/>
            <w:shd w:fill="E4F3F1" w:val="clear"/>
            <w:tcMar>
              <w:top w:type="dxa" w:w="60"/>
              <w:left w:type="dxa" w:w="100"/>
              <w:bottom w:type="dxa" w:w="60"/>
              <w:right w:type="dxa" w:w="100"/>
            </w:tcMar>
          </w:tcPr>
          <w:p>
            <w:r>
              <w:rPr>
                <w:b w:val="false"/>
                <w:bCs w:val="false"/>
                <w:sz w:val="19"/>
                <w:szCs w:val="19"/>
              </w:rPr>
              <w:t xml:space="preserve">Approver identity recorded; expiry bounded</w:t>
            </w:r>
          </w:p>
        </w:tc>
      </w:tr>
      <w:tr>
        <w:tc>
          <w:tcPr>
            <w:tcW w:type="dxa" w:w="500"/>
            <w:tcMar>
              <w:top w:type="dxa" w:w="60"/>
              <w:left w:type="dxa" w:w="100"/>
              <w:bottom w:type="dxa" w:w="60"/>
              <w:right w:type="dxa" w:w="100"/>
            </w:tcMar>
          </w:tcPr>
          <w:p>
            <w:r>
              <w:rPr>
                <w:b w:val="false"/>
                <w:bCs w:val="false"/>
                <w:sz w:val="19"/>
                <w:szCs w:val="19"/>
              </w:rPr>
              <w:t xml:space="preserve">5</w:t>
            </w:r>
          </w:p>
        </w:tc>
        <w:tc>
          <w:tcPr>
            <w:tcW w:type="dxa" w:w="4600"/>
            <w:tcMar>
              <w:top w:type="dxa" w:w="60"/>
              <w:left w:type="dxa" w:w="100"/>
              <w:bottom w:type="dxa" w:w="60"/>
              <w:right w:type="dxa" w:w="100"/>
            </w:tcMar>
          </w:tcPr>
          <w:p>
            <w:r>
              <w:rPr>
                <w:b w:val="false"/>
                <w:bCs w:val="false"/>
                <w:sz w:val="19"/>
                <w:szCs w:val="19"/>
              </w:rPr>
              <w:t xml:space="preserve">Render the verified JSON into the final file</w:t>
            </w:r>
          </w:p>
        </w:tc>
        <w:tc>
          <w:tcPr>
            <w:tcW w:type="dxa" w:w="4260"/>
            <w:tcMar>
              <w:top w:type="dxa" w:w="60"/>
              <w:left w:type="dxa" w:w="100"/>
              <w:bottom w:type="dxa" w:w="60"/>
              <w:right w:type="dxa" w:w="100"/>
            </w:tcMar>
          </w:tcPr>
          <w:p>
            <w:r>
              <w:rPr>
                <w:b w:val="false"/>
                <w:bCs w:val="false"/>
                <w:sz w:val="19"/>
                <w:szCs w:val="19"/>
              </w:rPr>
              <w:t xml:space="preserve">Deterministic generators; XLSX passes a recalculation gate</w:t>
            </w:r>
          </w:p>
        </w:tc>
      </w:tr>
      <w:tr>
        <w:tc>
          <w:tcPr>
            <w:tcW w:type="dxa" w:w="500"/>
            <w:shd w:fill="E4F3F1" w:val="clear"/>
            <w:tcMar>
              <w:top w:type="dxa" w:w="60"/>
              <w:left w:type="dxa" w:w="100"/>
              <w:bottom w:type="dxa" w:w="60"/>
              <w:right w:type="dxa" w:w="100"/>
            </w:tcMar>
          </w:tcPr>
          <w:p>
            <w:r>
              <w:rPr>
                <w:b w:val="false"/>
                <w:bCs w:val="false"/>
                <w:sz w:val="19"/>
                <w:szCs w:val="19"/>
              </w:rPr>
              <w:t xml:space="preserve">6</w:t>
            </w:r>
          </w:p>
        </w:tc>
        <w:tc>
          <w:tcPr>
            <w:tcW w:type="dxa" w:w="4600"/>
            <w:shd w:fill="E4F3F1" w:val="clear"/>
            <w:tcMar>
              <w:top w:type="dxa" w:w="60"/>
              <w:left w:type="dxa" w:w="100"/>
              <w:bottom w:type="dxa" w:w="60"/>
              <w:right w:type="dxa" w:w="100"/>
            </w:tcMar>
          </w:tcPr>
          <w:p>
            <w:r>
              <w:rPr>
                <w:b w:val="false"/>
                <w:bCs w:val="false"/>
                <w:sz w:val="19"/>
                <w:szCs w:val="19"/>
              </w:rPr>
              <w:t xml:space="preserve">Ensure Reports/&lt;Supplier&gt;/&lt;Service&gt;/ and upload</w:t>
            </w:r>
          </w:p>
        </w:tc>
        <w:tc>
          <w:tcPr>
            <w:tcW w:type="dxa" w:w="4260"/>
            <w:shd w:fill="E4F3F1" w:val="clear"/>
            <w:tcMar>
              <w:top w:type="dxa" w:w="60"/>
              <w:left w:type="dxa" w:w="100"/>
              <w:bottom w:type="dxa" w:w="60"/>
              <w:right w:type="dxa" w:w="100"/>
            </w:tcMar>
          </w:tcPr>
          <w:p>
            <w:r>
              <w:rPr>
                <w:b w:val="false"/>
                <w:bCs w:val="false"/>
                <w:sz w:val="19"/>
                <w:szCs w:val="19"/>
              </w:rPr>
              <w:t xml:space="preserve">Supplier folder reused, service folder created if missing, race-safe</w:t>
            </w:r>
          </w:p>
        </w:tc>
      </w:tr>
      <w:tr>
        <w:tc>
          <w:tcPr>
            <w:tcW w:type="dxa" w:w="500"/>
            <w:tcMar>
              <w:top w:type="dxa" w:w="60"/>
              <w:left w:type="dxa" w:w="100"/>
              <w:bottom w:type="dxa" w:w="60"/>
              <w:right w:type="dxa" w:w="100"/>
            </w:tcMar>
          </w:tcPr>
          <w:p>
            <w:r>
              <w:rPr>
                <w:b w:val="false"/>
                <w:bCs w:val="false"/>
                <w:sz w:val="19"/>
                <w:szCs w:val="19"/>
              </w:rPr>
              <w:t xml:space="preserve">7</w:t>
            </w:r>
          </w:p>
        </w:tc>
        <w:tc>
          <w:tcPr>
            <w:tcW w:type="dxa" w:w="4600"/>
            <w:tcMar>
              <w:top w:type="dxa" w:w="60"/>
              <w:left w:type="dxa" w:w="100"/>
              <w:bottom w:type="dxa" w:w="60"/>
              <w:right w:type="dxa" w:w="100"/>
            </w:tcMar>
          </w:tcPr>
          <w:p>
            <w:r>
              <w:rPr>
                <w:b w:val="false"/>
                <w:bCs w:val="false"/>
                <w:sz w:val="19"/>
                <w:szCs w:val="19"/>
              </w:rPr>
              <w:t xml:space="preserve">Apply the Purview sensitivity label</w:t>
            </w:r>
          </w:p>
        </w:tc>
        <w:tc>
          <w:tcPr>
            <w:tcW w:type="dxa" w:w="4260"/>
            <w:tcMar>
              <w:top w:type="dxa" w:w="60"/>
              <w:left w:type="dxa" w:w="100"/>
              <w:bottom w:type="dxa" w:w="60"/>
              <w:right w:type="dxa" w:w="100"/>
            </w:tcMar>
          </w:tcPr>
          <w:p>
            <w:r>
              <w:rPr>
                <w:b w:val="false"/>
                <w:bCs w:val="false"/>
                <w:sz w:val="19"/>
                <w:szCs w:val="19"/>
              </w:rPr>
              <w:t xml:space="preserve">Classification travels with the file</w:t>
            </w:r>
          </w:p>
        </w:tc>
      </w:tr>
      <w:tr>
        <w:tc>
          <w:tcPr>
            <w:tcW w:type="dxa" w:w="500"/>
            <w:shd w:fill="E4F3F1" w:val="clear"/>
            <w:tcMar>
              <w:top w:type="dxa" w:w="60"/>
              <w:left w:type="dxa" w:w="100"/>
              <w:bottom w:type="dxa" w:w="60"/>
              <w:right w:type="dxa" w:w="100"/>
            </w:tcMar>
          </w:tcPr>
          <w:p>
            <w:r>
              <w:rPr>
                <w:b w:val="false"/>
                <w:bCs w:val="false"/>
                <w:sz w:val="19"/>
                <w:szCs w:val="19"/>
              </w:rPr>
              <w:t xml:space="preserve">8</w:t>
            </w:r>
          </w:p>
        </w:tc>
        <w:tc>
          <w:tcPr>
            <w:tcW w:type="dxa" w:w="4600"/>
            <w:shd w:fill="E4F3F1" w:val="clear"/>
            <w:tcMar>
              <w:top w:type="dxa" w:w="60"/>
              <w:left w:type="dxa" w:w="100"/>
              <w:bottom w:type="dxa" w:w="60"/>
              <w:right w:type="dxa" w:w="100"/>
            </w:tcMar>
          </w:tcPr>
          <w:p>
            <w:r>
              <w:rPr>
                <w:b w:val="false"/>
                <w:bCs w:val="false"/>
                <w:sz w:val="19"/>
                <w:szCs w:val="19"/>
              </w:rPr>
              <w:t xml:space="preserve">Upload audit artefacts, update the portfolio and score history, notify Teams</w:t>
            </w:r>
          </w:p>
        </w:tc>
        <w:tc>
          <w:tcPr>
            <w:tcW w:type="dxa" w:w="4260"/>
            <w:shd w:fill="E4F3F1" w:val="clear"/>
            <w:tcMar>
              <w:top w:type="dxa" w:w="60"/>
              <w:left w:type="dxa" w:w="100"/>
              <w:bottom w:type="dxa" w:w="60"/>
              <w:right w:type="dxa" w:w="100"/>
            </w:tcMar>
          </w:tcPr>
          <w:p>
            <w:r>
              <w:rPr>
                <w:b w:val="false"/>
                <w:bCs w:val="false"/>
                <w:sz w:val="19"/>
                <w:szCs w:val="19"/>
              </w:rPr>
              <w:t xml:space="preserve">The report names its own evidence; the register stays current</w:t>
            </w:r>
          </w:p>
        </w:tc>
      </w:tr>
      <w:tr>
        <w:tc>
          <w:tcPr>
            <w:tcW w:type="dxa" w:w="500"/>
            <w:tcMar>
              <w:top w:type="dxa" w:w="60"/>
              <w:left w:type="dxa" w:w="100"/>
              <w:bottom w:type="dxa" w:w="60"/>
              <w:right w:type="dxa" w:w="100"/>
            </w:tcMar>
          </w:tcPr>
          <w:p>
            <w:r>
              <w:rPr>
                <w:b w:val="false"/>
                <w:bCs w:val="false"/>
                <w:sz w:val="19"/>
                <w:szCs w:val="19"/>
              </w:rPr>
              <w:t xml:space="preserve">9</w:t>
            </w:r>
          </w:p>
        </w:tc>
        <w:tc>
          <w:tcPr>
            <w:tcW w:type="dxa" w:w="4600"/>
            <w:tcMar>
              <w:top w:type="dxa" w:w="60"/>
              <w:left w:type="dxa" w:w="100"/>
              <w:bottom w:type="dxa" w:w="60"/>
              <w:right w:type="dxa" w:w="100"/>
            </w:tcMar>
          </w:tcPr>
          <w:p>
            <w:r>
              <w:rPr>
                <w:b w:val="false"/>
                <w:bCs w:val="false"/>
                <w:sz w:val="19"/>
                <w:szCs w:val="19"/>
              </w:rPr>
              <w:t xml:space="preserve">Store the evidence facts (requirement d2 only)</w:t>
            </w:r>
          </w:p>
        </w:tc>
        <w:tc>
          <w:tcPr>
            <w:tcW w:type="dxa" w:w="4260"/>
            <w:tcMar>
              <w:top w:type="dxa" w:w="60"/>
              <w:left w:type="dxa" w:w="100"/>
              <w:bottom w:type="dxa" w:w="60"/>
              <w:right w:type="dxa" w:w="100"/>
            </w:tcMar>
          </w:tcPr>
          <w:p>
            <w:r>
              <w:rPr>
                <w:b w:val="false"/>
                <w:bCs w:val="false"/>
                <w:sz w:val="19"/>
                <w:szCs w:val="19"/>
              </w:rPr>
              <w:t xml:space="preserve">Written only after approval, so the next assessment reads the delta</w:t>
            </w:r>
          </w:p>
        </w:tc>
      </w:tr>
    </w:tbl>
    <w:p>
      <w:pPr>
        <w:pStyle w:val="Heading2"/>
        <w:spacing w:after="120" w:before="260"/>
      </w:pPr>
      <w:r>
        <w:t xml:space="preserve">14.3 The other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5060"/>
      </w:tblGrid>
      <w:tr>
        <w:trPr>
          <w:tblHeader/>
        </w:trPr>
        <w:tc>
          <w:tcPr>
            <w:tcW w:type="dxa" w:w="2900"/>
            <w:shd w:fill="008D7F" w:val="clear"/>
            <w:tcMar>
              <w:top w:type="dxa" w:w="60"/>
              <w:left w:type="dxa" w:w="100"/>
              <w:bottom w:type="dxa" w:w="60"/>
              <w:right w:type="dxa" w:w="100"/>
            </w:tcMar>
          </w:tcPr>
          <w:p>
            <w:r>
              <w:rPr>
                <w:b/>
                <w:bCs/>
                <w:color w:val="FFFFFF"/>
                <w:sz w:val="19"/>
                <w:szCs w:val="19"/>
              </w:rPr>
              <w:t xml:space="preserve">Workflow</w:t>
            </w:r>
          </w:p>
        </w:tc>
        <w:tc>
          <w:tcPr>
            <w:tcW w:type="dxa" w:w="1400"/>
            <w:shd w:fill="008D7F" w:val="clear"/>
            <w:tcMar>
              <w:top w:type="dxa" w:w="60"/>
              <w:left w:type="dxa" w:w="100"/>
              <w:bottom w:type="dxa" w:w="60"/>
              <w:right w:type="dxa" w:w="100"/>
            </w:tcMar>
          </w:tcPr>
          <w:p>
            <w:r>
              <w:rPr>
                <w:b/>
                <w:bCs/>
                <w:color w:val="FFFFFF"/>
                <w:sz w:val="19"/>
                <w:szCs w:val="19"/>
              </w:rPr>
              <w:t xml:space="preserve">Trigger</w:t>
            </w:r>
          </w:p>
        </w:tc>
        <w:tc>
          <w:tcPr>
            <w:tcW w:type="dxa" w:w="5060"/>
            <w:shd w:fill="008D7F" w:val="clear"/>
            <w:tcMar>
              <w:top w:type="dxa" w:w="60"/>
              <w:left w:type="dxa" w:w="100"/>
              <w:bottom w:type="dxa" w:w="60"/>
              <w:right w:type="dxa" w:w="100"/>
            </w:tcMar>
          </w:tcPr>
          <w:p>
            <w:r>
              <w:rPr>
                <w:b/>
                <w:bCs/>
                <w:color w:val="FFFFFF"/>
                <w:sz w:val="19"/>
                <w:szCs w:val="19"/>
              </w:rPr>
              <w:t xml:space="preserve">Purpose</w:t>
            </w:r>
          </w:p>
        </w:tc>
      </w:tr>
      <w:tr>
        <w:tc>
          <w:tcPr>
            <w:tcW w:type="dxa" w:w="2900"/>
            <w:tcMar>
              <w:top w:type="dxa" w:w="60"/>
              <w:left w:type="dxa" w:w="100"/>
              <w:bottom w:type="dxa" w:w="60"/>
              <w:right w:type="dxa" w:w="100"/>
            </w:tcMar>
          </w:tcPr>
          <w:p>
            <w:r>
              <w:rPr>
                <w:b w:val="false"/>
                <w:bCs w:val="false"/>
                <w:sz w:val="19"/>
                <w:szCs w:val="19"/>
              </w:rPr>
              <w:t xml:space="preserve">onetrust-assessment-intake</w:t>
            </w:r>
          </w:p>
        </w:tc>
        <w:tc>
          <w:tcPr>
            <w:tcW w:type="dxa" w:w="1400"/>
            <w:tcMar>
              <w:top w:type="dxa" w:w="60"/>
              <w:left w:type="dxa" w:w="100"/>
              <w:bottom w:type="dxa" w:w="60"/>
              <w:right w:type="dxa" w:w="100"/>
            </w:tcMar>
          </w:tcPr>
          <w:p>
            <w:r>
              <w:rPr>
                <w:b w:val="false"/>
                <w:bCs w:val="false"/>
                <w:sz w:val="19"/>
                <w:szCs w:val="19"/>
              </w:rPr>
              <w:t xml:space="preserve">Schedule</w:t>
            </w:r>
          </w:p>
        </w:tc>
        <w:tc>
          <w:tcPr>
            <w:tcW w:type="dxa" w:w="5060"/>
            <w:tcMar>
              <w:top w:type="dxa" w:w="60"/>
              <w:left w:type="dxa" w:w="100"/>
              <w:bottom w:type="dxa" w:w="60"/>
              <w:right w:type="dxa" w:w="100"/>
            </w:tcMar>
          </w:tcPr>
          <w:p>
            <w:r>
              <w:rPr>
                <w:b w:val="false"/>
                <w:bCs w:val="false"/>
                <w:sz w:val="19"/>
                <w:szCs w:val="19"/>
              </w:rPr>
              <w:t xml:space="preserve">New completed assessments → the right report pipeline</w:t>
            </w:r>
          </w:p>
        </w:tc>
      </w:tr>
      <w:tr>
        <w:tc>
          <w:tcPr>
            <w:tcW w:type="dxa" w:w="2900"/>
            <w:shd w:fill="E4F3F1" w:val="clear"/>
            <w:tcMar>
              <w:top w:type="dxa" w:w="60"/>
              <w:left w:type="dxa" w:w="100"/>
              <w:bottom w:type="dxa" w:w="60"/>
              <w:right w:type="dxa" w:w="100"/>
            </w:tcMar>
          </w:tcPr>
          <w:p>
            <w:r>
              <w:rPr>
                <w:b w:val="false"/>
                <w:bCs w:val="false"/>
                <w:sz w:val="19"/>
                <w:szCs w:val="19"/>
              </w:rPr>
              <w:t xml:space="preserve">defender-incident-brief</w:t>
            </w:r>
          </w:p>
        </w:tc>
        <w:tc>
          <w:tcPr>
            <w:tcW w:type="dxa" w:w="1400"/>
            <w:shd w:fill="E4F3F1" w:val="clear"/>
            <w:tcMar>
              <w:top w:type="dxa" w:w="60"/>
              <w:left w:type="dxa" w:w="100"/>
              <w:bottom w:type="dxa" w:w="60"/>
              <w:right w:type="dxa" w:w="100"/>
            </w:tcMar>
          </w:tcPr>
          <w:p>
            <w:r>
              <w:rPr>
                <w:b w:val="false"/>
                <w:bCs w:val="false"/>
                <w:sz w:val="19"/>
                <w:szCs w:val="19"/>
              </w:rPr>
              <w:t xml:space="preserve">Event</w:t>
            </w:r>
          </w:p>
        </w:tc>
        <w:tc>
          <w:tcPr>
            <w:tcW w:type="dxa" w:w="5060"/>
            <w:shd w:fill="E4F3F1" w:val="clear"/>
            <w:tcMar>
              <w:top w:type="dxa" w:w="60"/>
              <w:left w:type="dxa" w:w="100"/>
              <w:bottom w:type="dxa" w:w="60"/>
              <w:right w:type="dxa" w:w="100"/>
            </w:tcMar>
          </w:tcPr>
          <w:p>
            <w:r>
              <w:rPr>
                <w:b w:val="false"/>
                <w:bCs w:val="false"/>
                <w:sz w:val="19"/>
                <w:szCs w:val="19"/>
              </w:rPr>
              <w:t xml:space="preserve">Incident → cyber-forum brief for the team</w:t>
            </w:r>
          </w:p>
        </w:tc>
      </w:tr>
      <w:tr>
        <w:tc>
          <w:tcPr>
            <w:tcW w:type="dxa" w:w="2900"/>
            <w:tcMar>
              <w:top w:type="dxa" w:w="60"/>
              <w:left w:type="dxa" w:w="100"/>
              <w:bottom w:type="dxa" w:w="60"/>
              <w:right w:type="dxa" w:w="100"/>
            </w:tcMar>
          </w:tcPr>
          <w:p>
            <w:r>
              <w:rPr>
                <w:b w:val="false"/>
                <w:bCs w:val="false"/>
                <w:sz w:val="19"/>
                <w:szCs w:val="19"/>
              </w:rPr>
              <w:t xml:space="preserve">scheduled-deepsearch</w:t>
            </w:r>
          </w:p>
        </w:tc>
        <w:tc>
          <w:tcPr>
            <w:tcW w:type="dxa" w:w="1400"/>
            <w:tcMar>
              <w:top w:type="dxa" w:w="60"/>
              <w:left w:type="dxa" w:w="100"/>
              <w:bottom w:type="dxa" w:w="60"/>
              <w:right w:type="dxa" w:w="100"/>
            </w:tcMar>
          </w:tcPr>
          <w:p>
            <w:r>
              <w:rPr>
                <w:b w:val="false"/>
                <w:bCs w:val="false"/>
                <w:sz w:val="19"/>
                <w:szCs w:val="19"/>
              </w:rPr>
              <w:t xml:space="preserve">Schedule</w:t>
            </w:r>
          </w:p>
        </w:tc>
        <w:tc>
          <w:tcPr>
            <w:tcW w:type="dxa" w:w="5060"/>
            <w:tcMar>
              <w:top w:type="dxa" w:w="60"/>
              <w:left w:type="dxa" w:w="100"/>
              <w:bottom w:type="dxa" w:w="60"/>
              <w:right w:type="dxa" w:w="100"/>
            </w:tcMar>
          </w:tcPr>
          <w:p>
            <w:r>
              <w:rPr>
                <w:b w:val="false"/>
                <w:bCs w:val="false"/>
                <w:sz w:val="19"/>
                <w:szCs w:val="19"/>
              </w:rPr>
              <w:t xml:space="preserve">Watchlist suppliers reassessed on a cadence</w:t>
            </w:r>
          </w:p>
        </w:tc>
      </w:tr>
      <w:tr>
        <w:tc>
          <w:tcPr>
            <w:tcW w:type="dxa" w:w="2900"/>
            <w:shd w:fill="E4F3F1" w:val="clear"/>
            <w:tcMar>
              <w:top w:type="dxa" w:w="60"/>
              <w:left w:type="dxa" w:w="100"/>
              <w:bottom w:type="dxa" w:w="60"/>
              <w:right w:type="dxa" w:w="100"/>
            </w:tcMar>
          </w:tcPr>
          <w:p>
            <w:r>
              <w:rPr>
                <w:b w:val="false"/>
                <w:bCs w:val="false"/>
                <w:sz w:val="19"/>
                <w:szCs w:val="19"/>
              </w:rPr>
              <w:t xml:space="preserve">jira-finding-sync</w:t>
            </w:r>
          </w:p>
        </w:tc>
        <w:tc>
          <w:tcPr>
            <w:tcW w:type="dxa" w:w="1400"/>
            <w:shd w:fill="E4F3F1" w:val="clear"/>
            <w:tcMar>
              <w:top w:type="dxa" w:w="60"/>
              <w:left w:type="dxa" w:w="100"/>
              <w:bottom w:type="dxa" w:w="60"/>
              <w:right w:type="dxa" w:w="100"/>
            </w:tcMar>
          </w:tcPr>
          <w:p>
            <w:r>
              <w:rPr>
                <w:b w:val="false"/>
                <w:bCs w:val="false"/>
                <w:sz w:val="19"/>
                <w:szCs w:val="19"/>
              </w:rPr>
              <w:t xml:space="preserve">Schedule</w:t>
            </w:r>
          </w:p>
        </w:tc>
        <w:tc>
          <w:tcPr>
            <w:tcW w:type="dxa" w:w="5060"/>
            <w:shd w:fill="E4F3F1" w:val="clear"/>
            <w:tcMar>
              <w:top w:type="dxa" w:w="60"/>
              <w:left w:type="dxa" w:w="100"/>
              <w:bottom w:type="dxa" w:w="60"/>
              <w:right w:type="dxa" w:w="100"/>
            </w:tcMar>
          </w:tcPr>
          <w:p>
            <w:r>
              <w:rPr>
                <w:b w:val="false"/>
                <w:bCs w:val="false"/>
                <w:sz w:val="19"/>
                <w:szCs w:val="19"/>
              </w:rPr>
              <w:t xml:space="preserve">Finding state synchronised from Jira, read-only</w:t>
            </w:r>
          </w:p>
        </w:tc>
      </w:tr>
      <w:tr>
        <w:tc>
          <w:tcPr>
            <w:tcW w:type="dxa" w:w="2900"/>
            <w:tcMar>
              <w:top w:type="dxa" w:w="60"/>
              <w:left w:type="dxa" w:w="100"/>
              <w:bottom w:type="dxa" w:w="60"/>
              <w:right w:type="dxa" w:w="100"/>
            </w:tcMar>
          </w:tcPr>
          <w:p>
            <w:r>
              <w:rPr>
                <w:b w:val="false"/>
                <w:bCs w:val="false"/>
                <w:sz w:val="19"/>
                <w:szCs w:val="19"/>
              </w:rPr>
              <w:t xml:space="preserve">mailbox-intake</w:t>
            </w:r>
          </w:p>
        </w:tc>
        <w:tc>
          <w:tcPr>
            <w:tcW w:type="dxa" w:w="1400"/>
            <w:tcMar>
              <w:top w:type="dxa" w:w="60"/>
              <w:left w:type="dxa" w:w="100"/>
              <w:bottom w:type="dxa" w:w="60"/>
              <w:right w:type="dxa" w:w="100"/>
            </w:tcMar>
          </w:tcPr>
          <w:p>
            <w:r>
              <w:rPr>
                <w:b w:val="false"/>
                <w:bCs w:val="false"/>
                <w:sz w:val="19"/>
                <w:szCs w:val="19"/>
              </w:rPr>
              <w:t xml:space="preserve">Schedule</w:t>
            </w:r>
          </w:p>
        </w:tc>
        <w:tc>
          <w:tcPr>
            <w:tcW w:type="dxa" w:w="5060"/>
            <w:tcMar>
              <w:top w:type="dxa" w:w="60"/>
              <w:left w:type="dxa" w:w="100"/>
              <w:bottom w:type="dxa" w:w="60"/>
              <w:right w:type="dxa" w:w="100"/>
            </w:tcMar>
          </w:tcPr>
          <w:p>
            <w:r>
              <w:rPr>
                <w:b w:val="false"/>
                <w:bCs w:val="false"/>
                <w:sz w:val="19"/>
                <w:szCs w:val="19"/>
              </w:rPr>
              <w:t xml:space="preserve">Evidence that arrives by e-mail filed for human triage</w:t>
            </w:r>
          </w:p>
        </w:tc>
      </w:tr>
      <w:tr>
        <w:tc>
          <w:tcPr>
            <w:tcW w:type="dxa" w:w="2900"/>
            <w:shd w:fill="E4F3F1" w:val="clear"/>
            <w:tcMar>
              <w:top w:type="dxa" w:w="60"/>
              <w:left w:type="dxa" w:w="100"/>
              <w:bottom w:type="dxa" w:w="60"/>
              <w:right w:type="dxa" w:w="100"/>
            </w:tcMar>
          </w:tcPr>
          <w:p>
            <w:r>
              <w:rPr>
                <w:b w:val="false"/>
                <w:bCs w:val="false"/>
                <w:sz w:val="19"/>
                <w:szCs w:val="19"/>
              </w:rPr>
              <w:t xml:space="preserve">template-update-approval</w:t>
            </w:r>
          </w:p>
        </w:tc>
        <w:tc>
          <w:tcPr>
            <w:tcW w:type="dxa" w:w="1400"/>
            <w:shd w:fill="E4F3F1" w:val="clear"/>
            <w:tcMar>
              <w:top w:type="dxa" w:w="60"/>
              <w:left w:type="dxa" w:w="100"/>
              <w:bottom w:type="dxa" w:w="60"/>
              <w:right w:type="dxa" w:w="100"/>
            </w:tcMar>
          </w:tcPr>
          <w:p>
            <w:r>
              <w:rPr>
                <w:b w:val="false"/>
                <w:bCs w:val="false"/>
                <w:sz w:val="19"/>
                <w:szCs w:val="19"/>
              </w:rPr>
              <w:t xml:space="preserve">Request</w:t>
            </w:r>
          </w:p>
        </w:tc>
        <w:tc>
          <w:tcPr>
            <w:tcW w:type="dxa" w:w="5060"/>
            <w:shd w:fill="E4F3F1" w:val="clear"/>
            <w:tcMar>
              <w:top w:type="dxa" w:w="60"/>
              <w:left w:type="dxa" w:w="100"/>
              <w:bottom w:type="dxa" w:w="60"/>
              <w:right w:type="dxa" w:w="100"/>
            </w:tcMar>
          </w:tcPr>
          <w:p>
            <w:r>
              <w:rPr>
                <w:b w:val="false"/>
                <w:bCs w:val="false"/>
                <w:sz w:val="19"/>
                <w:szCs w:val="19"/>
              </w:rPr>
              <w:t xml:space="preserve">Requirement j: visual before/after review, sample render, verifier, then apply</w:t>
            </w:r>
          </w:p>
        </w:tc>
      </w:tr>
      <w:tr>
        <w:tc>
          <w:tcPr>
            <w:tcW w:type="dxa" w:w="2900"/>
            <w:tcMar>
              <w:top w:type="dxa" w:w="60"/>
              <w:left w:type="dxa" w:w="100"/>
              <w:bottom w:type="dxa" w:w="60"/>
              <w:right w:type="dxa" w:w="100"/>
            </w:tcMar>
          </w:tcPr>
          <w:p>
            <w:r>
              <w:rPr>
                <w:b w:val="false"/>
                <w:bCs w:val="false"/>
                <w:sz w:val="19"/>
                <w:szCs w:val="19"/>
              </w:rPr>
              <w:t xml:space="preserve">scheduled-evaluation-redteam</w:t>
            </w:r>
          </w:p>
        </w:tc>
        <w:tc>
          <w:tcPr>
            <w:tcW w:type="dxa" w:w="1400"/>
            <w:tcMar>
              <w:top w:type="dxa" w:w="60"/>
              <w:left w:type="dxa" w:w="100"/>
              <w:bottom w:type="dxa" w:w="60"/>
              <w:right w:type="dxa" w:w="100"/>
            </w:tcMar>
          </w:tcPr>
          <w:p>
            <w:r>
              <w:rPr>
                <w:b w:val="false"/>
                <w:bCs w:val="false"/>
                <w:sz w:val="19"/>
                <w:szCs w:val="19"/>
              </w:rPr>
              <w:t xml:space="preserve">Schedule</w:t>
            </w:r>
          </w:p>
        </w:tc>
        <w:tc>
          <w:tcPr>
            <w:tcW w:type="dxa" w:w="5060"/>
            <w:tcMar>
              <w:top w:type="dxa" w:w="60"/>
              <w:left w:type="dxa" w:w="100"/>
              <w:bottom w:type="dxa" w:w="60"/>
              <w:right w:type="dxa" w:w="100"/>
            </w:tcMar>
          </w:tcPr>
          <w:p>
            <w:r>
              <w:rPr>
                <w:b w:val="false"/>
                <w:bCs w:val="false"/>
                <w:sz w:val="19"/>
                <w:szCs w:val="19"/>
              </w:rPr>
              <w:t xml:space="preserve">Weekly golden-set evaluation and red-team run</w:t>
            </w:r>
          </w:p>
        </w:tc>
      </w:tr>
      <w:tr>
        <w:tc>
          <w:tcPr>
            <w:tcW w:type="dxa" w:w="2900"/>
            <w:shd w:fill="E4F3F1" w:val="clear"/>
            <w:tcMar>
              <w:top w:type="dxa" w:w="60"/>
              <w:left w:type="dxa" w:w="100"/>
              <w:bottom w:type="dxa" w:w="60"/>
              <w:right w:type="dxa" w:w="100"/>
            </w:tcMar>
          </w:tcPr>
          <w:p>
            <w:r>
              <w:rPr>
                <w:b w:val="false"/>
                <w:bCs w:val="false"/>
                <w:sz w:val="19"/>
                <w:szCs w:val="19"/>
              </w:rPr>
              <w:t xml:space="preserve">memory-retention</w:t>
            </w:r>
          </w:p>
        </w:tc>
        <w:tc>
          <w:tcPr>
            <w:tcW w:type="dxa" w:w="1400"/>
            <w:shd w:fill="E4F3F1" w:val="clear"/>
            <w:tcMar>
              <w:top w:type="dxa" w:w="60"/>
              <w:left w:type="dxa" w:w="100"/>
              <w:bottom w:type="dxa" w:w="60"/>
              <w:right w:type="dxa" w:w="100"/>
            </w:tcMar>
          </w:tcPr>
          <w:p>
            <w:r>
              <w:rPr>
                <w:b w:val="false"/>
                <w:bCs w:val="false"/>
                <w:sz w:val="19"/>
                <w:szCs w:val="19"/>
              </w:rPr>
              <w:t xml:space="preserve">Schedule</w:t>
            </w:r>
          </w:p>
        </w:tc>
        <w:tc>
          <w:tcPr>
            <w:tcW w:type="dxa" w:w="5060"/>
            <w:shd w:fill="E4F3F1" w:val="clear"/>
            <w:tcMar>
              <w:top w:type="dxa" w:w="60"/>
              <w:left w:type="dxa" w:w="100"/>
              <w:bottom w:type="dxa" w:w="60"/>
              <w:right w:type="dxa" w:w="100"/>
            </w:tcMar>
          </w:tcPr>
          <w:p>
            <w:r>
              <w:rPr>
                <w:b w:val="false"/>
                <w:bCs w:val="false"/>
                <w:sz w:val="19"/>
                <w:szCs w:val="19"/>
              </w:rPr>
              <w:t xml:space="preserve">Retention sweep over durable memory</w:t>
            </w:r>
          </w:p>
        </w:tc>
      </w:tr>
      <w:tr>
        <w:tc>
          <w:tcPr>
            <w:tcW w:type="dxa" w:w="2900"/>
            <w:tcMar>
              <w:top w:type="dxa" w:w="60"/>
              <w:left w:type="dxa" w:w="100"/>
              <w:bottom w:type="dxa" w:w="60"/>
              <w:right w:type="dxa" w:w="100"/>
            </w:tcMar>
          </w:tcPr>
          <w:p>
            <w:r>
              <w:rPr>
                <w:b w:val="false"/>
                <w:bCs w:val="false"/>
                <w:sz w:val="19"/>
                <w:szCs w:val="19"/>
              </w:rPr>
              <w:t xml:space="preserve">agent-fanout · watch-until · report-status · generic-event-intake · teams-post-approved · speech-transcription · morning-brief · scheduled-followup</w:t>
            </w:r>
          </w:p>
        </w:tc>
        <w:tc>
          <w:tcPr>
            <w:tcW w:type="dxa" w:w="1400"/>
            <w:tcMar>
              <w:top w:type="dxa" w:w="60"/>
              <w:left w:type="dxa" w:w="100"/>
              <w:bottom w:type="dxa" w:w="60"/>
              <w:right w:type="dxa" w:w="100"/>
            </w:tcMar>
          </w:tcPr>
          <w:p>
            <w:r>
              <w:rPr>
                <w:b w:val="false"/>
                <w:bCs w:val="false"/>
                <w:sz w:val="19"/>
                <w:szCs w:val="19"/>
              </w:rPr>
              <w:t xml:space="preserve">Various</w:t>
            </w:r>
          </w:p>
        </w:tc>
        <w:tc>
          <w:tcPr>
            <w:tcW w:type="dxa" w:w="5060"/>
            <w:tcMar>
              <w:top w:type="dxa" w:w="60"/>
              <w:left w:type="dxa" w:w="100"/>
              <w:bottom w:type="dxa" w:w="60"/>
              <w:right w:type="dxa" w:w="100"/>
            </w:tcMar>
          </w:tcPr>
          <w:p>
            <w:r>
              <w:rPr>
                <w:b w:val="false"/>
                <w:bCs w:val="false"/>
                <w:sz w:val="19"/>
                <w:szCs w:val="19"/>
              </w:rPr>
              <w:t xml:space="preserve">Platform utilities: bounded parallel hand-off, polling, status, event intake, notification, transcription, personal brief, follow-up</w:t>
            </w:r>
          </w:p>
        </w:tc>
      </w:tr>
    </w:tbl>
    <w:p>
      <w:pPr>
        <w:spacing w:after="140"/>
        <w:jc w:val="both"/>
      </w:pPr>
      <w:r>
        <w:t xml:space="preserve">Every loop in every workflow declares a concurrency bound and the API limit it respects; a CI gate fails the build if a new one does not, because an unbounded loop against a rate-limited API is both slower and more expensive than a small steady number of branches.</w:t>
      </w:r>
    </w:p>
    <w:p>
      <w:pPr>
        <w:pStyle w:val="Heading1"/>
        <w:spacing w:after="160" w:before="360"/>
      </w:pPr>
      <w:r>
        <w:t xml:space="preserve">15. Delivery, Storage and the Evidence Cache</w:t>
      </w:r>
    </w:p>
    <w:p>
      <w:pPr>
        <w:pStyle w:val="Heading2"/>
        <w:spacing w:after="120" w:before="260"/>
      </w:pPr>
      <w:r>
        <w:t xml:space="preserve">15.1 The storage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Purpose</w:t>
            </w:r>
          </w:p>
        </w:tc>
        <w:tc>
          <w:tcPr>
            <w:tcW w:type="dxa" w:w="4200"/>
            <w:shd w:fill="008D7F" w:val="clear"/>
            <w:tcMar>
              <w:top w:type="dxa" w:w="60"/>
              <w:left w:type="dxa" w:w="100"/>
              <w:bottom w:type="dxa" w:w="60"/>
              <w:right w:type="dxa" w:w="100"/>
            </w:tcMar>
          </w:tcPr>
          <w:p>
            <w:r>
              <w:rPr>
                <w:b/>
                <w:bCs/>
                <w:color w:val="FFFFFF"/>
                <w:sz w:val="19"/>
                <w:szCs w:val="19"/>
              </w:rPr>
              <w:t xml:space="preserve">Path</w:t>
            </w:r>
          </w:p>
        </w:tc>
        <w:tc>
          <w:tcPr>
            <w:tcW w:type="dxa" w:w="2560"/>
            <w:shd w:fill="008D7F" w:val="clear"/>
            <w:tcMar>
              <w:top w:type="dxa" w:w="60"/>
              <w:left w:type="dxa" w:w="100"/>
              <w:bottom w:type="dxa" w:w="60"/>
              <w:right w:type="dxa" w:w="100"/>
            </w:tcMar>
          </w:tcPr>
          <w:p>
            <w:r>
              <w:rPr>
                <w:b/>
                <w:bCs/>
                <w:color w:val="FFFFFF"/>
                <w:sz w:val="19"/>
                <w:szCs w:val="19"/>
              </w:rPr>
              <w:t xml:space="preserve">Written by</w:t>
            </w:r>
          </w:p>
        </w:tc>
      </w:tr>
      <w:tr>
        <w:tc>
          <w:tcPr>
            <w:tcW w:type="dxa" w:w="2600"/>
            <w:tcMar>
              <w:top w:type="dxa" w:w="60"/>
              <w:left w:type="dxa" w:w="100"/>
              <w:bottom w:type="dxa" w:w="60"/>
              <w:right w:type="dxa" w:w="100"/>
            </w:tcMar>
          </w:tcPr>
          <w:p>
            <w:r>
              <w:rPr>
                <w:b w:val="false"/>
                <w:bCs w:val="false"/>
                <w:sz w:val="19"/>
                <w:szCs w:val="19"/>
              </w:rPr>
              <w:t xml:space="preserve">Assessment reports</w:t>
            </w:r>
          </w:p>
        </w:tc>
        <w:tc>
          <w:tcPr>
            <w:tcW w:type="dxa" w:w="4200"/>
            <w:tcMar>
              <w:top w:type="dxa" w:w="60"/>
              <w:left w:type="dxa" w:w="100"/>
              <w:bottom w:type="dxa" w:w="60"/>
              <w:right w:type="dxa" w:w="100"/>
            </w:tcMar>
          </w:tcPr>
          <w:p>
            <w:r>
              <w:rPr>
                <w:b w:val="false"/>
                <w:bCs w:val="false"/>
                <w:sz w:val="19"/>
                <w:szCs w:val="19"/>
              </w:rPr>
              <w:t xml:space="preserve">Reports/&lt;Supplier&gt;/&lt;Service&gt;/</w:t>
            </w:r>
          </w:p>
        </w:tc>
        <w:tc>
          <w:tcPr>
            <w:tcW w:type="dxa" w:w="2560"/>
            <w:tcMar>
              <w:top w:type="dxa" w:w="60"/>
              <w:left w:type="dxa" w:w="100"/>
              <w:bottom w:type="dxa" w:w="60"/>
              <w:right w:type="dxa" w:w="100"/>
            </w:tcMar>
          </w:tcPr>
          <w:p>
            <w:r>
              <w:rPr>
                <w:b w:val="false"/>
                <w:bCs w:val="false"/>
                <w:sz w:val="19"/>
                <w:szCs w:val="19"/>
              </w:rPr>
              <w:t xml:space="preserve">Delivery Function, after approval</w:t>
            </w:r>
          </w:p>
        </w:tc>
      </w:tr>
      <w:tr>
        <w:tc>
          <w:tcPr>
            <w:tcW w:type="dxa" w:w="2600"/>
            <w:shd w:fill="E4F3F1" w:val="clear"/>
            <w:tcMar>
              <w:top w:type="dxa" w:w="60"/>
              <w:left w:type="dxa" w:w="100"/>
              <w:bottom w:type="dxa" w:w="60"/>
              <w:right w:type="dxa" w:w="100"/>
            </w:tcMar>
          </w:tcPr>
          <w:p>
            <w:r>
              <w:rPr>
                <w:b w:val="false"/>
                <w:bCs w:val="false"/>
                <w:sz w:val="19"/>
                <w:szCs w:val="19"/>
              </w:rPr>
              <w:t xml:space="preserve">DPO deliverables</w:t>
            </w:r>
          </w:p>
        </w:tc>
        <w:tc>
          <w:tcPr>
            <w:tcW w:type="dxa" w:w="4200"/>
            <w:shd w:fill="E4F3F1" w:val="clear"/>
            <w:tcMar>
              <w:top w:type="dxa" w:w="60"/>
              <w:left w:type="dxa" w:w="100"/>
              <w:bottom w:type="dxa" w:w="60"/>
              <w:right w:type="dxa" w:w="100"/>
            </w:tcMar>
          </w:tcPr>
          <w:p>
            <w:r>
              <w:rPr>
                <w:b w:val="false"/>
                <w:bCs w:val="false"/>
                <w:sz w:val="19"/>
                <w:szCs w:val="19"/>
              </w:rPr>
              <w:t xml:space="preserve">Reports/DPO/&lt;Supplier&gt;/&lt;Service&gt;/</w:t>
            </w:r>
          </w:p>
        </w:tc>
        <w:tc>
          <w:tcPr>
            <w:tcW w:type="dxa" w:w="2560"/>
            <w:shd w:fill="E4F3F1" w:val="clear"/>
            <w:tcMar>
              <w:top w:type="dxa" w:w="60"/>
              <w:left w:type="dxa" w:w="100"/>
              <w:bottom w:type="dxa" w:w="60"/>
              <w:right w:type="dxa" w:w="100"/>
            </w:tcMar>
          </w:tcPr>
          <w:p>
            <w:r>
              <w:rPr>
                <w:b w:val="false"/>
                <w:bCs w:val="false"/>
                <w:sz w:val="19"/>
                <w:szCs w:val="19"/>
              </w:rPr>
              <w:t xml:space="preserve">Delivery Function (unique permissions)</w:t>
            </w:r>
          </w:p>
        </w:tc>
      </w:tr>
      <w:tr>
        <w:tc>
          <w:tcPr>
            <w:tcW w:type="dxa" w:w="2600"/>
            <w:tcMar>
              <w:top w:type="dxa" w:w="60"/>
              <w:left w:type="dxa" w:w="100"/>
              <w:bottom w:type="dxa" w:w="60"/>
              <w:right w:type="dxa" w:w="100"/>
            </w:tcMar>
          </w:tcPr>
          <w:p>
            <w:r>
              <w:rPr>
                <w:b w:val="false"/>
                <w:bCs w:val="false"/>
                <w:sz w:val="19"/>
                <w:szCs w:val="19"/>
              </w:rPr>
              <w:t xml:space="preserve">Advisory deliverables</w:t>
            </w:r>
          </w:p>
        </w:tc>
        <w:tc>
          <w:tcPr>
            <w:tcW w:type="dxa" w:w="4200"/>
            <w:tcMar>
              <w:top w:type="dxa" w:w="60"/>
              <w:left w:type="dxa" w:w="100"/>
              <w:bottom w:type="dxa" w:w="60"/>
              <w:right w:type="dxa" w:w="100"/>
            </w:tcMar>
          </w:tcPr>
          <w:p>
            <w:r>
              <w:rPr>
                <w:b w:val="false"/>
                <w:bCs w:val="false"/>
                <w:sz w:val="19"/>
                <w:szCs w:val="19"/>
              </w:rPr>
              <w:t xml:space="preserve">Advisory/&lt;Framework-or-Topic&gt;/&lt;Subtopic&gt;/</w:t>
            </w:r>
          </w:p>
        </w:tc>
        <w:tc>
          <w:tcPr>
            <w:tcW w:type="dxa" w:w="2560"/>
            <w:tcMar>
              <w:top w:type="dxa" w:w="60"/>
              <w:left w:type="dxa" w:w="100"/>
              <w:bottom w:type="dxa" w:w="60"/>
              <w:right w:type="dxa" w:w="100"/>
            </w:tcMar>
          </w:tcPr>
          <w:p>
            <w:r>
              <w:rPr>
                <w:b w:val="false"/>
                <w:bCs w:val="false"/>
                <w:sz w:val="19"/>
                <w:szCs w:val="19"/>
              </w:rPr>
              <w:t xml:space="preserve">Delivery Function</w:t>
            </w:r>
          </w:p>
        </w:tc>
      </w:tr>
      <w:tr>
        <w:tc>
          <w:tcPr>
            <w:tcW w:type="dxa" w:w="2600"/>
            <w:shd w:fill="E4F3F1" w:val="clear"/>
            <w:tcMar>
              <w:top w:type="dxa" w:w="60"/>
              <w:left w:type="dxa" w:w="100"/>
              <w:bottom w:type="dxa" w:w="60"/>
              <w:right w:type="dxa" w:w="100"/>
            </w:tcMar>
          </w:tcPr>
          <w:p>
            <w:r>
              <w:rPr>
                <w:b w:val="false"/>
                <w:bCs w:val="false"/>
                <w:sz w:val="19"/>
                <w:szCs w:val="19"/>
              </w:rPr>
              <w:t xml:space="preserve">Audit artefacts</w:t>
            </w:r>
          </w:p>
        </w:tc>
        <w:tc>
          <w:tcPr>
            <w:tcW w:type="dxa" w:w="4200"/>
            <w:shd w:fill="E4F3F1" w:val="clear"/>
            <w:tcMar>
              <w:top w:type="dxa" w:w="60"/>
              <w:left w:type="dxa" w:w="100"/>
              <w:bottom w:type="dxa" w:w="60"/>
              <w:right w:type="dxa" w:w="100"/>
            </w:tcMar>
          </w:tcPr>
          <w:p>
            <w:r>
              <w:rPr>
                <w:b w:val="false"/>
                <w:bCs w:val="false"/>
                <w:sz w:val="19"/>
                <w:szCs w:val="19"/>
              </w:rPr>
              <w:t xml:space="preserve">Reports/&lt;Supplier&gt;/&lt;Service&gt;/audit/&lt;date&gt;/</w:t>
            </w:r>
          </w:p>
        </w:tc>
        <w:tc>
          <w:tcPr>
            <w:tcW w:type="dxa" w:w="2560"/>
            <w:shd w:fill="E4F3F1" w:val="clear"/>
            <w:tcMar>
              <w:top w:type="dxa" w:w="60"/>
              <w:left w:type="dxa" w:w="100"/>
              <w:bottom w:type="dxa" w:w="60"/>
              <w:right w:type="dxa" w:w="100"/>
            </w:tcMar>
          </w:tcPr>
          <w:p>
            <w:r>
              <w:rPr>
                <w:b w:val="false"/>
                <w:bCs w:val="false"/>
                <w:sz w:val="19"/>
                <w:szCs w:val="19"/>
              </w:rPr>
              <w:t xml:space="preserve">Delivery Function</w:t>
            </w:r>
          </w:p>
        </w:tc>
      </w:tr>
      <w:tr>
        <w:tc>
          <w:tcPr>
            <w:tcW w:type="dxa" w:w="2600"/>
            <w:tcMar>
              <w:top w:type="dxa" w:w="60"/>
              <w:left w:type="dxa" w:w="100"/>
              <w:bottom w:type="dxa" w:w="60"/>
              <w:right w:type="dxa" w:w="100"/>
            </w:tcMar>
          </w:tcPr>
          <w:p>
            <w:r>
              <w:rPr>
                <w:b w:val="false"/>
                <w:bCs w:val="false"/>
                <w:sz w:val="19"/>
                <w:szCs w:val="19"/>
              </w:rPr>
              <w:t xml:space="preserve">Evidence library (read-only input)</w:t>
            </w:r>
          </w:p>
        </w:tc>
        <w:tc>
          <w:tcPr>
            <w:tcW w:type="dxa" w:w="4200"/>
            <w:tcMar>
              <w:top w:type="dxa" w:w="60"/>
              <w:left w:type="dxa" w:w="100"/>
              <w:bottom w:type="dxa" w:w="60"/>
              <w:right w:type="dxa" w:w="100"/>
            </w:tcMar>
          </w:tcPr>
          <w:p>
            <w:r>
              <w:rPr>
                <w:b w:val="false"/>
                <w:bCs w:val="false"/>
                <w:sz w:val="19"/>
                <w:szCs w:val="19"/>
              </w:rPr>
              <w:t xml:space="preserve">Infosec Assurance/GRC/TPA/Active/&lt;Supplier&gt;[/&lt;Service&gt;]/</w:t>
            </w:r>
          </w:p>
        </w:tc>
        <w:tc>
          <w:tcPr>
            <w:tcW w:type="dxa" w:w="2560"/>
            <w:tcMar>
              <w:top w:type="dxa" w:w="60"/>
              <w:left w:type="dxa" w:w="100"/>
              <w:bottom w:type="dxa" w:w="60"/>
              <w:right w:type="dxa" w:w="100"/>
            </w:tcMar>
          </w:tcPr>
          <w:p>
            <w:r>
              <w:rPr>
                <w:b w:val="false"/>
                <w:bCs w:val="false"/>
                <w:sz w:val="19"/>
                <w:szCs w:val="19"/>
              </w:rPr>
              <w:t xml:space="preserve">People — the platform only reads it</w:t>
            </w:r>
          </w:p>
        </w:tc>
      </w:tr>
      <w:tr>
        <w:tc>
          <w:tcPr>
            <w:tcW w:type="dxa" w:w="2600"/>
            <w:shd w:fill="E4F3F1" w:val="clear"/>
            <w:tcMar>
              <w:top w:type="dxa" w:w="60"/>
              <w:left w:type="dxa" w:w="100"/>
              <w:bottom w:type="dxa" w:w="60"/>
              <w:right w:type="dxa" w:w="100"/>
            </w:tcMar>
          </w:tcPr>
          <w:p>
            <w:r>
              <w:rPr>
                <w:b w:val="false"/>
                <w:bCs w:val="false"/>
                <w:sz w:val="19"/>
                <w:szCs w:val="19"/>
              </w:rPr>
              <w:t xml:space="preserve">Templates and reviews</w:t>
            </w:r>
          </w:p>
        </w:tc>
        <w:tc>
          <w:tcPr>
            <w:tcW w:type="dxa" w:w="4200"/>
            <w:shd w:fill="E4F3F1" w:val="clear"/>
            <w:tcMar>
              <w:top w:type="dxa" w:w="60"/>
              <w:left w:type="dxa" w:w="100"/>
              <w:bottom w:type="dxa" w:w="60"/>
              <w:right w:type="dxa" w:w="100"/>
            </w:tcMar>
          </w:tcPr>
          <w:p>
            <w:r>
              <w:rPr>
                <w:b w:val="false"/>
                <w:bCs w:val="false"/>
                <w:sz w:val="19"/>
                <w:szCs w:val="19"/>
              </w:rPr>
              <w:t xml:space="preserve">Templates/ and Templates/Reviews/</w:t>
            </w:r>
          </w:p>
        </w:tc>
        <w:tc>
          <w:tcPr>
            <w:tcW w:type="dxa" w:w="2560"/>
            <w:shd w:fill="E4F3F1" w:val="clear"/>
            <w:tcMar>
              <w:top w:type="dxa" w:w="60"/>
              <w:left w:type="dxa" w:w="100"/>
              <w:bottom w:type="dxa" w:w="60"/>
              <w:right w:type="dxa" w:w="100"/>
            </w:tcMar>
          </w:tcPr>
          <w:p>
            <w:r>
              <w:rPr>
                <w:b w:val="false"/>
                <w:bCs w:val="false"/>
                <w:sz w:val="19"/>
                <w:szCs w:val="19"/>
              </w:rPr>
              <w:t xml:space="preserve">Delivery Function after a template approval</w:t>
            </w:r>
          </w:p>
        </w:tc>
      </w:tr>
    </w:tbl>
    <w:p>
      <w:pPr>
        <w:spacing w:after="140"/>
        <w:jc w:val="both"/>
      </w:pPr>
      <w:r>
        <w:t xml:space="preserve">Three SharePoint lists carry state the team relies on: the TPRM portfolio, the TPSRCA score history, and the evidence cache. All three are written exclusively by the delivery Function's managed identity, after approval — no agent and no connector can write to them.</w:t>
      </w:r>
    </w:p>
    <w:p>
      <w:pPr>
        <w:pStyle w:val="Heading2"/>
        <w:spacing w:after="120" w:before="260"/>
      </w:pPr>
      <w:r>
        <w:t xml:space="preserve">15.2 Delta re-analysis of evidence</w:t>
      </w:r>
    </w:p>
    <w:p>
      <w:pPr>
        <w:spacing w:after="140"/>
        <w:jc w:val="both"/>
      </w:pPr>
      <w:r>
        <w:t xml:space="preserve">The evidence analysis (requirement d2) is the heaviest recurring run: a whole supplier tree read on the reasoning tier with a chunked full-coverage method. Between two assessments almost none of those files change, so the platform reads the delta rather than the tree. Before reading a file the analyzer asks the cache what a previously approved run extracted from it; a match on the SharePoint eTag means the bytes are identical and the facts can be reused.</w:t>
      </w:r>
    </w:p>
    <w:p>
      <w:pPr>
        <w:pStyle w:val="ListParagraph"/>
        <w:numPr>
          <w:ilvl w:val="0"/>
          <w:numId w:val="2"/>
        </w:numPr>
        <w:spacing w:after="80"/>
      </w:pPr>
      <w:r>
        <w:rPr>
          <w:b/>
          <w:bCs/>
        </w:rPr>
        <w:t xml:space="preserve">What is cached: </w:t>
      </w:r>
      <w:r>
        <w:t xml:space="preserve">facts a reader cannot recompute: document type, issuer, content identification, scope statement, emission date, validity window, findings.</w:t>
      </w:r>
    </w:p>
    <w:p>
      <w:pPr>
        <w:pStyle w:val="ListParagraph"/>
        <w:numPr>
          <w:ilvl w:val="0"/>
          <w:numId w:val="2"/>
        </w:numPr>
        <w:spacing w:after="80"/>
      </w:pPr>
      <w:r>
        <w:rPr>
          <w:b/>
          <w:bCs/>
        </w:rPr>
        <w:t xml:space="preserve">What is never cached: </w:t>
      </w:r>
      <w:r>
        <w:t xml:space="preserve">anything time-dependent. VALID / EXPIRING ≤ 90 days / EXPIRED / period-gap are recomputed against each report date, because a certificate valid in March is not valid in September.</w:t>
      </w:r>
    </w:p>
    <w:p>
      <w:pPr>
        <w:pStyle w:val="ListParagraph"/>
        <w:numPr>
          <w:ilvl w:val="0"/>
          <w:numId w:val="2"/>
        </w:numPr>
        <w:spacing w:after="80"/>
      </w:pPr>
      <w:r>
        <w:rPr>
          <w:b/>
          <w:bCs/>
        </w:rPr>
        <w:t xml:space="preserve">How it stays honest: </w:t>
      </w:r>
      <w:r>
        <w:t xml:space="preserve">three invalidations — a changed eTag, a changed extractor version, and age; a cached finding that would drive a HIGH or CRITICAL verdict must be re-read before it decides anything; and every inventory row is marked fresh or reused with the run it came from, so the approver sees the provenance they are signing.</w:t>
      </w:r>
    </w:p>
    <w:p>
      <w:pPr>
        <w:pStyle w:val="Heading1"/>
        <w:spacing w:after="160" w:before="360"/>
      </w:pPr>
      <w:r>
        <w:t xml:space="preserve">16. Security Controls in Implementation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008D7F" w:val="clear"/>
            <w:tcMar>
              <w:top w:type="dxa" w:w="60"/>
              <w:left w:type="dxa" w:w="100"/>
              <w:bottom w:type="dxa" w:w="60"/>
              <w:right w:type="dxa" w:w="100"/>
            </w:tcMar>
          </w:tcPr>
          <w:p>
            <w:r>
              <w:rPr>
                <w:b/>
                <w:bCs/>
                <w:color w:val="FFFFFF"/>
                <w:sz w:val="19"/>
                <w:szCs w:val="19"/>
              </w:rPr>
              <w:t xml:space="preserve">Control</w:t>
            </w:r>
          </w:p>
        </w:tc>
        <w:tc>
          <w:tcPr>
            <w:tcW w:type="dxa" w:w="4200"/>
            <w:shd w:fill="008D7F" w:val="clear"/>
            <w:tcMar>
              <w:top w:type="dxa" w:w="60"/>
              <w:left w:type="dxa" w:w="100"/>
              <w:bottom w:type="dxa" w:w="60"/>
              <w:right w:type="dxa" w:w="100"/>
            </w:tcMar>
          </w:tcPr>
          <w:p>
            <w:r>
              <w:rPr>
                <w:b/>
                <w:bCs/>
                <w:color w:val="FFFFFF"/>
                <w:sz w:val="19"/>
                <w:szCs w:val="19"/>
              </w:rPr>
              <w:t xml:space="preserve">Implementation</w:t>
            </w:r>
          </w:p>
        </w:tc>
        <w:tc>
          <w:tcPr>
            <w:tcW w:type="dxa" w:w="3160"/>
            <w:shd w:fill="008D7F" w:val="clear"/>
            <w:tcMar>
              <w:top w:type="dxa" w:w="60"/>
              <w:left w:type="dxa" w:w="100"/>
              <w:bottom w:type="dxa" w:w="60"/>
              <w:right w:type="dxa" w:w="100"/>
            </w:tcMar>
          </w:tcPr>
          <w:p>
            <w:r>
              <w:rPr>
                <w:b/>
                <w:bCs/>
                <w:color w:val="FFFFFF"/>
                <w:sz w:val="19"/>
                <w:szCs w:val="19"/>
              </w:rPr>
              <w:t xml:space="preserve">Verification</w:t>
            </w:r>
          </w:p>
        </w:tc>
      </w:tr>
      <w:tr>
        <w:tc>
          <w:tcPr>
            <w:tcW w:type="dxa" w:w="2000"/>
            <w:tcMar>
              <w:top w:type="dxa" w:w="60"/>
              <w:left w:type="dxa" w:w="100"/>
              <w:bottom w:type="dxa" w:w="60"/>
              <w:right w:type="dxa" w:w="100"/>
            </w:tcMar>
          </w:tcPr>
          <w:p>
            <w:r>
              <w:rPr>
                <w:b w:val="false"/>
                <w:bCs w:val="false"/>
                <w:sz w:val="19"/>
                <w:szCs w:val="19"/>
              </w:rPr>
              <w:t xml:space="preserve">Read-only enterprise access</w:t>
            </w:r>
          </w:p>
        </w:tc>
        <w:tc>
          <w:tcPr>
            <w:tcW w:type="dxa" w:w="4200"/>
            <w:tcMar>
              <w:top w:type="dxa" w:w="60"/>
              <w:left w:type="dxa" w:w="100"/>
              <w:bottom w:type="dxa" w:w="60"/>
              <w:right w:type="dxa" w:w="100"/>
            </w:tcMar>
          </w:tcPr>
          <w:p>
            <w:r>
              <w:rPr>
                <w:b w:val="false"/>
                <w:bCs w:val="false"/>
                <w:sz w:val="19"/>
                <w:szCs w:val="19"/>
              </w:rPr>
              <w:t xml:space="preserve">Non-GET operations stripped at attach time; MCP tools carry readOnlyHint; no write_connections grant exists</w:t>
            </w:r>
          </w:p>
        </w:tc>
        <w:tc>
          <w:tcPr>
            <w:tcW w:type="dxa" w:w="3160"/>
            <w:tcMar>
              <w:top w:type="dxa" w:w="60"/>
              <w:left w:type="dxa" w:w="100"/>
              <w:bottom w:type="dxa" w:w="60"/>
              <w:right w:type="dxa" w:w="100"/>
            </w:tcMar>
          </w:tcPr>
          <w:p>
            <w:r>
              <w:rPr>
                <w:b w:val="false"/>
                <w:bCs w:val="false"/>
                <w:sz w:val="19"/>
                <w:szCs w:val="19"/>
              </w:rPr>
              <w:t xml:space="preserve">attach_integrations.py --dry-run prints [read-only] per tool; verify_conversion audits what survived</w:t>
            </w:r>
          </w:p>
        </w:tc>
      </w:tr>
      <w:tr>
        <w:tc>
          <w:tcPr>
            <w:tcW w:type="dxa" w:w="2000"/>
            <w:shd w:fill="E4F3F1" w:val="clear"/>
            <w:tcMar>
              <w:top w:type="dxa" w:w="60"/>
              <w:left w:type="dxa" w:w="100"/>
              <w:bottom w:type="dxa" w:w="60"/>
              <w:right w:type="dxa" w:w="100"/>
            </w:tcMar>
          </w:tcPr>
          <w:p>
            <w:r>
              <w:rPr>
                <w:b w:val="false"/>
                <w:bCs w:val="false"/>
                <w:sz w:val="19"/>
                <w:szCs w:val="19"/>
              </w:rPr>
              <w:t xml:space="preserve">Human approval before every write</w:t>
            </w:r>
          </w:p>
        </w:tc>
        <w:tc>
          <w:tcPr>
            <w:tcW w:type="dxa" w:w="4200"/>
            <w:shd w:fill="E4F3F1" w:val="clear"/>
            <w:tcMar>
              <w:top w:type="dxa" w:w="60"/>
              <w:left w:type="dxa" w:w="100"/>
              <w:bottom w:type="dxa" w:w="60"/>
              <w:right w:type="dxa" w:w="100"/>
            </w:tcMar>
          </w:tcPr>
          <w:p>
            <w:r>
              <w:rPr>
                <w:b w:val="false"/>
                <w:bCs w:val="false"/>
                <w:sz w:val="19"/>
                <w:szCs w:val="19"/>
              </w:rPr>
              <w:t xml:space="preserve">HttpWebhook suspension in the delivery pipeline; the writing identity is only reached after the callback</w:t>
            </w:r>
          </w:p>
        </w:tc>
        <w:tc>
          <w:tcPr>
            <w:tcW w:type="dxa" w:w="3160"/>
            <w:shd w:fill="E4F3F1" w:val="clear"/>
            <w:tcMar>
              <w:top w:type="dxa" w:w="60"/>
              <w:left w:type="dxa" w:w="100"/>
              <w:bottom w:type="dxa" w:w="60"/>
              <w:right w:type="dxa" w:w="100"/>
            </w:tcMar>
          </w:tcPr>
          <w:p>
            <w:r>
              <w:rPr>
                <w:b w:val="false"/>
                <w:bCs w:val="false"/>
                <w:sz w:val="19"/>
                <w:szCs w:val="19"/>
              </w:rPr>
              <w:t xml:space="preserve">An end-to-end run; the approval record in the list</w:t>
            </w:r>
          </w:p>
        </w:tc>
      </w:tr>
      <w:tr>
        <w:tc>
          <w:tcPr>
            <w:tcW w:type="dxa" w:w="2000"/>
            <w:tcMar>
              <w:top w:type="dxa" w:w="60"/>
              <w:left w:type="dxa" w:w="100"/>
              <w:bottom w:type="dxa" w:w="60"/>
              <w:right w:type="dxa" w:w="100"/>
            </w:tcMar>
          </w:tcPr>
          <w:p>
            <w:r>
              <w:rPr>
                <w:b w:val="false"/>
                <w:bCs w:val="false"/>
                <w:sz w:val="19"/>
                <w:szCs w:val="19"/>
              </w:rPr>
              <w:t xml:space="preserve">Independent verification</w:t>
            </w:r>
          </w:p>
        </w:tc>
        <w:tc>
          <w:tcPr>
            <w:tcW w:type="dxa" w:w="4200"/>
            <w:tcMar>
              <w:top w:type="dxa" w:w="60"/>
              <w:left w:type="dxa" w:w="100"/>
              <w:bottom w:type="dxa" w:w="60"/>
              <w:right w:type="dxa" w:w="100"/>
            </w:tcMar>
          </w:tcPr>
          <w:p>
            <w:r>
              <w:rPr>
                <w:b w:val="false"/>
                <w:bCs w:val="false"/>
                <w:sz w:val="19"/>
                <w:szCs w:val="19"/>
              </w:rPr>
              <w:t xml:space="preserve">output-verifier agent, deterministic rules, PASS/FAIL, generates nothing</w:t>
            </w:r>
          </w:p>
        </w:tc>
        <w:tc>
          <w:tcPr>
            <w:tcW w:type="dxa" w:w="3160"/>
            <w:tcMar>
              <w:top w:type="dxa" w:w="60"/>
              <w:left w:type="dxa" w:w="100"/>
              <w:bottom w:type="dxa" w:w="60"/>
              <w:right w:type="dxa" w:w="100"/>
            </w:tcMar>
          </w:tcPr>
          <w:p>
            <w:r>
              <w:rPr>
                <w:b w:val="false"/>
                <w:bCs w:val="false"/>
                <w:sz w:val="19"/>
                <w:szCs w:val="19"/>
              </w:rPr>
              <w:t xml:space="preserve">verifier-fail-rate.kql; golden-set evaluation</w:t>
            </w:r>
          </w:p>
        </w:tc>
      </w:tr>
      <w:tr>
        <w:tc>
          <w:tcPr>
            <w:tcW w:type="dxa" w:w="2000"/>
            <w:shd w:fill="E4F3F1" w:val="clear"/>
            <w:tcMar>
              <w:top w:type="dxa" w:w="60"/>
              <w:left w:type="dxa" w:w="100"/>
              <w:bottom w:type="dxa" w:w="60"/>
              <w:right w:type="dxa" w:w="100"/>
            </w:tcMar>
          </w:tcPr>
          <w:p>
            <w:r>
              <w:rPr>
                <w:b w:val="false"/>
                <w:bCs w:val="false"/>
                <w:sz w:val="19"/>
                <w:szCs w:val="19"/>
              </w:rPr>
              <w:t xml:space="preserve">Prompt-injection resistance</w:t>
            </w:r>
          </w:p>
        </w:tc>
        <w:tc>
          <w:tcPr>
            <w:tcW w:type="dxa" w:w="4200"/>
            <w:shd w:fill="E4F3F1" w:val="clear"/>
            <w:tcMar>
              <w:top w:type="dxa" w:w="60"/>
              <w:left w:type="dxa" w:w="100"/>
              <w:bottom w:type="dxa" w:w="60"/>
              <w:right w:type="dxa" w:w="100"/>
            </w:tcMar>
          </w:tcPr>
          <w:p>
            <w:r>
              <w:rPr>
                <w:b w:val="false"/>
                <w:bCs w:val="false"/>
                <w:sz w:val="19"/>
                <w:szCs w:val="19"/>
              </w:rPr>
              <w:t xml:space="preserve">infosec-web-facing guardrail policy with indirect-attack detection, assigned per agent; instruction-level gate; read-only tools</w:t>
            </w:r>
          </w:p>
        </w:tc>
        <w:tc>
          <w:tcPr>
            <w:tcW w:type="dxa" w:w="3160"/>
            <w:shd w:fill="E4F3F1" w:val="clear"/>
            <w:tcMar>
              <w:top w:type="dxa" w:w="60"/>
              <w:left w:type="dxa" w:w="100"/>
              <w:bottom w:type="dxa" w:w="60"/>
              <w:right w:type="dxa" w:w="100"/>
            </w:tcMar>
          </w:tcPr>
          <w:p>
            <w:r>
              <w:rPr>
                <w:b w:val="false"/>
                <w:bCs w:val="false"/>
                <w:sz w:val="19"/>
                <w:szCs w:val="19"/>
              </w:rPr>
              <w:t xml:space="preserve">Portal agent checklist; red-team run</w:t>
            </w:r>
          </w:p>
        </w:tc>
      </w:tr>
      <w:tr>
        <w:tc>
          <w:tcPr>
            <w:tcW w:type="dxa" w:w="2000"/>
            <w:tcMar>
              <w:top w:type="dxa" w:w="60"/>
              <w:left w:type="dxa" w:w="100"/>
              <w:bottom w:type="dxa" w:w="60"/>
              <w:right w:type="dxa" w:w="100"/>
            </w:tcMar>
          </w:tcPr>
          <w:p>
            <w:r>
              <w:rPr>
                <w:b w:val="false"/>
                <w:bCs w:val="false"/>
                <w:sz w:val="19"/>
                <w:szCs w:val="19"/>
              </w:rPr>
              <w:t xml:space="preserve">EU residency</w:t>
            </w:r>
          </w:p>
        </w:tc>
        <w:tc>
          <w:tcPr>
            <w:tcW w:type="dxa" w:w="4200"/>
            <w:tcMar>
              <w:top w:type="dxa" w:w="60"/>
              <w:left w:type="dxa" w:w="100"/>
              <w:bottom w:type="dxa" w:w="60"/>
              <w:right w:type="dxa" w:w="100"/>
            </w:tcMar>
          </w:tcPr>
          <w:p>
            <w:r>
              <w:rPr>
                <w:b w:val="false"/>
                <w:bCs w:val="false"/>
                <w:sz w:val="19"/>
                <w:szCs w:val="19"/>
              </w:rPr>
              <w:t xml:space="preserve">DataZoneStandard SKUs, EU-only regions, BYO EU stores, Azure Policy denying Global SKUs</w:t>
            </w:r>
          </w:p>
        </w:tc>
        <w:tc>
          <w:tcPr>
            <w:tcW w:type="dxa" w:w="3160"/>
            <w:tcMar>
              <w:top w:type="dxa" w:w="60"/>
              <w:left w:type="dxa" w:w="100"/>
              <w:bottom w:type="dxa" w:w="60"/>
              <w:right w:type="dxa" w:w="100"/>
            </w:tcMar>
          </w:tcPr>
          <w:p>
            <w:r>
              <w:rPr>
                <w:b w:val="false"/>
                <w:bCs w:val="false"/>
                <w:sz w:val="19"/>
                <w:szCs w:val="19"/>
              </w:rPr>
              <w:t xml:space="preserve">ci/tests/test_residency.py (7 offline checks) and the policy compliance export</w:t>
            </w:r>
          </w:p>
        </w:tc>
      </w:tr>
      <w:tr>
        <w:tc>
          <w:tcPr>
            <w:tcW w:type="dxa" w:w="2000"/>
            <w:shd w:fill="E4F3F1" w:val="clear"/>
            <w:tcMar>
              <w:top w:type="dxa" w:w="60"/>
              <w:left w:type="dxa" w:w="100"/>
              <w:bottom w:type="dxa" w:w="60"/>
              <w:right w:type="dxa" w:w="100"/>
            </w:tcMar>
          </w:tcPr>
          <w:p>
            <w:r>
              <w:rPr>
                <w:b w:val="false"/>
                <w:bCs w:val="false"/>
                <w:sz w:val="19"/>
                <w:szCs w:val="19"/>
              </w:rPr>
              <w:t xml:space="preserve">Encryption</w:t>
            </w:r>
          </w:p>
        </w:tc>
        <w:tc>
          <w:tcPr>
            <w:tcW w:type="dxa" w:w="4200"/>
            <w:shd w:fill="E4F3F1" w:val="clear"/>
            <w:tcMar>
              <w:top w:type="dxa" w:w="60"/>
              <w:left w:type="dxa" w:w="100"/>
              <w:bottom w:type="dxa" w:w="60"/>
              <w:right w:type="dxa" w:w="100"/>
            </w:tcMar>
          </w:tcPr>
          <w:p>
            <w:r>
              <w:rPr>
                <w:b w:val="false"/>
                <w:bCs w:val="false"/>
                <w:sz w:val="19"/>
                <w:szCs w:val="19"/>
              </w:rPr>
              <w:t xml:space="preserve">Customer-managed key from the project's Key Vault on the account, storage, Cosmos DB and AI Search; versionless URI, annual rotation</w:t>
            </w:r>
          </w:p>
        </w:tc>
        <w:tc>
          <w:tcPr>
            <w:tcW w:type="dxa" w:w="3160"/>
            <w:shd w:fill="E4F3F1" w:val="clear"/>
            <w:tcMar>
              <w:top w:type="dxa" w:w="60"/>
              <w:left w:type="dxa" w:w="100"/>
              <w:bottom w:type="dxa" w:w="60"/>
              <w:right w:type="dxa" w:w="100"/>
            </w:tcMar>
          </w:tcPr>
          <w:p>
            <w:r>
              <w:rPr>
                <w:b w:val="false"/>
                <w:bCs w:val="false"/>
                <w:sz w:val="19"/>
                <w:szCs w:val="19"/>
              </w:rPr>
              <w:t xml:space="preserve">Deployment pass 2 outputs</w:t>
            </w:r>
          </w:p>
        </w:tc>
      </w:tr>
      <w:tr>
        <w:tc>
          <w:tcPr>
            <w:tcW w:type="dxa" w:w="2000"/>
            <w:tcMar>
              <w:top w:type="dxa" w:w="60"/>
              <w:left w:type="dxa" w:w="100"/>
              <w:bottom w:type="dxa" w:w="60"/>
              <w:right w:type="dxa" w:w="100"/>
            </w:tcMar>
          </w:tcPr>
          <w:p>
            <w:r>
              <w:rPr>
                <w:b w:val="false"/>
                <w:bCs w:val="false"/>
                <w:sz w:val="19"/>
                <w:szCs w:val="19"/>
              </w:rPr>
              <w:t xml:space="preserve">Network</w:t>
            </w:r>
          </w:p>
        </w:tc>
        <w:tc>
          <w:tcPr>
            <w:tcW w:type="dxa" w:w="4200"/>
            <w:tcMar>
              <w:top w:type="dxa" w:w="60"/>
              <w:left w:type="dxa" w:w="100"/>
              <w:bottom w:type="dxa" w:w="60"/>
              <w:right w:type="dxa" w:w="100"/>
            </w:tcMar>
          </w:tcPr>
          <w:p>
            <w:r>
              <w:rPr>
                <w:b w:val="false"/>
                <w:bCs w:val="false"/>
                <w:sz w:val="19"/>
                <w:szCs w:val="19"/>
              </w:rPr>
              <w:t xml:space="preserve">Private endpoints for inbound; agent egress through a delegated subnet with an FQDN allow-list on the hub firewall</w:t>
            </w:r>
          </w:p>
        </w:tc>
        <w:tc>
          <w:tcPr>
            <w:tcW w:type="dxa" w:w="3160"/>
            <w:tcMar>
              <w:top w:type="dxa" w:w="60"/>
              <w:left w:type="dxa" w:w="100"/>
              <w:bottom w:type="dxa" w:w="60"/>
              <w:right w:type="dxa" w:w="100"/>
            </w:tcMar>
          </w:tcPr>
          <w:p>
            <w:r>
              <w:rPr>
                <w:b w:val="false"/>
                <w:bCs w:val="false"/>
                <w:sz w:val="19"/>
                <w:szCs w:val="19"/>
              </w:rPr>
              <w:t xml:space="preserve">Deployment what-if; firewall rule set</w:t>
            </w:r>
          </w:p>
        </w:tc>
      </w:tr>
      <w:tr>
        <w:tc>
          <w:tcPr>
            <w:tcW w:type="dxa" w:w="2000"/>
            <w:shd w:fill="E4F3F1" w:val="clear"/>
            <w:tcMar>
              <w:top w:type="dxa" w:w="60"/>
              <w:left w:type="dxa" w:w="100"/>
              <w:bottom w:type="dxa" w:w="60"/>
              <w:right w:type="dxa" w:w="100"/>
            </w:tcMar>
          </w:tcPr>
          <w:p>
            <w:r>
              <w:rPr>
                <w:b w:val="false"/>
                <w:bCs w:val="false"/>
                <w:sz w:val="19"/>
                <w:szCs w:val="19"/>
              </w:rPr>
              <w:t xml:space="preserve">Secrets</w:t>
            </w:r>
          </w:p>
        </w:tc>
        <w:tc>
          <w:tcPr>
            <w:tcW w:type="dxa" w:w="4200"/>
            <w:shd w:fill="E4F3F1" w:val="clear"/>
            <w:tcMar>
              <w:top w:type="dxa" w:w="60"/>
              <w:left w:type="dxa" w:w="100"/>
              <w:bottom w:type="dxa" w:w="60"/>
              <w:right w:type="dxa" w:w="100"/>
            </w:tcMar>
          </w:tcPr>
          <w:p>
            <w:r>
              <w:rPr>
                <w:b w:val="false"/>
                <w:bCs w:val="false"/>
                <w:sz w:val="19"/>
                <w:szCs w:val="19"/>
              </w:rPr>
              <w:t xml:space="preserve">Key Vault-backed connections; managed identities and OIDC federated credentials; nothing in the repository</w:t>
            </w:r>
          </w:p>
        </w:tc>
        <w:tc>
          <w:tcPr>
            <w:tcW w:type="dxa" w:w="3160"/>
            <w:shd w:fill="E4F3F1" w:val="clear"/>
            <w:tcMar>
              <w:top w:type="dxa" w:w="60"/>
              <w:left w:type="dxa" w:w="100"/>
              <w:bottom w:type="dxa" w:w="60"/>
              <w:right w:type="dxa" w:w="100"/>
            </w:tcMar>
          </w:tcPr>
          <w:p>
            <w:r>
              <w:rPr>
                <w:b w:val="false"/>
                <w:bCs w:val="false"/>
                <w:sz w:val="19"/>
                <w:szCs w:val="19"/>
              </w:rPr>
              <w:t xml:space="preserve">gitleaks over the tree and the history; scan_secrets.py</w:t>
            </w:r>
          </w:p>
        </w:tc>
      </w:tr>
      <w:tr>
        <w:tc>
          <w:tcPr>
            <w:tcW w:type="dxa" w:w="2000"/>
            <w:tcMar>
              <w:top w:type="dxa" w:w="60"/>
              <w:left w:type="dxa" w:w="100"/>
              <w:bottom w:type="dxa" w:w="60"/>
              <w:right w:type="dxa" w:w="100"/>
            </w:tcMar>
          </w:tcPr>
          <w:p>
            <w:r>
              <w:rPr>
                <w:b w:val="false"/>
                <w:bCs w:val="false"/>
                <w:sz w:val="19"/>
                <w:szCs w:val="19"/>
              </w:rPr>
              <w:t xml:space="preserve">Auditability</w:t>
            </w:r>
          </w:p>
        </w:tc>
        <w:tc>
          <w:tcPr>
            <w:tcW w:type="dxa" w:w="4200"/>
            <w:tcMar>
              <w:top w:type="dxa" w:w="60"/>
              <w:left w:type="dxa" w:w="100"/>
              <w:bottom w:type="dxa" w:w="60"/>
              <w:right w:type="dxa" w:w="100"/>
            </w:tcMar>
          </w:tcPr>
          <w:p>
            <w:r>
              <w:rPr>
                <w:b w:val="false"/>
                <w:bCs w:val="false"/>
                <w:sz w:val="19"/>
                <w:szCs w:val="19"/>
              </w:rPr>
              <w:t xml:space="preserve">Traces, token metrics, approval records, audit artefacts per report; 365-day total retention</w:t>
            </w:r>
          </w:p>
        </w:tc>
        <w:tc>
          <w:tcPr>
            <w:tcW w:type="dxa" w:w="3160"/>
            <w:tcMar>
              <w:top w:type="dxa" w:w="60"/>
              <w:left w:type="dxa" w:w="100"/>
              <w:bottom w:type="dxa" w:w="60"/>
              <w:right w:type="dxa" w:w="100"/>
            </w:tcMar>
          </w:tcPr>
          <w:p>
            <w:r>
              <w:rPr>
                <w:b w:val="false"/>
                <w:bCs w:val="false"/>
                <w:sz w:val="19"/>
                <w:szCs w:val="19"/>
              </w:rPr>
              <w:t xml:space="preserve">Log Analytics queries; the evidence pack exported quarterly</w:t>
            </w:r>
          </w:p>
        </w:tc>
      </w:tr>
    </w:tbl>
    <w:p>
      <w:pPr>
        <w:pStyle w:val="Heading1"/>
        <w:spacing w:after="160" w:before="360"/>
      </w:pPr>
      <w:r>
        <w:t xml:space="preserve">17. Identity, RBAC and Segregation of Duties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008D7F" w:val="clear"/>
            <w:tcMar>
              <w:top w:type="dxa" w:w="60"/>
              <w:left w:type="dxa" w:w="100"/>
              <w:bottom w:type="dxa" w:w="60"/>
              <w:right w:type="dxa" w:w="100"/>
            </w:tcMar>
          </w:tcPr>
          <w:p>
            <w:r>
              <w:rPr>
                <w:b/>
                <w:bCs/>
                <w:color w:val="FFFFFF"/>
                <w:sz w:val="19"/>
                <w:szCs w:val="19"/>
              </w:rPr>
              <w:t xml:space="preserve">Principal</w:t>
            </w:r>
          </w:p>
        </w:tc>
        <w:tc>
          <w:tcPr>
            <w:tcW w:type="dxa" w:w="4200"/>
            <w:shd w:fill="008D7F" w:val="clear"/>
            <w:tcMar>
              <w:top w:type="dxa" w:w="60"/>
              <w:left w:type="dxa" w:w="100"/>
              <w:bottom w:type="dxa" w:w="60"/>
              <w:right w:type="dxa" w:w="100"/>
            </w:tcMar>
          </w:tcPr>
          <w:p>
            <w:r>
              <w:rPr>
                <w:b/>
                <w:bCs/>
                <w:color w:val="FFFFFF"/>
                <w:sz w:val="19"/>
                <w:szCs w:val="19"/>
              </w:rPr>
              <w:t xml:space="preserve">Grant</w:t>
            </w:r>
          </w:p>
        </w:tc>
        <w:tc>
          <w:tcPr>
            <w:tcW w:type="dxa" w:w="2960"/>
            <w:shd w:fill="008D7F" w:val="clear"/>
            <w:tcMar>
              <w:top w:type="dxa" w:w="60"/>
              <w:left w:type="dxa" w:w="100"/>
              <w:bottom w:type="dxa" w:w="60"/>
              <w:right w:type="dxa" w:w="100"/>
            </w:tcMar>
          </w:tcPr>
          <w:p>
            <w:r>
              <w:rPr>
                <w:b/>
                <w:bCs/>
                <w:color w:val="FFFFFF"/>
                <w:sz w:val="19"/>
                <w:szCs w:val="19"/>
              </w:rPr>
              <w:t xml:space="preserve">How</w:t>
            </w:r>
          </w:p>
        </w:tc>
      </w:tr>
      <w:tr>
        <w:tc>
          <w:tcPr>
            <w:tcW w:type="dxa" w:w="2200"/>
            <w:tcMar>
              <w:top w:type="dxa" w:w="60"/>
              <w:left w:type="dxa" w:w="100"/>
              <w:bottom w:type="dxa" w:w="60"/>
              <w:right w:type="dxa" w:w="100"/>
            </w:tcMar>
          </w:tcPr>
          <w:p>
            <w:r>
              <w:rPr>
                <w:b w:val="false"/>
                <w:bCs w:val="false"/>
                <w:sz w:val="19"/>
                <w:szCs w:val="19"/>
              </w:rPr>
              <w:t xml:space="preserve">Assurance users (5)</w:t>
            </w:r>
          </w:p>
        </w:tc>
        <w:tc>
          <w:tcPr>
            <w:tcW w:type="dxa" w:w="4200"/>
            <w:tcMar>
              <w:top w:type="dxa" w:w="60"/>
              <w:left w:type="dxa" w:w="100"/>
              <w:bottom w:type="dxa" w:w="60"/>
              <w:right w:type="dxa" w:w="100"/>
            </w:tcMar>
          </w:tcPr>
          <w:p>
            <w:r>
              <w:rPr>
                <w:b w:val="false"/>
                <w:bCs w:val="false"/>
                <w:sz w:val="19"/>
                <w:szCs w:val="19"/>
              </w:rPr>
              <w:t xml:space="preserve">Foundry User on the project; read on the deliverable libraries</w:t>
            </w:r>
          </w:p>
        </w:tc>
        <w:tc>
          <w:tcPr>
            <w:tcW w:type="dxa" w:w="2960"/>
            <w:tcMar>
              <w:top w:type="dxa" w:w="60"/>
              <w:left w:type="dxa" w:w="100"/>
              <w:bottom w:type="dxa" w:w="60"/>
              <w:right w:type="dxa" w:w="100"/>
            </w:tcMar>
          </w:tcPr>
          <w:p>
            <w:r>
              <w:rPr>
                <w:b w:val="false"/>
                <w:bCs w:val="false"/>
                <w:sz w:val="19"/>
                <w:szCs w:val="19"/>
              </w:rPr>
              <w:t xml:space="preserve">Entra group sg-infosec-foundry-users</w:t>
            </w:r>
          </w:p>
        </w:tc>
      </w:tr>
      <w:tr>
        <w:tc>
          <w:tcPr>
            <w:tcW w:type="dxa" w:w="2200"/>
            <w:shd w:fill="E4F3F1" w:val="clear"/>
            <w:tcMar>
              <w:top w:type="dxa" w:w="60"/>
              <w:left w:type="dxa" w:w="100"/>
              <w:bottom w:type="dxa" w:w="60"/>
              <w:right w:type="dxa" w:w="100"/>
            </w:tcMar>
          </w:tcPr>
          <w:p>
            <w:r>
              <w:rPr>
                <w:b w:val="false"/>
                <w:bCs w:val="false"/>
                <w:sz w:val="19"/>
                <w:szCs w:val="19"/>
              </w:rPr>
              <w:t xml:space="preserve">Accountable owner</w:t>
            </w:r>
          </w:p>
        </w:tc>
        <w:tc>
          <w:tcPr>
            <w:tcW w:type="dxa" w:w="4200"/>
            <w:shd w:fill="E4F3F1" w:val="clear"/>
            <w:tcMar>
              <w:top w:type="dxa" w:w="60"/>
              <w:left w:type="dxa" w:w="100"/>
              <w:bottom w:type="dxa" w:w="60"/>
              <w:right w:type="dxa" w:w="100"/>
            </w:tcMar>
          </w:tcPr>
          <w:p>
            <w:r>
              <w:rPr>
                <w:b w:val="false"/>
                <w:bCs w:val="false"/>
                <w:sz w:val="19"/>
                <w:szCs w:val="19"/>
              </w:rPr>
              <w:t xml:space="preserve">Foundry Owner / platform administration, elevated through PIM rather than standing</w:t>
            </w:r>
          </w:p>
        </w:tc>
        <w:tc>
          <w:tcPr>
            <w:tcW w:type="dxa" w:w="2960"/>
            <w:shd w:fill="E4F3F1" w:val="clear"/>
            <w:tcMar>
              <w:top w:type="dxa" w:w="60"/>
              <w:left w:type="dxa" w:w="100"/>
              <w:bottom w:type="dxa" w:w="60"/>
              <w:right w:type="dxa" w:w="100"/>
            </w:tcMar>
          </w:tcPr>
          <w:p>
            <w:r>
              <w:rPr>
                <w:b w:val="false"/>
                <w:bCs w:val="false"/>
                <w:sz w:val="19"/>
                <w:szCs w:val="19"/>
              </w:rPr>
              <w:t xml:space="preserve">sg-infosec-foundry-owner + sg-infosec-foundry-admin-pim</w:t>
            </w:r>
          </w:p>
        </w:tc>
      </w:tr>
      <w:tr>
        <w:tc>
          <w:tcPr>
            <w:tcW w:type="dxa" w:w="2200"/>
            <w:tcMar>
              <w:top w:type="dxa" w:w="60"/>
              <w:left w:type="dxa" w:w="100"/>
              <w:bottom w:type="dxa" w:w="60"/>
              <w:right w:type="dxa" w:w="100"/>
            </w:tcMar>
          </w:tcPr>
          <w:p>
            <w:r>
              <w:rPr>
                <w:b w:val="false"/>
                <w:bCs w:val="false"/>
                <w:sz w:val="19"/>
                <w:szCs w:val="19"/>
              </w:rPr>
              <w:t xml:space="preserve">Report approvers</w:t>
            </w:r>
          </w:p>
        </w:tc>
        <w:tc>
          <w:tcPr>
            <w:tcW w:type="dxa" w:w="4200"/>
            <w:tcMar>
              <w:top w:type="dxa" w:w="60"/>
              <w:left w:type="dxa" w:w="100"/>
              <w:bottom w:type="dxa" w:w="60"/>
              <w:right w:type="dxa" w:w="100"/>
            </w:tcMar>
          </w:tcPr>
          <w:p>
            <w:r>
              <w:rPr>
                <w:b w:val="false"/>
                <w:bCs w:val="false"/>
                <w:sz w:val="19"/>
                <w:szCs w:val="19"/>
              </w:rPr>
              <w:t xml:space="preserve">Approve report deliverables per the approval matrix</w:t>
            </w:r>
          </w:p>
        </w:tc>
        <w:tc>
          <w:tcPr>
            <w:tcW w:type="dxa" w:w="2960"/>
            <w:tcMar>
              <w:top w:type="dxa" w:w="60"/>
              <w:left w:type="dxa" w:w="100"/>
              <w:bottom w:type="dxa" w:w="60"/>
              <w:right w:type="dxa" w:w="100"/>
            </w:tcMar>
          </w:tcPr>
          <w:p>
            <w:r>
              <w:rPr>
                <w:b w:val="false"/>
                <w:bCs w:val="false"/>
                <w:sz w:val="19"/>
                <w:szCs w:val="19"/>
              </w:rPr>
              <w:t xml:space="preserve">sg-infosec-foundry-report-approvers</w:t>
            </w:r>
          </w:p>
        </w:tc>
      </w:tr>
      <w:tr>
        <w:tc>
          <w:tcPr>
            <w:tcW w:type="dxa" w:w="2200"/>
            <w:shd w:fill="E4F3F1" w:val="clear"/>
            <w:tcMar>
              <w:top w:type="dxa" w:w="60"/>
              <w:left w:type="dxa" w:w="100"/>
              <w:bottom w:type="dxa" w:w="60"/>
              <w:right w:type="dxa" w:w="100"/>
            </w:tcMar>
          </w:tcPr>
          <w:p>
            <w:r>
              <w:rPr>
                <w:b w:val="false"/>
                <w:bCs w:val="false"/>
                <w:sz w:val="19"/>
                <w:szCs w:val="19"/>
              </w:rPr>
              <w:t xml:space="preserve">Delivery Function identity</w:t>
            </w:r>
          </w:p>
        </w:tc>
        <w:tc>
          <w:tcPr>
            <w:tcW w:type="dxa" w:w="4200"/>
            <w:shd w:fill="E4F3F1" w:val="clear"/>
            <w:tcMar>
              <w:top w:type="dxa" w:w="60"/>
              <w:left w:type="dxa" w:w="100"/>
              <w:bottom w:type="dxa" w:w="60"/>
              <w:right w:type="dxa" w:w="100"/>
            </w:tcMar>
          </w:tcPr>
          <w:p>
            <w:r>
              <w:rPr>
                <w:b w:val="false"/>
                <w:bCs w:val="false"/>
                <w:sz w:val="19"/>
                <w:szCs w:val="19"/>
              </w:rPr>
              <w:t xml:space="preserve">Sites.Selected WRITE on the one InfoSec Assurance site plus the metered label API — the only writer in the platform</w:t>
            </w:r>
          </w:p>
        </w:tc>
        <w:tc>
          <w:tcPr>
            <w:tcW w:type="dxa" w:w="2960"/>
            <w:shd w:fill="E4F3F1" w:val="clear"/>
            <w:tcMar>
              <w:top w:type="dxa" w:w="60"/>
              <w:left w:type="dxa" w:w="100"/>
              <w:bottom w:type="dxa" w:w="60"/>
              <w:right w:type="dxa" w:w="100"/>
            </w:tcMar>
          </w:tcPr>
          <w:p>
            <w:r>
              <w:rPr>
                <w:b w:val="false"/>
                <w:bCs w:val="false"/>
                <w:sz w:val="19"/>
                <w:szCs w:val="19"/>
              </w:rPr>
              <w:t xml:space="preserve">Managed identity, granted per site</w:t>
            </w:r>
          </w:p>
        </w:tc>
      </w:tr>
      <w:tr>
        <w:tc>
          <w:tcPr>
            <w:tcW w:type="dxa" w:w="2200"/>
            <w:tcMar>
              <w:top w:type="dxa" w:w="60"/>
              <w:left w:type="dxa" w:w="100"/>
              <w:bottom w:type="dxa" w:w="60"/>
              <w:right w:type="dxa" w:w="100"/>
            </w:tcMar>
          </w:tcPr>
          <w:p>
            <w:r>
              <w:rPr>
                <w:b w:val="false"/>
                <w:bCs w:val="false"/>
                <w:sz w:val="19"/>
                <w:szCs w:val="19"/>
              </w:rPr>
              <w:t xml:space="preserve">Foundry project identity</w:t>
            </w:r>
          </w:p>
        </w:tc>
        <w:tc>
          <w:tcPr>
            <w:tcW w:type="dxa" w:w="4200"/>
            <w:tcMar>
              <w:top w:type="dxa" w:w="60"/>
              <w:left w:type="dxa" w:w="100"/>
              <w:bottom w:type="dxa" w:w="60"/>
              <w:right w:type="dxa" w:w="100"/>
            </w:tcMar>
          </w:tcPr>
          <w:p>
            <w:r>
              <w:rPr>
                <w:b w:val="false"/>
                <w:bCs w:val="false"/>
                <w:sz w:val="19"/>
                <w:szCs w:val="19"/>
              </w:rPr>
              <w:t xml:space="preserve">Read on the enterprise connections; agent identities registered and inventoried</w:t>
            </w:r>
          </w:p>
        </w:tc>
        <w:tc>
          <w:tcPr>
            <w:tcW w:type="dxa" w:w="2960"/>
            <w:tcMar>
              <w:top w:type="dxa" w:w="60"/>
              <w:left w:type="dxa" w:w="100"/>
              <w:bottom w:type="dxa" w:w="60"/>
              <w:right w:type="dxa" w:w="100"/>
            </w:tcMar>
          </w:tcPr>
          <w:p>
            <w:r>
              <w:rPr>
                <w:b w:val="false"/>
                <w:bCs w:val="false"/>
                <w:sz w:val="19"/>
                <w:szCs w:val="19"/>
              </w:rPr>
              <w:t xml:space="preserve">Managed identity + Entra Agent ID</w:t>
            </w:r>
          </w:p>
        </w:tc>
      </w:tr>
      <w:tr>
        <w:tc>
          <w:tcPr>
            <w:tcW w:type="dxa" w:w="2200"/>
            <w:shd w:fill="E4F3F1" w:val="clear"/>
            <w:tcMar>
              <w:top w:type="dxa" w:w="60"/>
              <w:left w:type="dxa" w:w="100"/>
              <w:bottom w:type="dxa" w:w="60"/>
              <w:right w:type="dxa" w:w="100"/>
            </w:tcMar>
          </w:tcPr>
          <w:p>
            <w:r>
              <w:rPr>
                <w:b w:val="false"/>
                <w:bCs w:val="false"/>
                <w:sz w:val="19"/>
                <w:szCs w:val="19"/>
              </w:rPr>
              <w:t xml:space="preserve">CI/CD</w:t>
            </w:r>
          </w:p>
        </w:tc>
        <w:tc>
          <w:tcPr>
            <w:tcW w:type="dxa" w:w="4200"/>
            <w:shd w:fill="E4F3F1" w:val="clear"/>
            <w:tcMar>
              <w:top w:type="dxa" w:w="60"/>
              <w:left w:type="dxa" w:w="100"/>
              <w:bottom w:type="dxa" w:w="60"/>
              <w:right w:type="dxa" w:w="100"/>
            </w:tcMar>
          </w:tcPr>
          <w:p>
            <w:r>
              <w:rPr>
                <w:b w:val="false"/>
                <w:bCs w:val="false"/>
                <w:sz w:val="19"/>
                <w:szCs w:val="19"/>
              </w:rPr>
              <w:t xml:space="preserve">Deploy with OIDC federated credentials; no stored secret</w:t>
            </w:r>
          </w:p>
        </w:tc>
        <w:tc>
          <w:tcPr>
            <w:tcW w:type="dxa" w:w="2960"/>
            <w:shd w:fill="E4F3F1" w:val="clear"/>
            <w:tcMar>
              <w:top w:type="dxa" w:w="60"/>
              <w:left w:type="dxa" w:w="100"/>
              <w:bottom w:type="dxa" w:w="60"/>
              <w:right w:type="dxa" w:w="100"/>
            </w:tcMar>
          </w:tcPr>
          <w:p>
            <w:r>
              <w:rPr>
                <w:b w:val="false"/>
                <w:bCs w:val="false"/>
                <w:sz w:val="19"/>
                <w:szCs w:val="19"/>
              </w:rPr>
              <w:t xml:space="preserve">GitHub Actions environment with the owner's approval</w:t>
            </w:r>
          </w:p>
        </w:tc>
      </w:tr>
    </w:tbl>
    <w:p>
      <w:pPr>
        <w:spacing w:after="140"/>
        <w:jc w:val="both"/>
      </w:pPr>
      <w:r>
        <w:t xml:space="preserve">Segregation of duties is enforced where it matters: CODEOWNERS requires the deputy approver on team, governance, operations, infrastructure and CI changes, so the accountable owner cannot self-approve a change to the controls that bind them.</w:t>
      </w:r>
    </w:p>
    <w:p>
      <w:pPr>
        <w:pStyle w:val="Heading1"/>
        <w:spacing w:after="160" w:before="360"/>
      </w:pPr>
      <w:r>
        <w:t xml:space="preserve">18. Deployment</w:t>
      </w:r>
    </w:p>
    <w:p>
      <w:pPr>
        <w:spacing w:after="140"/>
        <w:jc w:val="both"/>
      </w:pPr>
      <w:r>
        <w:t xml:space="preserve">Two deployment surfaces exist and they are deliberately the same steps: convertion/deploy.sh for an operator, and the CI pipelines for the automated path. The detailed procedure is the eleven-part implementation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shd w:fill="008D7F" w:val="clear"/>
            <w:tcMar>
              <w:top w:type="dxa" w:w="60"/>
              <w:left w:type="dxa" w:w="100"/>
              <w:bottom w:type="dxa" w:w="60"/>
              <w:right w:type="dxa" w:w="100"/>
            </w:tcMar>
          </w:tcPr>
          <w:p>
            <w:r>
              <w:rPr>
                <w:b/>
                <w:bCs/>
                <w:color w:val="FFFFFF"/>
                <w:sz w:val="19"/>
                <w:szCs w:val="19"/>
              </w:rPr>
              <w:t xml:space="preserve">Step</w:t>
            </w:r>
          </w:p>
        </w:tc>
        <w:tc>
          <w:tcPr>
            <w:tcW w:type="dxa" w:w="3700"/>
            <w:shd w:fill="008D7F" w:val="clear"/>
            <w:tcMar>
              <w:top w:type="dxa" w:w="60"/>
              <w:left w:type="dxa" w:w="100"/>
              <w:bottom w:type="dxa" w:w="60"/>
              <w:right w:type="dxa" w:w="100"/>
            </w:tcMar>
          </w:tcPr>
          <w:p>
            <w:r>
              <w:rPr>
                <w:b/>
                <w:bCs/>
                <w:color w:val="FFFFFF"/>
                <w:sz w:val="19"/>
                <w:szCs w:val="19"/>
              </w:rPr>
              <w:t xml:space="preserve">Command / template</w:t>
            </w:r>
          </w:p>
        </w:tc>
        <w:tc>
          <w:tcPr>
            <w:tcW w:type="dxa" w:w="3960"/>
            <w:shd w:fill="008D7F" w:val="clear"/>
            <w:tcMar>
              <w:top w:type="dxa" w:w="60"/>
              <w:left w:type="dxa" w:w="100"/>
              <w:bottom w:type="dxa" w:w="60"/>
              <w:right w:type="dxa" w:w="100"/>
            </w:tcMar>
          </w:tcPr>
          <w:p>
            <w:r>
              <w:rPr>
                <w:b/>
                <w:bCs/>
                <w:color w:val="FFFFFF"/>
                <w:sz w:val="19"/>
                <w:szCs w:val="19"/>
              </w:rPr>
              <w:t xml:space="preserve">Produces</w:t>
            </w:r>
          </w:p>
        </w:tc>
      </w:tr>
      <w:tr>
        <w:tc>
          <w:tcPr>
            <w:tcW w:type="dxa" w:w="1700"/>
            <w:tcMar>
              <w:top w:type="dxa" w:w="60"/>
              <w:left w:type="dxa" w:w="100"/>
              <w:bottom w:type="dxa" w:w="60"/>
              <w:right w:type="dxa" w:w="100"/>
            </w:tcMar>
          </w:tcPr>
          <w:p>
            <w:r>
              <w:rPr>
                <w:b w:val="false"/>
                <w:bCs w:val="false"/>
                <w:sz w:val="19"/>
                <w:szCs w:val="19"/>
              </w:rPr>
              <w:t xml:space="preserve">Infrastructure</w:t>
            </w:r>
          </w:p>
        </w:tc>
        <w:tc>
          <w:tcPr>
            <w:tcW w:type="dxa" w:w="3700"/>
            <w:tcMar>
              <w:top w:type="dxa" w:w="60"/>
              <w:left w:type="dxa" w:w="100"/>
              <w:bottom w:type="dxa" w:w="60"/>
              <w:right w:type="dxa" w:w="100"/>
            </w:tcMar>
          </w:tcPr>
          <w:p>
            <w:r>
              <w:rPr>
                <w:b w:val="false"/>
                <w:bCs w:val="false"/>
                <w:sz w:val="19"/>
                <w:szCs w:val="19"/>
              </w:rPr>
              <w:t xml:space="preserve">infra/main.bicep (+ enterprise/landing-zone.bicep, azure-policy-assignments.bicep)</w:t>
            </w:r>
          </w:p>
        </w:tc>
        <w:tc>
          <w:tcPr>
            <w:tcW w:type="dxa" w:w="3960"/>
            <w:tcMar>
              <w:top w:type="dxa" w:w="60"/>
              <w:left w:type="dxa" w:w="100"/>
              <w:bottom w:type="dxa" w:w="60"/>
              <w:right w:type="dxa" w:w="100"/>
            </w:tcMar>
          </w:tcPr>
          <w:p>
            <w:r>
              <w:rPr>
                <w:b w:val="false"/>
                <w:bCs w:val="false"/>
                <w:sz w:val="19"/>
                <w:szCs w:val="19"/>
              </w:rPr>
              <w:t xml:space="preserve">The landing zone, in two passes because the capability host, the network injection and the CMK cannot all be set at once</w:t>
            </w:r>
          </w:p>
        </w:tc>
      </w:tr>
      <w:tr>
        <w:tc>
          <w:tcPr>
            <w:tcW w:type="dxa" w:w="1700"/>
            <w:shd w:fill="E4F3F1" w:val="clear"/>
            <w:tcMar>
              <w:top w:type="dxa" w:w="60"/>
              <w:left w:type="dxa" w:w="100"/>
              <w:bottom w:type="dxa" w:w="60"/>
              <w:right w:type="dxa" w:w="100"/>
            </w:tcMar>
          </w:tcPr>
          <w:p>
            <w:r>
              <w:rPr>
                <w:b w:val="false"/>
                <w:bCs w:val="false"/>
                <w:sz w:val="19"/>
                <w:szCs w:val="19"/>
              </w:rPr>
              <w:t xml:space="preserve">Connections</w:t>
            </w:r>
          </w:p>
        </w:tc>
        <w:tc>
          <w:tcPr>
            <w:tcW w:type="dxa" w:w="3700"/>
            <w:shd w:fill="E4F3F1" w:val="clear"/>
            <w:tcMar>
              <w:top w:type="dxa" w:w="60"/>
              <w:left w:type="dxa" w:w="100"/>
              <w:bottom w:type="dxa" w:w="60"/>
              <w:right w:type="dxa" w:w="100"/>
            </w:tcMar>
          </w:tcPr>
          <w:p>
            <w:r>
              <w:rPr>
                <w:b w:val="false"/>
                <w:bCs w:val="false"/>
                <w:sz w:val="19"/>
                <w:szCs w:val="19"/>
              </w:rPr>
              <w:t xml:space="preserve">integrations/connections/create_connections.sh</w:t>
            </w:r>
          </w:p>
        </w:tc>
        <w:tc>
          <w:tcPr>
            <w:tcW w:type="dxa" w:w="3960"/>
            <w:shd w:fill="E4F3F1" w:val="clear"/>
            <w:tcMar>
              <w:top w:type="dxa" w:w="60"/>
              <w:left w:type="dxa" w:w="100"/>
              <w:bottom w:type="dxa" w:w="60"/>
              <w:right w:type="dxa" w:w="100"/>
            </w:tcMar>
          </w:tcPr>
          <w:p>
            <w:r>
              <w:rPr>
                <w:b w:val="false"/>
                <w:bCs w:val="false"/>
                <w:sz w:val="19"/>
                <w:szCs w:val="19"/>
              </w:rPr>
              <w:t xml:space="preserve">Twenty project connections resolving secrets from Key Vault</w:t>
            </w:r>
          </w:p>
        </w:tc>
      </w:tr>
      <w:tr>
        <w:tc>
          <w:tcPr>
            <w:tcW w:type="dxa" w:w="1700"/>
            <w:tcMar>
              <w:top w:type="dxa" w:w="60"/>
              <w:left w:type="dxa" w:w="100"/>
              <w:bottom w:type="dxa" w:w="60"/>
              <w:right w:type="dxa" w:w="100"/>
            </w:tcMar>
          </w:tcPr>
          <w:p>
            <w:r>
              <w:rPr>
                <w:b w:val="false"/>
                <w:bCs w:val="false"/>
                <w:sz w:val="19"/>
                <w:szCs w:val="19"/>
              </w:rPr>
              <w:t xml:space="preserve">Conversion</w:t>
            </w:r>
          </w:p>
        </w:tc>
        <w:tc>
          <w:tcPr>
            <w:tcW w:type="dxa" w:w="3700"/>
            <w:tcMar>
              <w:top w:type="dxa" w:w="60"/>
              <w:left w:type="dxa" w:w="100"/>
              <w:bottom w:type="dxa" w:w="60"/>
              <w:right w:type="dxa" w:w="100"/>
            </w:tcMar>
          </w:tcPr>
          <w:p>
            <w:r>
              <w:rPr>
                <w:b w:val="false"/>
                <w:bCs w:val="false"/>
                <w:sz w:val="19"/>
                <w:szCs w:val="19"/>
              </w:rPr>
              <w:t xml:space="preserve">scripts/convert_skills.py → verify_conversion.py</w:t>
            </w:r>
          </w:p>
        </w:tc>
        <w:tc>
          <w:tcPr>
            <w:tcW w:type="dxa" w:w="3960"/>
            <w:tcMar>
              <w:top w:type="dxa" w:w="60"/>
              <w:left w:type="dxa" w:w="100"/>
              <w:bottom w:type="dxa" w:w="60"/>
              <w:right w:type="dxa" w:w="100"/>
            </w:tcMar>
          </w:tcPr>
          <w:p>
            <w:r>
              <w:rPr>
                <w:b w:val="false"/>
                <w:bCs w:val="false"/>
                <w:sz w:val="19"/>
                <w:szCs w:val="19"/>
              </w:rPr>
              <w:t xml:space="preserve">Agent definitions, byte-verified against the export</w:t>
            </w:r>
          </w:p>
        </w:tc>
      </w:tr>
      <w:tr>
        <w:tc>
          <w:tcPr>
            <w:tcW w:type="dxa" w:w="1700"/>
            <w:shd w:fill="E4F3F1" w:val="clear"/>
            <w:tcMar>
              <w:top w:type="dxa" w:w="60"/>
              <w:left w:type="dxa" w:w="100"/>
              <w:bottom w:type="dxa" w:w="60"/>
              <w:right w:type="dxa" w:w="100"/>
            </w:tcMar>
          </w:tcPr>
          <w:p>
            <w:r>
              <w:rPr>
                <w:b w:val="false"/>
                <w:bCs w:val="false"/>
                <w:sz w:val="19"/>
                <w:szCs w:val="19"/>
              </w:rPr>
              <w:t xml:space="preserve">Agents</w:t>
            </w:r>
          </w:p>
        </w:tc>
        <w:tc>
          <w:tcPr>
            <w:tcW w:type="dxa" w:w="3700"/>
            <w:shd w:fill="E4F3F1" w:val="clear"/>
            <w:tcMar>
              <w:top w:type="dxa" w:w="60"/>
              <w:left w:type="dxa" w:w="100"/>
              <w:bottom w:type="dxa" w:w="60"/>
              <w:right w:type="dxa" w:w="100"/>
            </w:tcMar>
          </w:tcPr>
          <w:p>
            <w:r>
              <w:rPr>
                <w:b w:val="false"/>
                <w:bCs w:val="false"/>
                <w:sz w:val="19"/>
                <w:szCs w:val="19"/>
              </w:rPr>
              <w:t xml:space="preserve">scripts/create_agents.py · create_delivery_agents.py · create_orchestrator.py</w:t>
            </w:r>
          </w:p>
        </w:tc>
        <w:tc>
          <w:tcPr>
            <w:tcW w:type="dxa" w:w="3960"/>
            <w:shd w:fill="E4F3F1" w:val="clear"/>
            <w:tcMar>
              <w:top w:type="dxa" w:w="60"/>
              <w:left w:type="dxa" w:w="100"/>
              <w:bottom w:type="dxa" w:w="60"/>
              <w:right w:type="dxa" w:w="100"/>
            </w:tcMar>
          </w:tcPr>
          <w:p>
            <w:r>
              <w:rPr>
                <w:b w:val="false"/>
                <w:bCs w:val="false"/>
                <w:sz w:val="19"/>
                <w:szCs w:val="19"/>
              </w:rPr>
              <w:t xml:space="preserve">Agents with instructions, knowledge, tools, profiles and versions</w:t>
            </w:r>
          </w:p>
        </w:tc>
      </w:tr>
      <w:tr>
        <w:tc>
          <w:tcPr>
            <w:tcW w:type="dxa" w:w="1700"/>
            <w:tcMar>
              <w:top w:type="dxa" w:w="60"/>
              <w:left w:type="dxa" w:w="100"/>
              <w:bottom w:type="dxa" w:w="60"/>
              <w:right w:type="dxa" w:w="100"/>
            </w:tcMar>
          </w:tcPr>
          <w:p>
            <w:r>
              <w:rPr>
                <w:b w:val="false"/>
                <w:bCs w:val="false"/>
                <w:sz w:val="19"/>
                <w:szCs w:val="19"/>
              </w:rPr>
              <w:t xml:space="preserve">Profiles and tools</w:t>
            </w:r>
          </w:p>
        </w:tc>
        <w:tc>
          <w:tcPr>
            <w:tcW w:type="dxa" w:w="3700"/>
            <w:tcMar>
              <w:top w:type="dxa" w:w="60"/>
              <w:left w:type="dxa" w:w="100"/>
              <w:bottom w:type="dxa" w:w="60"/>
              <w:right w:type="dxa" w:w="100"/>
            </w:tcMar>
          </w:tcPr>
          <w:p>
            <w:r>
              <w:rPr>
                <w:b w:val="false"/>
                <w:bCs w:val="false"/>
                <w:sz w:val="19"/>
                <w:szCs w:val="19"/>
              </w:rPr>
              <w:t xml:space="preserve">scripts/attach_integrations.py · apply_advisory_profile.py</w:t>
            </w:r>
          </w:p>
        </w:tc>
        <w:tc>
          <w:tcPr>
            <w:tcW w:type="dxa" w:w="3960"/>
            <w:tcMar>
              <w:top w:type="dxa" w:w="60"/>
              <w:left w:type="dxa" w:w="100"/>
              <w:bottom w:type="dxa" w:w="60"/>
              <w:right w:type="dxa" w:w="100"/>
            </w:tcMar>
          </w:tcPr>
          <w:p>
            <w:r>
              <w:rPr>
                <w:b w:val="false"/>
                <w:bCs w:val="false"/>
                <w:sz w:val="19"/>
                <w:szCs w:val="19"/>
              </w:rPr>
              <w:t xml:space="preserve">Tier model applied, read-only tools attached, inference profile stamped</w:t>
            </w:r>
          </w:p>
        </w:tc>
      </w:tr>
      <w:tr>
        <w:tc>
          <w:tcPr>
            <w:tcW w:type="dxa" w:w="1700"/>
            <w:shd w:fill="E4F3F1" w:val="clear"/>
            <w:tcMar>
              <w:top w:type="dxa" w:w="60"/>
              <w:left w:type="dxa" w:w="100"/>
              <w:bottom w:type="dxa" w:w="60"/>
              <w:right w:type="dxa" w:w="100"/>
            </w:tcMar>
          </w:tcPr>
          <w:p>
            <w:r>
              <w:rPr>
                <w:b w:val="false"/>
                <w:bCs w:val="false"/>
                <w:sz w:val="19"/>
                <w:szCs w:val="19"/>
              </w:rPr>
              <w:t xml:space="preserve">Renderers</w:t>
            </w:r>
          </w:p>
        </w:tc>
        <w:tc>
          <w:tcPr>
            <w:tcW w:type="dxa" w:w="3700"/>
            <w:shd w:fill="E4F3F1" w:val="clear"/>
            <w:tcMar>
              <w:top w:type="dxa" w:w="60"/>
              <w:left w:type="dxa" w:w="100"/>
              <w:bottom w:type="dxa" w:w="60"/>
              <w:right w:type="dxa" w:w="100"/>
            </w:tcMar>
          </w:tcPr>
          <w:p>
            <w:r>
              <w:rPr>
                <w:b w:val="false"/>
                <w:bCs w:val="false"/>
                <w:sz w:val="19"/>
                <w:szCs w:val="19"/>
              </w:rPr>
              <w:t xml:space="preserve">scripts/stage_renderers.py --strict</w:t>
            </w:r>
          </w:p>
        </w:tc>
        <w:tc>
          <w:tcPr>
            <w:tcW w:type="dxa" w:w="3960"/>
            <w:shd w:fill="E4F3F1" w:val="clear"/>
            <w:tcMar>
              <w:top w:type="dxa" w:w="60"/>
              <w:left w:type="dxa" w:w="100"/>
              <w:bottom w:type="dxa" w:w="60"/>
              <w:right w:type="dxa" w:w="100"/>
            </w:tcMar>
          </w:tcPr>
          <w:p>
            <w:r>
              <w:rPr>
                <w:b w:val="false"/>
                <w:bCs w:val="false"/>
                <w:sz w:val="19"/>
                <w:szCs w:val="19"/>
              </w:rPr>
              <w:t xml:space="preserve">The byte-verified generators staged into the delivery Function image</w:t>
            </w:r>
          </w:p>
        </w:tc>
      </w:tr>
      <w:tr>
        <w:tc>
          <w:tcPr>
            <w:tcW w:type="dxa" w:w="1700"/>
            <w:tcMar>
              <w:top w:type="dxa" w:w="60"/>
              <w:left w:type="dxa" w:w="100"/>
              <w:bottom w:type="dxa" w:w="60"/>
              <w:right w:type="dxa" w:w="100"/>
            </w:tcMar>
          </w:tcPr>
          <w:p>
            <w:r>
              <w:rPr>
                <w:b w:val="false"/>
                <w:bCs w:val="false"/>
                <w:sz w:val="19"/>
                <w:szCs w:val="19"/>
              </w:rPr>
              <w:t xml:space="preserve">Workflows</w:t>
            </w:r>
          </w:p>
        </w:tc>
        <w:tc>
          <w:tcPr>
            <w:tcW w:type="dxa" w:w="3700"/>
            <w:tcMar>
              <w:top w:type="dxa" w:w="60"/>
              <w:left w:type="dxa" w:w="100"/>
              <w:bottom w:type="dxa" w:w="60"/>
              <w:right w:type="dxa" w:w="100"/>
            </w:tcMar>
          </w:tcPr>
          <w:p>
            <w:r>
              <w:rPr>
                <w:b w:val="false"/>
                <w:bCs w:val="false"/>
                <w:sz w:val="19"/>
                <w:szCs w:val="19"/>
              </w:rPr>
              <w:t xml:space="preserve">ci/deploy_logicapps.sh</w:t>
            </w:r>
          </w:p>
        </w:tc>
        <w:tc>
          <w:tcPr>
            <w:tcW w:type="dxa" w:w="3960"/>
            <w:tcMar>
              <w:top w:type="dxa" w:w="60"/>
              <w:left w:type="dxa" w:w="100"/>
              <w:bottom w:type="dxa" w:w="60"/>
              <w:right w:type="dxa" w:w="100"/>
            </w:tcMar>
          </w:tcPr>
          <w:p>
            <w:r>
              <w:rPr>
                <w:b w:val="false"/>
                <w:bCs w:val="false"/>
                <w:sz w:val="19"/>
                <w:szCs w:val="19"/>
              </w:rPr>
              <w:t xml:space="preserve">Seventeen definitions and twelve pipeline instances pinned to agent versions</w:t>
            </w:r>
          </w:p>
        </w:tc>
      </w:tr>
      <w:tr>
        <w:tc>
          <w:tcPr>
            <w:tcW w:type="dxa" w:w="1700"/>
            <w:shd w:fill="E4F3F1" w:val="clear"/>
            <w:tcMar>
              <w:top w:type="dxa" w:w="60"/>
              <w:left w:type="dxa" w:w="100"/>
              <w:bottom w:type="dxa" w:w="60"/>
              <w:right w:type="dxa" w:w="100"/>
            </w:tcMar>
          </w:tcPr>
          <w:p>
            <w:r>
              <w:rPr>
                <w:b w:val="false"/>
                <w:bCs w:val="false"/>
                <w:sz w:val="19"/>
                <w:szCs w:val="19"/>
              </w:rPr>
              <w:t xml:space="preserve">Verification</w:t>
            </w:r>
          </w:p>
        </w:tc>
        <w:tc>
          <w:tcPr>
            <w:tcW w:type="dxa" w:w="3700"/>
            <w:shd w:fill="E4F3F1" w:val="clear"/>
            <w:tcMar>
              <w:top w:type="dxa" w:w="60"/>
              <w:left w:type="dxa" w:w="100"/>
              <w:bottom w:type="dxa" w:w="60"/>
              <w:right w:type="dxa" w:w="100"/>
            </w:tcMar>
          </w:tcPr>
          <w:p>
            <w:r>
              <w:rPr>
                <w:b w:val="false"/>
                <w:bCs w:val="false"/>
                <w:sz w:val="19"/>
                <w:szCs w:val="19"/>
              </w:rPr>
              <w:t xml:space="preserve">scripts/verify_deployment.py</w:t>
            </w:r>
          </w:p>
        </w:tc>
        <w:tc>
          <w:tcPr>
            <w:tcW w:type="dxa" w:w="3960"/>
            <w:shd w:fill="E4F3F1" w:val="clear"/>
            <w:tcMar>
              <w:top w:type="dxa" w:w="60"/>
              <w:left w:type="dxa" w:w="100"/>
              <w:bottom w:type="dxa" w:w="60"/>
              <w:right w:type="dxa" w:w="100"/>
            </w:tcMar>
          </w:tcPr>
          <w:p>
            <w:r>
              <w:rPr>
                <w:b w:val="false"/>
                <w:bCs w:val="false"/>
                <w:sz w:val="19"/>
                <w:szCs w:val="19"/>
              </w:rPr>
              <w:t xml:space="preserve">Live state compared against the version ledger</w:t>
            </w:r>
          </w:p>
        </w:tc>
      </w:tr>
    </w:tbl>
    <w:p>
      <w:pPr>
        <w:pStyle w:val="Heading1"/>
        <w:spacing w:after="160" w:before="360"/>
      </w:pPr>
      <w:r>
        <w:t xml:space="preserve">19. Change Control and the Gate Set</w:t>
      </w:r>
    </w:p>
    <w:p>
      <w:pPr>
        <w:spacing w:after="140"/>
        <w:jc w:val="both"/>
      </w:pPr>
      <w:r>
        <w:t xml:space="preserve">Every change to the platform passes an automated gate set before a human reviews it. The gates are offline: they need no Azure session, so they run on every pull request in seconds and cannot be skipped by a reviewer in a hurry.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Gate</w:t>
            </w:r>
          </w:p>
        </w:tc>
        <w:tc>
          <w:tcPr>
            <w:tcW w:type="dxa" w:w="6760"/>
            <w:shd w:fill="008D7F" w:val="clear"/>
            <w:tcMar>
              <w:top w:type="dxa" w:w="60"/>
              <w:left w:type="dxa" w:w="100"/>
              <w:bottom w:type="dxa" w:w="60"/>
              <w:right w:type="dxa" w:w="100"/>
            </w:tcMar>
          </w:tcPr>
          <w:p>
            <w:r>
              <w:rPr>
                <w:b/>
                <w:bCs/>
                <w:color w:val="FFFFFF"/>
                <w:sz w:val="19"/>
                <w:szCs w:val="19"/>
              </w:rPr>
              <w:t xml:space="preserve">What it proves</w:t>
            </w:r>
          </w:p>
        </w:tc>
      </w:tr>
      <w:tr>
        <w:tc>
          <w:tcPr>
            <w:tcW w:type="dxa" w:w="2600"/>
            <w:tcMar>
              <w:top w:type="dxa" w:w="60"/>
              <w:left w:type="dxa" w:w="100"/>
              <w:bottom w:type="dxa" w:w="60"/>
              <w:right w:type="dxa" w:w="100"/>
            </w:tcMar>
          </w:tcPr>
          <w:p>
            <w:r>
              <w:rPr>
                <w:b w:val="false"/>
                <w:bCs w:val="false"/>
                <w:sz w:val="19"/>
                <w:szCs w:val="19"/>
              </w:rPr>
              <w:t xml:space="preserve">Conversion + fidelity</w:t>
            </w:r>
          </w:p>
        </w:tc>
        <w:tc>
          <w:tcPr>
            <w:tcW w:type="dxa" w:w="6760"/>
            <w:tcMar>
              <w:top w:type="dxa" w:w="60"/>
              <w:left w:type="dxa" w:w="100"/>
              <w:bottom w:type="dxa" w:w="60"/>
              <w:right w:type="dxa" w:w="100"/>
            </w:tcMar>
          </w:tcPr>
          <w:p>
            <w:r>
              <w:rPr>
                <w:b w:val="false"/>
                <w:bCs w:val="false"/>
                <w:sz w:val="19"/>
                <w:szCs w:val="19"/>
              </w:rPr>
              <w:t xml:space="preserve">Every agent still matches the byte-verified export</w:t>
            </w:r>
          </w:p>
        </w:tc>
      </w:tr>
      <w:tr>
        <w:tc>
          <w:tcPr>
            <w:tcW w:type="dxa" w:w="2600"/>
            <w:shd w:fill="E4F3F1" w:val="clear"/>
            <w:tcMar>
              <w:top w:type="dxa" w:w="60"/>
              <w:left w:type="dxa" w:w="100"/>
              <w:bottom w:type="dxa" w:w="60"/>
              <w:right w:type="dxa" w:w="100"/>
            </w:tcMar>
          </w:tcPr>
          <w:p>
            <w:r>
              <w:rPr>
                <w:b w:val="false"/>
                <w:bCs w:val="false"/>
                <w:sz w:val="19"/>
                <w:szCs w:val="19"/>
              </w:rPr>
              <w:t xml:space="preserve">Kit consistency</w:t>
            </w:r>
          </w:p>
        </w:tc>
        <w:tc>
          <w:tcPr>
            <w:tcW w:type="dxa" w:w="6760"/>
            <w:shd w:fill="E4F3F1" w:val="clear"/>
            <w:tcMar>
              <w:top w:type="dxa" w:w="60"/>
              <w:left w:type="dxa" w:w="100"/>
              <w:bottom w:type="dxa" w:w="60"/>
              <w:right w:type="dxa" w:w="100"/>
            </w:tcMar>
          </w:tcPr>
          <w:p>
            <w:r>
              <w:rPr>
                <w:b w:val="false"/>
                <w:bCs w:val="false"/>
                <w:sz w:val="19"/>
                <w:szCs w:val="19"/>
              </w:rPr>
              <w:t xml:space="preserve">No secret, no unparsable file, every cross-reference resolves</w:t>
            </w:r>
          </w:p>
        </w:tc>
      </w:tr>
      <w:tr>
        <w:tc>
          <w:tcPr>
            <w:tcW w:type="dxa" w:w="2600"/>
            <w:tcMar>
              <w:top w:type="dxa" w:w="60"/>
              <w:left w:type="dxa" w:w="100"/>
              <w:bottom w:type="dxa" w:w="60"/>
              <w:right w:type="dxa" w:w="100"/>
            </w:tcMar>
          </w:tcPr>
          <w:p>
            <w:r>
              <w:rPr>
                <w:b w:val="false"/>
                <w:bCs w:val="false"/>
                <w:sz w:val="19"/>
                <w:szCs w:val="19"/>
              </w:rPr>
              <w:t xml:space="preserve">Syntax + shell lint</w:t>
            </w:r>
          </w:p>
        </w:tc>
        <w:tc>
          <w:tcPr>
            <w:tcW w:type="dxa" w:w="6760"/>
            <w:tcMar>
              <w:top w:type="dxa" w:w="60"/>
              <w:left w:type="dxa" w:w="100"/>
              <w:bottom w:type="dxa" w:w="60"/>
              <w:right w:type="dxa" w:w="100"/>
            </w:tcMar>
          </w:tcPr>
          <w:p>
            <w:r>
              <w:rPr>
                <w:b w:val="false"/>
                <w:bCs w:val="false"/>
                <w:sz w:val="19"/>
                <w:szCs w:val="19"/>
              </w:rPr>
              <w:t xml:space="preserve">Python, JSON, YAML, JavaScript, Bicep and shell all parse and lint</w:t>
            </w:r>
          </w:p>
        </w:tc>
      </w:tr>
      <w:tr>
        <w:tc>
          <w:tcPr>
            <w:tcW w:type="dxa" w:w="2600"/>
            <w:shd w:fill="E4F3F1" w:val="clear"/>
            <w:tcMar>
              <w:top w:type="dxa" w:w="60"/>
              <w:left w:type="dxa" w:w="100"/>
              <w:bottom w:type="dxa" w:w="60"/>
              <w:right w:type="dxa" w:w="100"/>
            </w:tcMar>
          </w:tcPr>
          <w:p>
            <w:r>
              <w:rPr>
                <w:b w:val="false"/>
                <w:bCs w:val="false"/>
                <w:sz w:val="19"/>
                <w:szCs w:val="19"/>
              </w:rPr>
              <w:t xml:space="preserve">EU residency</w:t>
            </w:r>
          </w:p>
        </w:tc>
        <w:tc>
          <w:tcPr>
            <w:tcW w:type="dxa" w:w="6760"/>
            <w:shd w:fill="E4F3F1" w:val="clear"/>
            <w:tcMar>
              <w:top w:type="dxa" w:w="60"/>
              <w:left w:type="dxa" w:w="100"/>
              <w:bottom w:type="dxa" w:w="60"/>
              <w:right w:type="dxa" w:w="100"/>
            </w:tcMar>
          </w:tcPr>
          <w:p>
            <w:r>
              <w:rPr>
                <w:b w:val="false"/>
                <w:bCs w:val="false"/>
                <w:sz w:val="19"/>
                <w:szCs w:val="19"/>
              </w:rPr>
              <w:t xml:space="preserve">No template, parameter file or policy assignment can route outside the EU</w:t>
            </w:r>
          </w:p>
        </w:tc>
      </w:tr>
      <w:tr>
        <w:tc>
          <w:tcPr>
            <w:tcW w:type="dxa" w:w="2600"/>
            <w:tcMar>
              <w:top w:type="dxa" w:w="60"/>
              <w:left w:type="dxa" w:w="100"/>
              <w:bottom w:type="dxa" w:w="60"/>
              <w:right w:type="dxa" w:w="100"/>
            </w:tcMar>
          </w:tcPr>
          <w:p>
            <w:r>
              <w:rPr>
                <w:b w:val="false"/>
                <w:bCs w:val="false"/>
                <w:sz w:val="19"/>
                <w:szCs w:val="19"/>
              </w:rPr>
              <w:t xml:space="preserve">Workflow efficiency</w:t>
            </w:r>
          </w:p>
        </w:tc>
        <w:tc>
          <w:tcPr>
            <w:tcW w:type="dxa" w:w="6760"/>
            <w:tcMar>
              <w:top w:type="dxa" w:w="60"/>
              <w:left w:type="dxa" w:w="100"/>
              <w:bottom w:type="dxa" w:w="60"/>
              <w:right w:type="dxa" w:w="100"/>
            </w:tcMar>
          </w:tcPr>
          <w:p>
            <w:r>
              <w:rPr>
                <w:b w:val="false"/>
                <w:bCs w:val="false"/>
                <w:sz w:val="19"/>
                <w:szCs w:val="19"/>
              </w:rPr>
              <w:t xml:space="preserve">Every loop declares a concurrency bound</w:t>
            </w:r>
          </w:p>
        </w:tc>
      </w:tr>
      <w:tr>
        <w:tc>
          <w:tcPr>
            <w:tcW w:type="dxa" w:w="2600"/>
            <w:shd w:fill="E4F3F1" w:val="clear"/>
            <w:tcMar>
              <w:top w:type="dxa" w:w="60"/>
              <w:left w:type="dxa" w:w="100"/>
              <w:bottom w:type="dxa" w:w="60"/>
              <w:right w:type="dxa" w:w="100"/>
            </w:tcMar>
          </w:tcPr>
          <w:p>
            <w:r>
              <w:rPr>
                <w:b w:val="false"/>
                <w:bCs w:val="false"/>
                <w:sz w:val="19"/>
                <w:szCs w:val="19"/>
              </w:rPr>
              <w:t xml:space="preserve">Self-knowledge</w:t>
            </w:r>
          </w:p>
        </w:tc>
        <w:tc>
          <w:tcPr>
            <w:tcW w:type="dxa" w:w="6760"/>
            <w:shd w:fill="E4F3F1" w:val="clear"/>
            <w:tcMar>
              <w:top w:type="dxa" w:w="60"/>
              <w:left w:type="dxa" w:w="100"/>
              <w:bottom w:type="dxa" w:w="60"/>
              <w:right w:type="dxa" w:w="100"/>
            </w:tcMar>
          </w:tcPr>
          <w:p>
            <w:r>
              <w:rPr>
                <w:b w:val="false"/>
                <w:bCs w:val="false"/>
                <w:sz w:val="19"/>
                <w:szCs w:val="19"/>
              </w:rPr>
              <w:t xml:space="preserve">The platform's description of itself matches what is deployed</w:t>
            </w:r>
          </w:p>
        </w:tc>
      </w:tr>
      <w:tr>
        <w:tc>
          <w:tcPr>
            <w:tcW w:type="dxa" w:w="2600"/>
            <w:tcMar>
              <w:top w:type="dxa" w:w="60"/>
              <w:left w:type="dxa" w:w="100"/>
              <w:bottom w:type="dxa" w:w="60"/>
              <w:right w:type="dxa" w:w="100"/>
            </w:tcMar>
          </w:tcPr>
          <w:p>
            <w:r>
              <w:rPr>
                <w:b w:val="false"/>
                <w:bCs w:val="false"/>
                <w:sz w:val="19"/>
                <w:szCs w:val="19"/>
              </w:rPr>
              <w:t xml:space="preserve">Inference profiles</w:t>
            </w:r>
          </w:p>
        </w:tc>
        <w:tc>
          <w:tcPr>
            <w:tcW w:type="dxa" w:w="6760"/>
            <w:tcMar>
              <w:top w:type="dxa" w:w="60"/>
              <w:left w:type="dxa" w:w="100"/>
              <w:bottom w:type="dxa" w:w="60"/>
              <w:right w:type="dxa" w:w="100"/>
            </w:tcMar>
          </w:tcPr>
          <w:p>
            <w:r>
              <w:rPr>
                <w:b w:val="false"/>
                <w:bCs w:val="false"/>
                <w:sz w:val="19"/>
                <w:szCs w:val="19"/>
              </w:rPr>
              <w:t xml:space="preserve">Every registered agent resolves to legal parameters on its tier model</w:t>
            </w:r>
          </w:p>
        </w:tc>
      </w:tr>
      <w:tr>
        <w:tc>
          <w:tcPr>
            <w:tcW w:type="dxa" w:w="2600"/>
            <w:shd w:fill="E4F3F1" w:val="clear"/>
            <w:tcMar>
              <w:top w:type="dxa" w:w="60"/>
              <w:left w:type="dxa" w:w="100"/>
              <w:bottom w:type="dxa" w:w="60"/>
              <w:right w:type="dxa" w:w="100"/>
            </w:tcMar>
          </w:tcPr>
          <w:p>
            <w:r>
              <w:rPr>
                <w:b w:val="false"/>
                <w:bCs w:val="false"/>
                <w:sz w:val="19"/>
                <w:szCs w:val="19"/>
              </w:rPr>
              <w:t xml:space="preserve">Test suites</w:t>
            </w:r>
          </w:p>
        </w:tc>
        <w:tc>
          <w:tcPr>
            <w:tcW w:type="dxa" w:w="6760"/>
            <w:shd w:fill="E4F3F1" w:val="clear"/>
            <w:tcMar>
              <w:top w:type="dxa" w:w="60"/>
              <w:left w:type="dxa" w:w="100"/>
              <w:bottom w:type="dxa" w:w="60"/>
              <w:right w:type="dxa" w:w="100"/>
            </w:tcMar>
          </w:tcPr>
          <w:p>
            <w:r>
              <w:rPr>
                <w:b w:val="false"/>
                <w:bCs w:val="false"/>
                <w:sz w:val="19"/>
                <w:szCs w:val="19"/>
              </w:rPr>
              <w:t xml:space="preserve">The delivery Function, the office toolchain and the scripts, including the controls' own failure modes</w:t>
            </w:r>
          </w:p>
        </w:tc>
      </w:tr>
      <w:tr>
        <w:tc>
          <w:tcPr>
            <w:tcW w:type="dxa" w:w="2600"/>
            <w:tcMar>
              <w:top w:type="dxa" w:w="60"/>
              <w:left w:type="dxa" w:w="100"/>
              <w:bottom w:type="dxa" w:w="60"/>
              <w:right w:type="dxa" w:w="100"/>
            </w:tcMar>
          </w:tcPr>
          <w:p>
            <w:r>
              <w:rPr>
                <w:b w:val="false"/>
                <w:bCs w:val="false"/>
                <w:sz w:val="19"/>
                <w:szCs w:val="19"/>
              </w:rPr>
              <w:t xml:space="preserve">Infrastructure policy</w:t>
            </w:r>
          </w:p>
        </w:tc>
        <w:tc>
          <w:tcPr>
            <w:tcW w:type="dxa" w:w="6760"/>
            <w:tcMar>
              <w:top w:type="dxa" w:w="60"/>
              <w:left w:type="dxa" w:w="100"/>
              <w:bottom w:type="dxa" w:w="60"/>
              <w:right w:type="dxa" w:w="100"/>
            </w:tcMar>
          </w:tcPr>
          <w:p>
            <w:r>
              <w:rPr>
                <w:b w:val="false"/>
                <w:bCs w:val="false"/>
                <w:sz w:val="19"/>
                <w:szCs w:val="19"/>
              </w:rPr>
              <w:t xml:space="preserve">Bicep builds and lints; the policy decisions hold</w:t>
            </w:r>
          </w:p>
        </w:tc>
      </w:tr>
      <w:tr>
        <w:tc>
          <w:tcPr>
            <w:tcW w:type="dxa" w:w="2600"/>
            <w:shd w:fill="E4F3F1" w:val="clear"/>
            <w:tcMar>
              <w:top w:type="dxa" w:w="60"/>
              <w:left w:type="dxa" w:w="100"/>
              <w:bottom w:type="dxa" w:w="60"/>
              <w:right w:type="dxa" w:w="100"/>
            </w:tcMar>
          </w:tcPr>
          <w:p>
            <w:r>
              <w:rPr>
                <w:b w:val="false"/>
                <w:bCs w:val="false"/>
                <w:sz w:val="19"/>
                <w:szCs w:val="19"/>
              </w:rPr>
              <w:t xml:space="preserve">Secret scan</w:t>
            </w:r>
          </w:p>
        </w:tc>
        <w:tc>
          <w:tcPr>
            <w:tcW w:type="dxa" w:w="6760"/>
            <w:shd w:fill="E4F3F1" w:val="clear"/>
            <w:tcMar>
              <w:top w:type="dxa" w:w="60"/>
              <w:left w:type="dxa" w:w="100"/>
              <w:bottom w:type="dxa" w:w="60"/>
              <w:right w:type="dxa" w:w="100"/>
            </w:tcMar>
          </w:tcPr>
          <w:p>
            <w:r>
              <w:rPr>
                <w:b w:val="false"/>
                <w:bCs w:val="false"/>
                <w:sz w:val="19"/>
                <w:szCs w:val="19"/>
              </w:rPr>
              <w:t xml:space="preserve">gitleaks over the working tree and the history</w:t>
            </w:r>
          </w:p>
        </w:tc>
      </w:tr>
    </w:tbl>
    <w:p>
      <w:pPr>
        <w:spacing w:after="140"/>
        <w:jc w:val="both"/>
      </w:pPr>
      <w:r>
        <w:t xml:space="preserve">Change classes are explicit: a patch is self-service, a peer-approved change needs a second pair of eyes, and an owner-only change — a model tier, a guardrail, a template of record — needs the owner and re-runs the golden set before it serves traffic.</w:t>
      </w:r>
    </w:p>
    <w:p>
      <w:pPr>
        <w:pStyle w:val="Heading1"/>
        <w:spacing w:after="160" w:before="360"/>
      </w:pPr>
      <w:r>
        <w:t xml:space="preserve">20. Operations</w:t>
      </w:r>
    </w:p>
    <w:p>
      <w:pPr>
        <w:pStyle w:val="Heading2"/>
        <w:spacing w:after="120" w:before="260"/>
      </w:pPr>
      <w:r>
        <w:t xml:space="preserve">20.1 Operating rhythm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008D7F" w:val="clear"/>
            <w:tcMar>
              <w:top w:type="dxa" w:w="60"/>
              <w:left w:type="dxa" w:w="100"/>
              <w:bottom w:type="dxa" w:w="60"/>
              <w:right w:type="dxa" w:w="100"/>
            </w:tcMar>
          </w:tcPr>
          <w:p>
            <w:r>
              <w:rPr>
                <w:b/>
                <w:bCs/>
                <w:color w:val="FFFFFF"/>
                <w:sz w:val="19"/>
                <w:szCs w:val="19"/>
              </w:rPr>
              <w:t xml:space="preserve">Cadence</w:t>
            </w:r>
          </w:p>
        </w:tc>
        <w:tc>
          <w:tcPr>
            <w:tcW w:type="dxa" w:w="7560"/>
            <w:shd w:fill="008D7F" w:val="clear"/>
            <w:tcMar>
              <w:top w:type="dxa" w:w="60"/>
              <w:left w:type="dxa" w:w="100"/>
              <w:bottom w:type="dxa" w:w="60"/>
              <w:right w:type="dxa" w:w="100"/>
            </w:tcMar>
          </w:tcPr>
          <w:p>
            <w:r>
              <w:rPr>
                <w:b/>
                <w:bCs/>
                <w:color w:val="FFFFFF"/>
                <w:sz w:val="19"/>
                <w:szCs w:val="19"/>
              </w:rPr>
              <w:t xml:space="preserve">Activity</w:t>
            </w:r>
          </w:p>
        </w:tc>
      </w:tr>
      <w:tr>
        <w:tc>
          <w:tcPr>
            <w:tcW w:type="dxa" w:w="1800"/>
            <w:tcMar>
              <w:top w:type="dxa" w:w="60"/>
              <w:left w:type="dxa" w:w="100"/>
              <w:bottom w:type="dxa" w:w="60"/>
              <w:right w:type="dxa" w:w="100"/>
            </w:tcMar>
          </w:tcPr>
          <w:p>
            <w:r>
              <w:rPr>
                <w:b w:val="false"/>
                <w:bCs w:val="false"/>
                <w:sz w:val="19"/>
                <w:szCs w:val="19"/>
              </w:rPr>
              <w:t xml:space="preserve">Daily (hypercare)</w:t>
            </w:r>
          </w:p>
        </w:tc>
        <w:tc>
          <w:tcPr>
            <w:tcW w:type="dxa" w:w="7560"/>
            <w:tcMar>
              <w:top w:type="dxa" w:w="60"/>
              <w:left w:type="dxa" w:w="100"/>
              <w:bottom w:type="dxa" w:w="60"/>
              <w:right w:type="dxa" w:w="100"/>
            </w:tcMar>
          </w:tcPr>
          <w:p>
            <w:r>
              <w:rPr>
                <w:b w:val="false"/>
                <w:bCs w:val="false"/>
                <w:sz w:val="19"/>
                <w:szCs w:val="19"/>
              </w:rPr>
              <w:t xml:space="preserve">Pipeline failures, verifier fails, approval queue, egress alerts</w:t>
            </w:r>
          </w:p>
        </w:tc>
      </w:tr>
      <w:tr>
        <w:tc>
          <w:tcPr>
            <w:tcW w:type="dxa" w:w="1800"/>
            <w:shd w:fill="E4F3F1" w:val="clear"/>
            <w:tcMar>
              <w:top w:type="dxa" w:w="60"/>
              <w:left w:type="dxa" w:w="100"/>
              <w:bottom w:type="dxa" w:w="60"/>
              <w:right w:type="dxa" w:w="100"/>
            </w:tcMar>
          </w:tcPr>
          <w:p>
            <w:r>
              <w:rPr>
                <w:b w:val="false"/>
                <w:bCs w:val="false"/>
                <w:sz w:val="19"/>
                <w:szCs w:val="19"/>
              </w:rPr>
              <w:t xml:space="preserve">Weekly</w:t>
            </w:r>
          </w:p>
        </w:tc>
        <w:tc>
          <w:tcPr>
            <w:tcW w:type="dxa" w:w="7560"/>
            <w:shd w:fill="E4F3F1" w:val="clear"/>
            <w:tcMar>
              <w:top w:type="dxa" w:w="60"/>
              <w:left w:type="dxa" w:w="100"/>
              <w:bottom w:type="dxa" w:w="60"/>
              <w:right w:type="dxa" w:w="100"/>
            </w:tcMar>
          </w:tcPr>
          <w:p>
            <w:r>
              <w:rPr>
                <w:b w:val="false"/>
                <w:bCs w:val="false"/>
                <w:sz w:val="19"/>
                <w:szCs w:val="19"/>
              </w:rPr>
              <w:t xml:space="preserve">Evaluation and red-team run; backlog triage</w:t>
            </w:r>
          </w:p>
        </w:tc>
      </w:tr>
      <w:tr>
        <w:tc>
          <w:tcPr>
            <w:tcW w:type="dxa" w:w="1800"/>
            <w:tcMar>
              <w:top w:type="dxa" w:w="60"/>
              <w:left w:type="dxa" w:w="100"/>
              <w:bottom w:type="dxa" w:w="60"/>
              <w:right w:type="dxa" w:w="100"/>
            </w:tcMar>
          </w:tcPr>
          <w:p>
            <w:r>
              <w:rPr>
                <w:b w:val="false"/>
                <w:bCs w:val="false"/>
                <w:sz w:val="19"/>
                <w:szCs w:val="19"/>
              </w:rPr>
              <w:t xml:space="preserve">Monthly</w:t>
            </w:r>
          </w:p>
        </w:tc>
        <w:tc>
          <w:tcPr>
            <w:tcW w:type="dxa" w:w="7560"/>
            <w:tcMar>
              <w:top w:type="dxa" w:w="60"/>
              <w:left w:type="dxa" w:w="100"/>
              <w:bottom w:type="dxa" w:w="60"/>
              <w:right w:type="dxa" w:w="100"/>
            </w:tcMar>
          </w:tcPr>
          <w:p>
            <w:r>
              <w:rPr>
                <w:b w:val="false"/>
                <w:bCs w:val="false"/>
                <w:sz w:val="19"/>
                <w:szCs w:val="19"/>
              </w:rPr>
              <w:t xml:space="preserve">Tier tuning against token, latency and cache telemetry; cost review against budget; access review</w:t>
            </w:r>
          </w:p>
        </w:tc>
      </w:tr>
      <w:tr>
        <w:tc>
          <w:tcPr>
            <w:tcW w:type="dxa" w:w="1800"/>
            <w:shd w:fill="E4F3F1" w:val="clear"/>
            <w:tcMar>
              <w:top w:type="dxa" w:w="60"/>
              <w:left w:type="dxa" w:w="100"/>
              <w:bottom w:type="dxa" w:w="60"/>
              <w:right w:type="dxa" w:w="100"/>
            </w:tcMar>
          </w:tcPr>
          <w:p>
            <w:r>
              <w:rPr>
                <w:b w:val="false"/>
                <w:bCs w:val="false"/>
                <w:sz w:val="19"/>
                <w:szCs w:val="19"/>
              </w:rPr>
              <w:t xml:space="preserve">Quarterly</w:t>
            </w:r>
          </w:p>
        </w:tc>
        <w:tc>
          <w:tcPr>
            <w:tcW w:type="dxa" w:w="7560"/>
            <w:shd w:fill="E4F3F1" w:val="clear"/>
            <w:tcMar>
              <w:top w:type="dxa" w:w="60"/>
              <w:left w:type="dxa" w:w="100"/>
              <w:bottom w:type="dxa" w:w="60"/>
              <w:right w:type="dxa" w:w="100"/>
            </w:tcMar>
          </w:tcPr>
          <w:p>
            <w:r>
              <w:rPr>
                <w:b w:val="false"/>
                <w:bCs w:val="false"/>
                <w:sz w:val="19"/>
                <w:szCs w:val="19"/>
              </w:rPr>
              <w:t xml:space="preserve">Platform currency review (model retirements, preview→GA transitions, region availability, Claude residency re-check); policy compliance export; DR test</w:t>
            </w:r>
          </w:p>
        </w:tc>
      </w:tr>
    </w:tbl>
    <w:p>
      <w:pPr>
        <w:pStyle w:val="Heading2"/>
        <w:spacing w:after="120" w:before="260"/>
      </w:pPr>
      <w:r>
        <w:t xml:space="preserve">20.2 Monitoring and alerting</w:t>
      </w:r>
    </w:p>
    <w:p>
      <w:pPr>
        <w:spacing w:after="140"/>
        <w:jc w:val="both"/>
      </w:pPr>
      <w:r>
        <w:t xml:space="preserve">Traces and metrics flow to Log Analytics and Application Insights. Alerts cover delivery failures, verifier fail-rate spikes, latency and token budgets, approval expiry, egress markers and Defender for AI detections, routed to the owner or the SOC by severity.</w:t>
      </w:r>
    </w:p>
    <w:p>
      <w:pPr>
        <w:pStyle w:val="Heading2"/>
        <w:spacing w:after="120" w:before="260"/>
      </w:pPr>
      <w:r>
        <w:t xml:space="preserve">20.3 Resilience and retention</w:t>
      </w:r>
    </w:p>
    <w:p>
      <w:pPr>
        <w:pStyle w:val="ListParagraph"/>
        <w:numPr>
          <w:ilvl w:val="0"/>
          <w:numId w:val="2"/>
        </w:numPr>
        <w:spacing w:after="80"/>
      </w:pPr>
      <w:r>
        <w:rPr>
          <w:b/>
          <w:bCs/>
        </w:rPr>
        <w:t xml:space="preserve">Retention: </w:t>
      </w:r>
      <w:r>
        <w:t xml:space="preserve">90 days interactive, 365 days total in the archive tier — the DORA Art. 28 evidence horizon at archive prices. The ingestion cap stays off on purpose: a cap drops telemetry, and the dropped items would include the egress detector's own data.</w:t>
      </w:r>
    </w:p>
    <w:p>
      <w:pPr>
        <w:pStyle w:val="ListParagraph"/>
        <w:numPr>
          <w:ilvl w:val="0"/>
          <w:numId w:val="2"/>
        </w:numPr>
        <w:spacing w:after="80"/>
      </w:pPr>
      <w:r>
        <w:rPr>
          <w:b/>
          <w:bCs/>
        </w:rPr>
        <w:t xml:space="preserve">Backup and recovery: </w:t>
      </w:r>
      <w:r>
        <w:t xml:space="preserve">agent definitions, connections and the version ledger are exportable artefacts; the runbook covers redeploying a previous release tag.</w:t>
      </w:r>
    </w:p>
    <w:p>
      <w:pPr>
        <w:pStyle w:val="ListParagraph"/>
        <w:numPr>
          <w:ilvl w:val="0"/>
          <w:numId w:val="2"/>
        </w:numPr>
        <w:spacing w:after="80"/>
      </w:pPr>
      <w:r>
        <w:rPr>
          <w:b/>
          <w:bCs/>
        </w:rPr>
        <w:t xml:space="preserve">Housekeeping: </w:t>
      </w:r>
      <w:r>
        <w:t xml:space="preserve">conversations, orphan files and stores, and durable memory notes are swept against retention horizons that live in configuration, not in code.</w:t>
      </w:r>
    </w:p>
    <w:p>
      <w:pPr>
        <w:pStyle w:val="Heading2"/>
        <w:spacing w:after="120" w:before="260"/>
      </w:pPr>
      <w:r>
        <w:t xml:space="preserve">20.4 Optimisation register</w:t>
      </w:r>
    </w:p>
    <w:p>
      <w:pPr>
        <w:spacing w:after="140"/>
        <w:jc w:val="both"/>
      </w:pPr>
      <w:r>
        <w:t xml:space="preserve">What has been optimised, what was examined and left alone, and what remains open with a decision, is a standing record: convertion/operations/FOUNDRY_OPTIMIZATION_REGISTER.md. Its current open items are the 2027 model retirements on two tiers (a six-phase migration with the golden set, not a swap), the knowledge-source switch (gated on measurement), a domain-restricted web search pilot, and two logging tiers awaiting a month of actuals.</w:t>
      </w:r>
    </w:p>
    <w:p>
      <w:r>
        <w:br w:type="page"/>
      </w:r>
    </w:p>
    <w:p>
      <w:pPr>
        <w:pStyle w:val="Heading1"/>
        <w:spacing w:after="160" w:before="360"/>
      </w:pPr>
      <w:r>
        <w:t xml:space="preserve">Appendix A — Requirement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2400"/>
        <w:gridCol w:w="2100"/>
        <w:gridCol w:w="2200"/>
        <w:gridCol w:w="2240"/>
      </w:tblGrid>
      <w:tr>
        <w:trPr>
          <w:tblHeader/>
        </w:trPr>
        <w:tc>
          <w:tcPr>
            <w:tcW w:type="dxa" w:w="420"/>
            <w:shd w:fill="008D7F" w:val="clear"/>
            <w:tcMar>
              <w:top w:type="dxa" w:w="60"/>
              <w:left w:type="dxa" w:w="100"/>
              <w:bottom w:type="dxa" w:w="60"/>
              <w:right w:type="dxa" w:w="100"/>
            </w:tcMar>
          </w:tcPr>
          <w:p>
            <w:r>
              <w:rPr>
                <w:b/>
                <w:bCs/>
                <w:color w:val="FFFFFF"/>
                <w:sz w:val="19"/>
                <w:szCs w:val="19"/>
              </w:rPr>
              <w:t xml:space="preserve">Req</w:t>
            </w:r>
          </w:p>
        </w:tc>
        <w:tc>
          <w:tcPr>
            <w:tcW w:type="dxa" w:w="2400"/>
            <w:shd w:fill="008D7F" w:val="clear"/>
            <w:tcMar>
              <w:top w:type="dxa" w:w="60"/>
              <w:left w:type="dxa" w:w="100"/>
              <w:bottom w:type="dxa" w:w="60"/>
              <w:right w:type="dxa" w:w="100"/>
            </w:tcMar>
          </w:tcPr>
          <w:p>
            <w:r>
              <w:rPr>
                <w:b/>
                <w:bCs/>
                <w:color w:val="FFFFFF"/>
                <w:sz w:val="19"/>
                <w:szCs w:val="19"/>
              </w:rPr>
              <w:t xml:space="preserve">Agent</w:t>
            </w:r>
          </w:p>
        </w:tc>
        <w:tc>
          <w:tcPr>
            <w:tcW w:type="dxa" w:w="2100"/>
            <w:shd w:fill="008D7F" w:val="clear"/>
            <w:tcMar>
              <w:top w:type="dxa" w:w="60"/>
              <w:left w:type="dxa" w:w="100"/>
              <w:bottom w:type="dxa" w:w="60"/>
              <w:right w:type="dxa" w:w="100"/>
            </w:tcMar>
          </w:tcPr>
          <w:p>
            <w:r>
              <w:rPr>
                <w:b/>
                <w:bCs/>
                <w:color w:val="FFFFFF"/>
                <w:sz w:val="19"/>
                <w:szCs w:val="19"/>
              </w:rPr>
              <w:t xml:space="preserve">Contract / template</w:t>
            </w:r>
          </w:p>
        </w:tc>
        <w:tc>
          <w:tcPr>
            <w:tcW w:type="dxa" w:w="2200"/>
            <w:shd w:fill="008D7F" w:val="clear"/>
            <w:tcMar>
              <w:top w:type="dxa" w:w="60"/>
              <w:left w:type="dxa" w:w="100"/>
              <w:bottom w:type="dxa" w:w="60"/>
              <w:right w:type="dxa" w:w="100"/>
            </w:tcMar>
          </w:tcPr>
          <w:p>
            <w:r>
              <w:rPr>
                <w:b/>
                <w:bCs/>
                <w:color w:val="FFFFFF"/>
                <w:sz w:val="19"/>
                <w:szCs w:val="19"/>
              </w:rPr>
              <w:t xml:space="preserve">Pipeline</w:t>
            </w:r>
          </w:p>
        </w:tc>
        <w:tc>
          <w:tcPr>
            <w:tcW w:type="dxa" w:w="2240"/>
            <w:shd w:fill="008D7F" w:val="clear"/>
            <w:tcMar>
              <w:top w:type="dxa" w:w="60"/>
              <w:left w:type="dxa" w:w="100"/>
              <w:bottom w:type="dxa" w:w="60"/>
              <w:right w:type="dxa" w:w="100"/>
            </w:tcMar>
          </w:tcPr>
          <w:p>
            <w:r>
              <w:rPr>
                <w:b/>
                <w:bCs/>
                <w:color w:val="FFFFFF"/>
                <w:sz w:val="19"/>
                <w:szCs w:val="19"/>
              </w:rPr>
              <w:t xml:space="preserve">Storage</w:t>
            </w:r>
          </w:p>
        </w:tc>
      </w:tr>
      <w:tr>
        <w:tc>
          <w:tcPr>
            <w:tcW w:type="dxa" w:w="420"/>
            <w:tcMar>
              <w:top w:type="dxa" w:w="60"/>
              <w:left w:type="dxa" w:w="100"/>
              <w:bottom w:type="dxa" w:w="60"/>
              <w:right w:type="dxa" w:w="100"/>
            </w:tcMar>
          </w:tcPr>
          <w:p>
            <w:r>
              <w:rPr>
                <w:b w:val="false"/>
                <w:bCs w:val="false"/>
                <w:sz w:val="19"/>
                <w:szCs w:val="19"/>
              </w:rPr>
              <w:t xml:space="preserve">a</w:t>
            </w:r>
          </w:p>
        </w:tc>
        <w:tc>
          <w:tcPr>
            <w:tcW w:type="dxa" w:w="2400"/>
            <w:tcMar>
              <w:top w:type="dxa" w:w="60"/>
              <w:left w:type="dxa" w:w="100"/>
              <w:bottom w:type="dxa" w:w="60"/>
              <w:right w:type="dxa" w:w="100"/>
            </w:tcMar>
          </w:tcPr>
          <w:p>
            <w:r>
              <w:rPr>
                <w:b w:val="false"/>
                <w:bCs w:val="false"/>
                <w:sz w:val="19"/>
                <w:szCs w:val="19"/>
              </w:rPr>
              <w:t xml:space="preserve">deepsearch-protocol · ai-deepsearch-osint-gathering-report</w:t>
            </w:r>
          </w:p>
        </w:tc>
        <w:tc>
          <w:tcPr>
            <w:tcW w:type="dxa" w:w="2100"/>
            <w:tcMar>
              <w:top w:type="dxa" w:w="60"/>
              <w:left w:type="dxa" w:w="100"/>
              <w:bottom w:type="dxa" w:w="60"/>
              <w:right w:type="dxa" w:w="100"/>
            </w:tcMar>
          </w:tcPr>
          <w:p>
            <w:r>
              <w:rPr>
                <w:b w:val="false"/>
                <w:bCs w:val="false"/>
                <w:sz w:val="19"/>
                <w:szCs w:val="19"/>
              </w:rPr>
              <w:t xml:space="preserve">deepsearch_dashboard schema</w:t>
            </w:r>
          </w:p>
        </w:tc>
        <w:tc>
          <w:tcPr>
            <w:tcW w:type="dxa" w:w="2200"/>
            <w:tcMar>
              <w:top w:type="dxa" w:w="60"/>
              <w:left w:type="dxa" w:w="100"/>
              <w:bottom w:type="dxa" w:w="60"/>
              <w:right w:type="dxa" w:w="100"/>
            </w:tcMar>
          </w:tcPr>
          <w:p>
            <w:r>
              <w:rPr>
                <w:b w:val="false"/>
                <w:bCs w:val="false"/>
                <w:sz w:val="19"/>
                <w:szCs w:val="19"/>
              </w:rPr>
              <w:t xml:space="preserve">deepsearch-report · ai-deepsearch-report</w:t>
            </w:r>
          </w:p>
        </w:tc>
        <w:tc>
          <w:tcPr>
            <w:tcW w:type="dxa" w:w="2240"/>
            <w:tcMar>
              <w:top w:type="dxa" w:w="60"/>
              <w:left w:type="dxa" w:w="100"/>
              <w:bottom w:type="dxa" w:w="60"/>
              <w:right w:type="dxa" w:w="100"/>
            </w:tcMar>
          </w:tcPr>
          <w:p>
            <w:r>
              <w:rPr>
                <w:b w:val="false"/>
                <w:bCs w:val="false"/>
                <w:sz w:val="19"/>
                <w:szCs w:val="19"/>
              </w:rPr>
              <w:t xml:space="preserve">Reports/&lt;Supplier&gt;/&lt;Service&gt;/</w:t>
            </w:r>
          </w:p>
        </w:tc>
      </w:tr>
      <w:tr>
        <w:tc>
          <w:tcPr>
            <w:tcW w:type="dxa" w:w="420"/>
            <w:shd w:fill="E4F3F1" w:val="clear"/>
            <w:tcMar>
              <w:top w:type="dxa" w:w="60"/>
              <w:left w:type="dxa" w:w="100"/>
              <w:bottom w:type="dxa" w:w="60"/>
              <w:right w:type="dxa" w:w="100"/>
            </w:tcMar>
          </w:tcPr>
          <w:p>
            <w:r>
              <w:rPr>
                <w:b w:val="false"/>
                <w:bCs w:val="false"/>
                <w:sz w:val="19"/>
                <w:szCs w:val="19"/>
              </w:rPr>
              <w:t xml:space="preserve">b</w:t>
            </w:r>
          </w:p>
        </w:tc>
        <w:tc>
          <w:tcPr>
            <w:tcW w:type="dxa" w:w="2400"/>
            <w:shd w:fill="E4F3F1" w:val="clear"/>
            <w:tcMar>
              <w:top w:type="dxa" w:w="60"/>
              <w:left w:type="dxa" w:w="100"/>
              <w:bottom w:type="dxa" w:w="60"/>
              <w:right w:type="dxa" w:w="100"/>
            </w:tcMar>
          </w:tcPr>
          <w:p>
            <w:r>
              <w:rPr>
                <w:b w:val="false"/>
                <w:bCs w:val="false"/>
                <w:sz w:val="19"/>
                <w:szCs w:val="19"/>
              </w:rPr>
              <w:t xml:space="preserve">dpia</w:t>
            </w:r>
          </w:p>
        </w:tc>
        <w:tc>
          <w:tcPr>
            <w:tcW w:type="dxa" w:w="2100"/>
            <w:shd w:fill="E4F3F1" w:val="clear"/>
            <w:tcMar>
              <w:top w:type="dxa" w:w="60"/>
              <w:left w:type="dxa" w:w="100"/>
              <w:bottom w:type="dxa" w:w="60"/>
              <w:right w:type="dxa" w:w="100"/>
            </w:tcMar>
          </w:tcPr>
          <w:p>
            <w:r>
              <w:rPr>
                <w:b w:val="false"/>
                <w:bCs w:val="false"/>
                <w:sz w:val="19"/>
                <w:szCs w:val="19"/>
              </w:rPr>
              <w:t xml:space="preserve">dpia_report schema → dpia renderer</w:t>
            </w:r>
          </w:p>
        </w:tc>
        <w:tc>
          <w:tcPr>
            <w:tcW w:type="dxa" w:w="2200"/>
            <w:shd w:fill="E4F3F1" w:val="clear"/>
            <w:tcMar>
              <w:top w:type="dxa" w:w="60"/>
              <w:left w:type="dxa" w:w="100"/>
              <w:bottom w:type="dxa" w:w="60"/>
              <w:right w:type="dxa" w:w="100"/>
            </w:tcMar>
          </w:tcPr>
          <w:p>
            <w:r>
              <w:rPr>
                <w:b w:val="false"/>
                <w:bCs w:val="false"/>
                <w:sz w:val="19"/>
                <w:szCs w:val="19"/>
              </w:rPr>
              <w:t xml:space="preserve">dpia-dpo-report</w:t>
            </w:r>
          </w:p>
        </w:tc>
        <w:tc>
          <w:tcPr>
            <w:tcW w:type="dxa" w:w="2240"/>
            <w:shd w:fill="E4F3F1" w:val="clear"/>
            <w:tcMar>
              <w:top w:type="dxa" w:w="60"/>
              <w:left w:type="dxa" w:w="100"/>
              <w:bottom w:type="dxa" w:w="60"/>
              <w:right w:type="dxa" w:w="100"/>
            </w:tcMar>
          </w:tcPr>
          <w:p>
            <w:r>
              <w:rPr>
                <w:b w:val="false"/>
                <w:bCs w:val="false"/>
                <w:sz w:val="19"/>
                <w:szCs w:val="19"/>
              </w:rPr>
              <w:t xml:space="preserve">Reports/DPO/&lt;Supplier&gt;/&lt;Service&gt;/</w:t>
            </w:r>
          </w:p>
        </w:tc>
      </w:tr>
      <w:tr>
        <w:tc>
          <w:tcPr>
            <w:tcW w:type="dxa" w:w="420"/>
            <w:tcMar>
              <w:top w:type="dxa" w:w="60"/>
              <w:left w:type="dxa" w:w="100"/>
              <w:bottom w:type="dxa" w:w="60"/>
              <w:right w:type="dxa" w:w="100"/>
            </w:tcMar>
          </w:tcPr>
          <w:p>
            <w:r>
              <w:rPr>
                <w:b w:val="false"/>
                <w:bCs w:val="false"/>
                <w:sz w:val="19"/>
                <w:szCs w:val="19"/>
              </w:rPr>
              <w:t xml:space="preserve">c</w:t>
            </w:r>
          </w:p>
        </w:tc>
        <w:tc>
          <w:tcPr>
            <w:tcW w:type="dxa" w:w="2400"/>
            <w:tcMar>
              <w:top w:type="dxa" w:w="60"/>
              <w:left w:type="dxa" w:w="100"/>
              <w:bottom w:type="dxa" w:w="60"/>
              <w:right w:type="dxa" w:w="100"/>
            </w:tcMar>
          </w:tcPr>
          <w:p>
            <w:r>
              <w:rPr>
                <w:b w:val="false"/>
                <w:bCs w:val="false"/>
                <w:sz w:val="19"/>
                <w:szCs w:val="19"/>
              </w:rPr>
              <w:t xml:space="preserve">ciso-reporting · ciso-executive-summary · cyber-forum</w:t>
            </w:r>
          </w:p>
        </w:tc>
        <w:tc>
          <w:tcPr>
            <w:tcW w:type="dxa" w:w="2100"/>
            <w:tcMar>
              <w:top w:type="dxa" w:w="60"/>
              <w:left w:type="dxa" w:w="100"/>
              <w:bottom w:type="dxa" w:w="60"/>
              <w:right w:type="dxa" w:w="100"/>
            </w:tcMar>
          </w:tcPr>
          <w:p>
            <w:r>
              <w:rPr>
                <w:b w:val="false"/>
                <w:bCs w:val="false"/>
                <w:sz w:val="19"/>
                <w:szCs w:val="19"/>
              </w:rPr>
              <w:t xml:space="preserve">ciso_reporting_assessment · ciso_exec_summary_render</w:t>
            </w:r>
          </w:p>
        </w:tc>
        <w:tc>
          <w:tcPr>
            <w:tcW w:type="dxa" w:w="2200"/>
            <w:tcMar>
              <w:top w:type="dxa" w:w="60"/>
              <w:left w:type="dxa" w:w="100"/>
              <w:bottom w:type="dxa" w:w="60"/>
              <w:right w:type="dxa" w:w="100"/>
            </w:tcMar>
          </w:tcPr>
          <w:p>
            <w:r>
              <w:rPr>
                <w:b w:val="false"/>
                <w:bCs w:val="false"/>
                <w:sz w:val="19"/>
                <w:szCs w:val="19"/>
              </w:rPr>
              <w:t xml:space="preserve">cyber-forum-pptx · ciso-exec-summary · cyber-forum-brief</w:t>
            </w:r>
          </w:p>
        </w:tc>
        <w:tc>
          <w:tcPr>
            <w:tcW w:type="dxa" w:w="2240"/>
            <w:tcMar>
              <w:top w:type="dxa" w:w="60"/>
              <w:left w:type="dxa" w:w="100"/>
              <w:bottom w:type="dxa" w:w="60"/>
              <w:right w:type="dxa" w:w="100"/>
            </w:tcMar>
          </w:tcPr>
          <w:p>
            <w:r>
              <w:rPr>
                <w:b w:val="false"/>
                <w:bCs w:val="false"/>
                <w:sz w:val="19"/>
                <w:szCs w:val="19"/>
              </w:rPr>
              <w:t xml:space="preserve">Reports/&lt;Supplier&gt;/&lt;Service&gt;/ · Reports/General/Threat-Intel/</w:t>
            </w:r>
          </w:p>
        </w:tc>
      </w:tr>
      <w:tr>
        <w:tc>
          <w:tcPr>
            <w:tcW w:type="dxa" w:w="420"/>
            <w:shd w:fill="E4F3F1" w:val="clear"/>
            <w:tcMar>
              <w:top w:type="dxa" w:w="60"/>
              <w:left w:type="dxa" w:w="100"/>
              <w:bottom w:type="dxa" w:w="60"/>
              <w:right w:type="dxa" w:w="100"/>
            </w:tcMar>
          </w:tcPr>
          <w:p>
            <w:r>
              <w:rPr>
                <w:b w:val="false"/>
                <w:bCs w:val="false"/>
                <w:sz w:val="19"/>
                <w:szCs w:val="19"/>
              </w:rPr>
              <w:t xml:space="preserve">d</w:t>
            </w:r>
          </w:p>
        </w:tc>
        <w:tc>
          <w:tcPr>
            <w:tcW w:type="dxa" w:w="2400"/>
            <w:shd w:fill="E4F3F1" w:val="clear"/>
            <w:tcMar>
              <w:top w:type="dxa" w:w="60"/>
              <w:left w:type="dxa" w:w="100"/>
              <w:bottom w:type="dxa" w:w="60"/>
              <w:right w:type="dxa" w:w="100"/>
            </w:tcMar>
          </w:tcPr>
          <w:p>
            <w:r>
              <w:rPr>
                <w:b w:val="false"/>
                <w:bCs w:val="false"/>
                <w:sz w:val="19"/>
                <w:szCs w:val="19"/>
              </w:rPr>
              <w:t xml:space="preserve">ciso-global-report</w:t>
            </w:r>
          </w:p>
        </w:tc>
        <w:tc>
          <w:tcPr>
            <w:tcW w:type="dxa" w:w="2100"/>
            <w:shd w:fill="E4F3F1" w:val="clear"/>
            <w:tcMar>
              <w:top w:type="dxa" w:w="60"/>
              <w:left w:type="dxa" w:w="100"/>
              <w:bottom w:type="dxa" w:w="60"/>
              <w:right w:type="dxa" w:w="100"/>
            </w:tcMar>
          </w:tcPr>
          <w:p>
            <w:r>
              <w:rPr>
                <w:b w:val="false"/>
                <w:bCs w:val="false"/>
                <w:sz w:val="19"/>
                <w:szCs w:val="19"/>
              </w:rPr>
              <w:t xml:space="preserve">ciso_global_deck schema → ciso-global renderer</w:t>
            </w:r>
          </w:p>
        </w:tc>
        <w:tc>
          <w:tcPr>
            <w:tcW w:type="dxa" w:w="2200"/>
            <w:shd w:fill="E4F3F1" w:val="clear"/>
            <w:tcMar>
              <w:top w:type="dxa" w:w="60"/>
              <w:left w:type="dxa" w:w="100"/>
              <w:bottom w:type="dxa" w:w="60"/>
              <w:right w:type="dxa" w:w="100"/>
            </w:tcMar>
          </w:tcPr>
          <w:p>
            <w:r>
              <w:rPr>
                <w:b w:val="false"/>
                <w:bCs w:val="false"/>
                <w:sz w:val="19"/>
                <w:szCs w:val="19"/>
              </w:rPr>
              <w:t xml:space="preserve">ciso-global-pptx</w:t>
            </w:r>
          </w:p>
        </w:tc>
        <w:tc>
          <w:tcPr>
            <w:tcW w:type="dxa" w:w="2240"/>
            <w:shd w:fill="E4F3F1" w:val="clear"/>
            <w:tcMar>
              <w:top w:type="dxa" w:w="60"/>
              <w:left w:type="dxa" w:w="100"/>
              <w:bottom w:type="dxa" w:w="60"/>
              <w:right w:type="dxa" w:w="100"/>
            </w:tcMar>
          </w:tcPr>
          <w:p>
            <w:r>
              <w:rPr>
                <w:b w:val="false"/>
                <w:bCs w:val="false"/>
                <w:sz w:val="19"/>
                <w:szCs w:val="19"/>
              </w:rPr>
              <w:t xml:space="preserve">Reports/&lt;Supplier&gt;/&lt;Service&gt;/</w:t>
            </w:r>
          </w:p>
        </w:tc>
      </w:tr>
      <w:tr>
        <w:tc>
          <w:tcPr>
            <w:tcW w:type="dxa" w:w="420"/>
            <w:tcMar>
              <w:top w:type="dxa" w:w="60"/>
              <w:left w:type="dxa" w:w="100"/>
              <w:bottom w:type="dxa" w:w="60"/>
              <w:right w:type="dxa" w:w="100"/>
            </w:tcMar>
          </w:tcPr>
          <w:p>
            <w:r>
              <w:rPr>
                <w:b w:val="false"/>
                <w:bCs w:val="false"/>
                <w:sz w:val="19"/>
                <w:szCs w:val="19"/>
              </w:rPr>
              <w:t xml:space="preserve">d2</w:t>
            </w:r>
          </w:p>
        </w:tc>
        <w:tc>
          <w:tcPr>
            <w:tcW w:type="dxa" w:w="2400"/>
            <w:tcMar>
              <w:top w:type="dxa" w:w="60"/>
              <w:left w:type="dxa" w:w="100"/>
              <w:bottom w:type="dxa" w:w="60"/>
              <w:right w:type="dxa" w:w="100"/>
            </w:tcMar>
          </w:tcPr>
          <w:p>
            <w:r>
              <w:rPr>
                <w:b w:val="false"/>
                <w:bCs w:val="false"/>
                <w:sz w:val="19"/>
                <w:szCs w:val="19"/>
              </w:rPr>
              <w:t xml:space="preserve">tpa-evidence-analyzer</w:t>
            </w:r>
          </w:p>
        </w:tc>
        <w:tc>
          <w:tcPr>
            <w:tcW w:type="dxa" w:w="2100"/>
            <w:tcMar>
              <w:top w:type="dxa" w:w="60"/>
              <w:left w:type="dxa" w:w="100"/>
              <w:bottom w:type="dxa" w:w="60"/>
              <w:right w:type="dxa" w:w="100"/>
            </w:tcMar>
          </w:tcPr>
          <w:p>
            <w:r>
              <w:rPr>
                <w:b w:val="false"/>
                <w:bCs w:val="false"/>
                <w:sz w:val="19"/>
                <w:szCs w:val="19"/>
              </w:rPr>
              <w:t xml:space="preserve">evidence_summary schema (+ cacheRecords)</w:t>
            </w:r>
          </w:p>
        </w:tc>
        <w:tc>
          <w:tcPr>
            <w:tcW w:type="dxa" w:w="2200"/>
            <w:tcMar>
              <w:top w:type="dxa" w:w="60"/>
              <w:left w:type="dxa" w:w="100"/>
              <w:bottom w:type="dxa" w:w="60"/>
              <w:right w:type="dxa" w:w="100"/>
            </w:tcMar>
          </w:tcPr>
          <w:p>
            <w:r>
              <w:rPr>
                <w:b w:val="false"/>
                <w:bCs w:val="false"/>
                <w:sz w:val="19"/>
                <w:szCs w:val="19"/>
              </w:rPr>
              <w:t xml:space="preserve">tpa-evidence-analysis</w:t>
            </w:r>
          </w:p>
        </w:tc>
        <w:tc>
          <w:tcPr>
            <w:tcW w:type="dxa" w:w="2240"/>
            <w:tcMar>
              <w:top w:type="dxa" w:w="60"/>
              <w:left w:type="dxa" w:w="100"/>
              <w:bottom w:type="dxa" w:w="60"/>
              <w:right w:type="dxa" w:w="100"/>
            </w:tcMar>
          </w:tcPr>
          <w:p>
            <w:r>
              <w:rPr>
                <w:b w:val="false"/>
                <w:bCs w:val="false"/>
                <w:sz w:val="19"/>
                <w:szCs w:val="19"/>
              </w:rPr>
              <w:t xml:space="preserve">Reports/&lt;Supplier&gt;/&lt;Service&gt;/ (+ audit/)</w:t>
            </w:r>
          </w:p>
        </w:tc>
      </w:tr>
      <w:tr>
        <w:tc>
          <w:tcPr>
            <w:tcW w:type="dxa" w:w="420"/>
            <w:shd w:fill="E4F3F1" w:val="clear"/>
            <w:tcMar>
              <w:top w:type="dxa" w:w="60"/>
              <w:left w:type="dxa" w:w="100"/>
              <w:bottom w:type="dxa" w:w="60"/>
              <w:right w:type="dxa" w:w="100"/>
            </w:tcMar>
          </w:tcPr>
          <w:p>
            <w:r>
              <w:rPr>
                <w:b w:val="false"/>
                <w:bCs w:val="false"/>
                <w:sz w:val="19"/>
                <w:szCs w:val="19"/>
              </w:rPr>
              <w:t xml:space="preserve">e</w:t>
            </w:r>
          </w:p>
        </w:tc>
        <w:tc>
          <w:tcPr>
            <w:tcW w:type="dxa" w:w="2400"/>
            <w:shd w:fill="E4F3F1" w:val="clear"/>
            <w:tcMar>
              <w:top w:type="dxa" w:w="60"/>
              <w:left w:type="dxa" w:w="100"/>
              <w:bottom w:type="dxa" w:w="60"/>
              <w:right w:type="dxa" w:w="100"/>
            </w:tcMar>
          </w:tcPr>
          <w:p>
            <w:r>
              <w:rPr>
                <w:b w:val="false"/>
                <w:bCs w:val="false"/>
                <w:sz w:val="19"/>
                <w:szCs w:val="19"/>
              </w:rPr>
              <w:t xml:space="preserve">soc-report-analyzer</w:t>
            </w:r>
          </w:p>
        </w:tc>
        <w:tc>
          <w:tcPr>
            <w:tcW w:type="dxa" w:w="2100"/>
            <w:shd w:fill="E4F3F1" w:val="clear"/>
            <w:tcMar>
              <w:top w:type="dxa" w:w="60"/>
              <w:left w:type="dxa" w:w="100"/>
              <w:bottom w:type="dxa" w:w="60"/>
              <w:right w:type="dxa" w:w="100"/>
            </w:tcMar>
          </w:tcPr>
          <w:p>
            <w:r>
              <w:rPr>
                <w:b w:val="false"/>
                <w:bCs w:val="false"/>
                <w:sz w:val="19"/>
                <w:szCs w:val="19"/>
              </w:rPr>
              <w:t xml:space="preserve">evidence_summary schema</w:t>
            </w:r>
          </w:p>
        </w:tc>
        <w:tc>
          <w:tcPr>
            <w:tcW w:type="dxa" w:w="2200"/>
            <w:shd w:fill="E4F3F1" w:val="clear"/>
            <w:tcMar>
              <w:top w:type="dxa" w:w="60"/>
              <w:left w:type="dxa" w:w="100"/>
              <w:bottom w:type="dxa" w:w="60"/>
              <w:right w:type="dxa" w:w="100"/>
            </w:tcMar>
          </w:tcPr>
          <w:p>
            <w:r>
              <w:rPr>
                <w:b w:val="false"/>
                <w:bCs w:val="false"/>
                <w:sz w:val="19"/>
                <w:szCs w:val="19"/>
              </w:rPr>
              <w:t xml:space="preserve">soc-report-summary</w:t>
            </w:r>
          </w:p>
        </w:tc>
        <w:tc>
          <w:tcPr>
            <w:tcW w:type="dxa" w:w="2240"/>
            <w:shd w:fill="E4F3F1" w:val="clear"/>
            <w:tcMar>
              <w:top w:type="dxa" w:w="60"/>
              <w:left w:type="dxa" w:w="100"/>
              <w:bottom w:type="dxa" w:w="60"/>
              <w:right w:type="dxa" w:w="100"/>
            </w:tcMar>
          </w:tcPr>
          <w:p>
            <w:r>
              <w:rPr>
                <w:b w:val="false"/>
                <w:bCs w:val="false"/>
                <w:sz w:val="19"/>
                <w:szCs w:val="19"/>
              </w:rPr>
              <w:t xml:space="preserve">Reports/&lt;Supplier&gt;/&lt;Service&gt;/</w:t>
            </w:r>
          </w:p>
        </w:tc>
      </w:tr>
      <w:tr>
        <w:tc>
          <w:tcPr>
            <w:tcW w:type="dxa" w:w="420"/>
            <w:tcMar>
              <w:top w:type="dxa" w:w="60"/>
              <w:left w:type="dxa" w:w="100"/>
              <w:bottom w:type="dxa" w:w="60"/>
              <w:right w:type="dxa" w:w="100"/>
            </w:tcMar>
          </w:tcPr>
          <w:p>
            <w:r>
              <w:rPr>
                <w:b w:val="false"/>
                <w:bCs w:val="false"/>
                <w:sz w:val="19"/>
                <w:szCs w:val="19"/>
              </w:rPr>
              <w:t xml:space="preserve">f</w:t>
            </w:r>
          </w:p>
        </w:tc>
        <w:tc>
          <w:tcPr>
            <w:tcW w:type="dxa" w:w="2400"/>
            <w:tcMar>
              <w:top w:type="dxa" w:w="60"/>
              <w:left w:type="dxa" w:w="100"/>
              <w:bottom w:type="dxa" w:w="60"/>
              <w:right w:type="dxa" w:w="100"/>
            </w:tcMar>
          </w:tcPr>
          <w:p>
            <w:r>
              <w:rPr>
                <w:b w:val="false"/>
                <w:bCs w:val="false"/>
                <w:sz w:val="19"/>
                <w:szCs w:val="19"/>
              </w:rPr>
              <w:t xml:space="preserve">pentest-report-analyzer</w:t>
            </w:r>
          </w:p>
        </w:tc>
        <w:tc>
          <w:tcPr>
            <w:tcW w:type="dxa" w:w="2100"/>
            <w:tcMar>
              <w:top w:type="dxa" w:w="60"/>
              <w:left w:type="dxa" w:w="100"/>
              <w:bottom w:type="dxa" w:w="60"/>
              <w:right w:type="dxa" w:w="100"/>
            </w:tcMar>
          </w:tcPr>
          <w:p>
            <w:r>
              <w:rPr>
                <w:b w:val="false"/>
                <w:bCs w:val="false"/>
                <w:sz w:val="19"/>
                <w:szCs w:val="19"/>
              </w:rPr>
              <w:t xml:space="preserve">evidence_summary schema</w:t>
            </w:r>
          </w:p>
        </w:tc>
        <w:tc>
          <w:tcPr>
            <w:tcW w:type="dxa" w:w="2200"/>
            <w:tcMar>
              <w:top w:type="dxa" w:w="60"/>
              <w:left w:type="dxa" w:w="100"/>
              <w:bottom w:type="dxa" w:w="60"/>
              <w:right w:type="dxa" w:w="100"/>
            </w:tcMar>
          </w:tcPr>
          <w:p>
            <w:r>
              <w:rPr>
                <w:b w:val="false"/>
                <w:bCs w:val="false"/>
                <w:sz w:val="19"/>
                <w:szCs w:val="19"/>
              </w:rPr>
              <w:t xml:space="preserve">pentest-report-summary</w:t>
            </w:r>
          </w:p>
        </w:tc>
        <w:tc>
          <w:tcPr>
            <w:tcW w:type="dxa" w:w="2240"/>
            <w:tcMar>
              <w:top w:type="dxa" w:w="60"/>
              <w:left w:type="dxa" w:w="100"/>
              <w:bottom w:type="dxa" w:w="60"/>
              <w:right w:type="dxa" w:w="100"/>
            </w:tcMar>
          </w:tcPr>
          <w:p>
            <w:r>
              <w:rPr>
                <w:b w:val="false"/>
                <w:bCs w:val="false"/>
                <w:sz w:val="19"/>
                <w:szCs w:val="19"/>
              </w:rPr>
              <w:t xml:space="preserve">Reports/&lt;Supplier&gt;/&lt;Service&gt;/</w:t>
            </w:r>
          </w:p>
        </w:tc>
      </w:tr>
      <w:tr>
        <w:tc>
          <w:tcPr>
            <w:tcW w:type="dxa" w:w="420"/>
            <w:shd w:fill="E4F3F1" w:val="clear"/>
            <w:tcMar>
              <w:top w:type="dxa" w:w="60"/>
              <w:left w:type="dxa" w:w="100"/>
              <w:bottom w:type="dxa" w:w="60"/>
              <w:right w:type="dxa" w:w="100"/>
            </w:tcMar>
          </w:tcPr>
          <w:p>
            <w:r>
              <w:rPr>
                <w:b w:val="false"/>
                <w:bCs w:val="false"/>
                <w:sz w:val="19"/>
                <w:szCs w:val="19"/>
              </w:rPr>
              <w:t xml:space="preserve">g</w:t>
            </w:r>
          </w:p>
        </w:tc>
        <w:tc>
          <w:tcPr>
            <w:tcW w:type="dxa" w:w="2400"/>
            <w:shd w:fill="E4F3F1" w:val="clear"/>
            <w:tcMar>
              <w:top w:type="dxa" w:w="60"/>
              <w:left w:type="dxa" w:w="100"/>
              <w:bottom w:type="dxa" w:w="60"/>
              <w:right w:type="dxa" w:w="100"/>
            </w:tcMar>
          </w:tcPr>
          <w:p>
            <w:r>
              <w:rPr>
                <w:b w:val="false"/>
                <w:bCs w:val="false"/>
                <w:sz w:val="19"/>
                <w:szCs w:val="19"/>
              </w:rPr>
              <w:t xml:space="preserve">iso27001 · iso42001 · dora · nis2 · eu-ai-act · advisor</w:t>
            </w:r>
          </w:p>
        </w:tc>
        <w:tc>
          <w:tcPr>
            <w:tcW w:type="dxa" w:w="2100"/>
            <w:shd w:fill="E4F3F1" w:val="clear"/>
            <w:tcMar>
              <w:top w:type="dxa" w:w="60"/>
              <w:left w:type="dxa" w:w="100"/>
              <w:bottom w:type="dxa" w:w="60"/>
              <w:right w:type="dxa" w:w="100"/>
            </w:tcMar>
          </w:tcPr>
          <w:p>
            <w:r>
              <w:rPr>
                <w:b w:val="false"/>
                <w:bCs w:val="false"/>
                <w:sz w:val="19"/>
                <w:szCs w:val="19"/>
              </w:rPr>
              <w:t xml:space="preserve">docx/xlsx/pptx generic schemas</w:t>
            </w:r>
          </w:p>
        </w:tc>
        <w:tc>
          <w:tcPr>
            <w:tcW w:type="dxa" w:w="2200"/>
            <w:shd w:fill="E4F3F1" w:val="clear"/>
            <w:tcMar>
              <w:top w:type="dxa" w:w="60"/>
              <w:left w:type="dxa" w:w="100"/>
              <w:bottom w:type="dxa" w:w="60"/>
              <w:right w:type="dxa" w:w="100"/>
            </w:tcMar>
          </w:tcPr>
          <w:p>
            <w:r>
              <w:rPr>
                <w:b w:val="false"/>
                <w:bCs w:val="false"/>
                <w:sz w:val="19"/>
                <w:szCs w:val="19"/>
              </w:rPr>
              <w:t xml:space="preserve">advisory-file-delivery</w:t>
            </w:r>
          </w:p>
        </w:tc>
        <w:tc>
          <w:tcPr>
            <w:tcW w:type="dxa" w:w="2240"/>
            <w:shd w:fill="E4F3F1" w:val="clear"/>
            <w:tcMar>
              <w:top w:type="dxa" w:w="60"/>
              <w:left w:type="dxa" w:w="100"/>
              <w:bottom w:type="dxa" w:w="60"/>
              <w:right w:type="dxa" w:w="100"/>
            </w:tcMar>
          </w:tcPr>
          <w:p>
            <w:r>
              <w:rPr>
                <w:b w:val="false"/>
                <w:bCs w:val="false"/>
                <w:sz w:val="19"/>
                <w:szCs w:val="19"/>
              </w:rPr>
              <w:t xml:space="preserve">Advisory/&lt;Framework&gt;/&lt;Subtopic&gt;/</w:t>
            </w:r>
          </w:p>
        </w:tc>
      </w:tr>
      <w:tr>
        <w:tc>
          <w:tcPr>
            <w:tcW w:type="dxa" w:w="420"/>
            <w:tcMar>
              <w:top w:type="dxa" w:w="60"/>
              <w:left w:type="dxa" w:w="100"/>
              <w:bottom w:type="dxa" w:w="60"/>
              <w:right w:type="dxa" w:w="100"/>
            </w:tcMar>
          </w:tcPr>
          <w:p>
            <w:r>
              <w:rPr>
                <w:b w:val="false"/>
                <w:bCs w:val="false"/>
                <w:sz w:val="19"/>
                <w:szCs w:val="19"/>
              </w:rPr>
              <w:t xml:space="preserve">h</w:t>
            </w:r>
          </w:p>
        </w:tc>
        <w:tc>
          <w:tcPr>
            <w:tcW w:type="dxa" w:w="2400"/>
            <w:tcMar>
              <w:top w:type="dxa" w:w="60"/>
              <w:left w:type="dxa" w:w="100"/>
              <w:bottom w:type="dxa" w:w="60"/>
              <w:right w:type="dxa" w:w="100"/>
            </w:tcMar>
          </w:tcPr>
          <w:p>
            <w:r>
              <w:rPr>
                <w:b w:val="false"/>
                <w:bCs w:val="false"/>
                <w:sz w:val="19"/>
                <w:szCs w:val="19"/>
              </w:rPr>
              <w:t xml:space="preserve">infosec-assurance-advisor · tpsrca engine</w:t>
            </w:r>
          </w:p>
        </w:tc>
        <w:tc>
          <w:tcPr>
            <w:tcW w:type="dxa" w:w="2100"/>
            <w:tcMar>
              <w:top w:type="dxa" w:w="60"/>
              <w:left w:type="dxa" w:w="100"/>
              <w:bottom w:type="dxa" w:w="60"/>
              <w:right w:type="dxa" w:w="100"/>
            </w:tcMar>
          </w:tcPr>
          <w:p>
            <w:r>
              <w:rPr>
                <w:b w:val="false"/>
                <w:bCs w:val="false"/>
                <w:sz w:val="19"/>
                <w:szCs w:val="19"/>
              </w:rPr>
              <w:t xml:space="preserve">same</w:t>
            </w:r>
          </w:p>
        </w:tc>
        <w:tc>
          <w:tcPr>
            <w:tcW w:type="dxa" w:w="2200"/>
            <w:tcMar>
              <w:top w:type="dxa" w:w="60"/>
              <w:left w:type="dxa" w:w="100"/>
              <w:bottom w:type="dxa" w:w="60"/>
              <w:right w:type="dxa" w:w="100"/>
            </w:tcMar>
          </w:tcPr>
          <w:p>
            <w:r>
              <w:rPr>
                <w:b w:val="false"/>
                <w:bCs w:val="false"/>
                <w:sz w:val="19"/>
                <w:szCs w:val="19"/>
              </w:rPr>
              <w:t xml:space="preserve">advisory-file-delivery</w:t>
            </w:r>
          </w:p>
        </w:tc>
        <w:tc>
          <w:tcPr>
            <w:tcW w:type="dxa" w:w="2240"/>
            <w:tcMar>
              <w:top w:type="dxa" w:w="60"/>
              <w:left w:type="dxa" w:w="100"/>
              <w:bottom w:type="dxa" w:w="60"/>
              <w:right w:type="dxa" w:w="100"/>
            </w:tcMar>
          </w:tcPr>
          <w:p>
            <w:r>
              <w:rPr>
                <w:b w:val="false"/>
                <w:bCs w:val="false"/>
                <w:sz w:val="19"/>
                <w:szCs w:val="19"/>
              </w:rPr>
              <w:t xml:space="preserve">Advisory/</w:t>
            </w:r>
          </w:p>
        </w:tc>
      </w:tr>
      <w:tr>
        <w:tc>
          <w:tcPr>
            <w:tcW w:type="dxa" w:w="420"/>
            <w:shd w:fill="E4F3F1" w:val="clear"/>
            <w:tcMar>
              <w:top w:type="dxa" w:w="60"/>
              <w:left w:type="dxa" w:w="100"/>
              <w:bottom w:type="dxa" w:w="60"/>
              <w:right w:type="dxa" w:w="100"/>
            </w:tcMar>
          </w:tcPr>
          <w:p>
            <w:r>
              <w:rPr>
                <w:b w:val="false"/>
                <w:bCs w:val="false"/>
                <w:sz w:val="19"/>
                <w:szCs w:val="19"/>
              </w:rPr>
              <w:t xml:space="preserve">i</w:t>
            </w:r>
          </w:p>
        </w:tc>
        <w:tc>
          <w:tcPr>
            <w:tcW w:type="dxa" w:w="2400"/>
            <w:shd w:fill="E4F3F1" w:val="clear"/>
            <w:tcMar>
              <w:top w:type="dxa" w:w="60"/>
              <w:left w:type="dxa" w:w="100"/>
              <w:bottom w:type="dxa" w:w="60"/>
              <w:right w:type="dxa" w:w="100"/>
            </w:tcMar>
          </w:tcPr>
          <w:p>
            <w:r>
              <w:rPr>
                <w:b w:val="false"/>
                <w:bCs w:val="false"/>
                <w:sz w:val="19"/>
                <w:szCs w:val="19"/>
              </w:rPr>
              <w:t xml:space="preserve">all agents</w:t>
            </w:r>
          </w:p>
        </w:tc>
        <w:tc>
          <w:tcPr>
            <w:tcW w:type="dxa" w:w="2100"/>
            <w:shd w:fill="E4F3F1" w:val="clear"/>
            <w:tcMar>
              <w:top w:type="dxa" w:w="60"/>
              <w:left w:type="dxa" w:w="100"/>
              <w:bottom w:type="dxa" w:w="60"/>
              <w:right w:type="dxa" w:w="100"/>
            </w:tcMar>
          </w:tcPr>
          <w:p>
            <w:r>
              <w:rPr>
                <w:b w:val="false"/>
                <w:bCs w:val="false"/>
                <w:sz w:val="19"/>
                <w:szCs w:val="19"/>
              </w:rPr>
              <w:t xml:space="preserve">read-only toolset (20 connections)</w:t>
            </w:r>
          </w:p>
        </w:tc>
        <w:tc>
          <w:tcPr>
            <w:tcW w:type="dxa" w:w="2200"/>
            <w:shd w:fill="E4F3F1" w:val="clear"/>
            <w:tcMar>
              <w:top w:type="dxa" w:w="60"/>
              <w:left w:type="dxa" w:w="100"/>
              <w:bottom w:type="dxa" w:w="60"/>
              <w:right w:type="dxa" w:w="100"/>
            </w:tcMar>
          </w:tcPr>
          <w:p>
            <w:r>
              <w:rPr>
                <w:b w:val="false"/>
                <w:bCs w:val="false"/>
                <w:sz w:val="19"/>
                <w:szCs w:val="19"/>
              </w:rPr>
              <w:t xml:space="preserve">—</w:t>
            </w:r>
          </w:p>
        </w:tc>
        <w:tc>
          <w:tcPr>
            <w:tcW w:type="dxa" w:w="2240"/>
            <w:shd w:fill="E4F3F1" w:val="clear"/>
            <w:tcMar>
              <w:top w:type="dxa" w:w="60"/>
              <w:left w:type="dxa" w:w="100"/>
              <w:bottom w:type="dxa" w:w="60"/>
              <w:right w:type="dxa" w:w="100"/>
            </w:tcMar>
          </w:tcPr>
          <w:p>
            <w:r>
              <w:rPr>
                <w:b w:val="false"/>
                <w:bCs w:val="false"/>
                <w:sz w:val="19"/>
                <w:szCs w:val="19"/>
              </w:rPr>
              <w:t xml:space="preserve">—</w:t>
            </w:r>
          </w:p>
        </w:tc>
      </w:tr>
      <w:tr>
        <w:tc>
          <w:tcPr>
            <w:tcW w:type="dxa" w:w="420"/>
            <w:tcMar>
              <w:top w:type="dxa" w:w="60"/>
              <w:left w:type="dxa" w:w="100"/>
              <w:bottom w:type="dxa" w:w="60"/>
              <w:right w:type="dxa" w:w="100"/>
            </w:tcMar>
          </w:tcPr>
          <w:p>
            <w:r>
              <w:rPr>
                <w:b w:val="false"/>
                <w:bCs w:val="false"/>
                <w:sz w:val="19"/>
                <w:szCs w:val="19"/>
              </w:rPr>
              <w:t xml:space="preserve">j</w:t>
            </w:r>
          </w:p>
        </w:tc>
        <w:tc>
          <w:tcPr>
            <w:tcW w:type="dxa" w:w="2400"/>
            <w:tcMar>
              <w:top w:type="dxa" w:w="60"/>
              <w:left w:type="dxa" w:w="100"/>
              <w:bottom w:type="dxa" w:w="60"/>
              <w:right w:type="dxa" w:w="100"/>
            </w:tcMar>
          </w:tcPr>
          <w:p>
            <w:r>
              <w:rPr>
                <w:b w:val="false"/>
                <w:bCs w:val="false"/>
                <w:sz w:val="19"/>
                <w:szCs w:val="19"/>
              </w:rPr>
              <w:t xml:space="preserve">template-manager</w:t>
            </w:r>
          </w:p>
        </w:tc>
        <w:tc>
          <w:tcPr>
            <w:tcW w:type="dxa" w:w="2100"/>
            <w:tcMar>
              <w:top w:type="dxa" w:w="60"/>
              <w:left w:type="dxa" w:w="100"/>
              <w:bottom w:type="dxa" w:w="60"/>
              <w:right w:type="dxa" w:w="100"/>
            </w:tcMar>
          </w:tcPr>
          <w:p>
            <w:r>
              <w:rPr>
                <w:b w:val="false"/>
                <w:bCs w:val="false"/>
                <w:sz w:val="19"/>
                <w:szCs w:val="19"/>
              </w:rPr>
              <w:t xml:space="preserve">templates/registry.json</w:t>
            </w:r>
          </w:p>
        </w:tc>
        <w:tc>
          <w:tcPr>
            <w:tcW w:type="dxa" w:w="2200"/>
            <w:tcMar>
              <w:top w:type="dxa" w:w="60"/>
              <w:left w:type="dxa" w:w="100"/>
              <w:bottom w:type="dxa" w:w="60"/>
              <w:right w:type="dxa" w:w="100"/>
            </w:tcMar>
          </w:tcPr>
          <w:p>
            <w:r>
              <w:rPr>
                <w:b w:val="false"/>
                <w:bCs w:val="false"/>
                <w:sz w:val="19"/>
                <w:szCs w:val="19"/>
              </w:rPr>
              <w:t xml:space="preserve">template-update-approval</w:t>
            </w:r>
          </w:p>
        </w:tc>
        <w:tc>
          <w:tcPr>
            <w:tcW w:type="dxa" w:w="2240"/>
            <w:tcMar>
              <w:top w:type="dxa" w:w="60"/>
              <w:left w:type="dxa" w:w="100"/>
              <w:bottom w:type="dxa" w:w="60"/>
              <w:right w:type="dxa" w:w="100"/>
            </w:tcMar>
          </w:tcPr>
          <w:p>
            <w:r>
              <w:rPr>
                <w:b w:val="false"/>
                <w:bCs w:val="false"/>
                <w:sz w:val="19"/>
                <w:szCs w:val="19"/>
              </w:rPr>
              <w:t xml:space="preserve">Templates/ + Templates/Reviews/</w:t>
            </w:r>
          </w:p>
        </w:tc>
      </w:tr>
    </w:tbl>
    <w:p>
      <w:r>
        <w:br w:type="page"/>
      </w:r>
    </w:p>
    <w:p>
      <w:pPr>
        <w:pStyle w:val="Heading1"/>
        <w:spacing w:after="160" w:before="360"/>
      </w:pPr>
      <w:r>
        <w:t xml:space="preserve">Appendix B — Repository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008D7F" w:val="clear"/>
            <w:tcMar>
              <w:top w:type="dxa" w:w="60"/>
              <w:left w:type="dxa" w:w="100"/>
              <w:bottom w:type="dxa" w:w="60"/>
              <w:right w:type="dxa" w:w="100"/>
            </w:tcMar>
          </w:tcPr>
          <w:p>
            <w:r>
              <w:rPr>
                <w:b/>
                <w:bCs/>
                <w:color w:val="FFFFFF"/>
                <w:sz w:val="19"/>
                <w:szCs w:val="19"/>
              </w:rPr>
              <w:t xml:space="preserve">Path</w:t>
            </w:r>
          </w:p>
        </w:tc>
        <w:tc>
          <w:tcPr>
            <w:tcW w:type="dxa" w:w="6460"/>
            <w:shd w:fill="008D7F" w:val="clear"/>
            <w:tcMar>
              <w:top w:type="dxa" w:w="60"/>
              <w:left w:type="dxa" w:w="100"/>
              <w:bottom w:type="dxa" w:w="60"/>
              <w:right w:type="dxa" w:w="100"/>
            </w:tcMar>
          </w:tcPr>
          <w:p>
            <w:r>
              <w:rPr>
                <w:b/>
                <w:bCs/>
                <w:color w:val="FFFFFF"/>
                <w:sz w:val="19"/>
                <w:szCs w:val="19"/>
              </w:rPr>
              <w:t xml:space="preserve">Contents</w:t>
            </w:r>
          </w:p>
        </w:tc>
      </w:tr>
      <w:tr>
        <w:tc>
          <w:tcPr>
            <w:tcW w:type="dxa" w:w="2900"/>
            <w:tcMar>
              <w:top w:type="dxa" w:w="60"/>
              <w:left w:type="dxa" w:w="100"/>
              <w:bottom w:type="dxa" w:w="60"/>
              <w:right w:type="dxa" w:w="100"/>
            </w:tcMar>
          </w:tcPr>
          <w:p>
            <w:r>
              <w:rPr>
                <w:b w:val="false"/>
                <w:bCs w:val="false"/>
                <w:sz w:val="19"/>
                <w:szCs w:val="19"/>
              </w:rPr>
              <w:t xml:space="preserve">claude-account-export/</w:t>
            </w:r>
          </w:p>
        </w:tc>
        <w:tc>
          <w:tcPr>
            <w:tcW w:type="dxa" w:w="6460"/>
            <w:tcMar>
              <w:top w:type="dxa" w:w="60"/>
              <w:left w:type="dxa" w:w="100"/>
              <w:bottom w:type="dxa" w:w="60"/>
              <w:right w:type="dxa" w:w="100"/>
            </w:tcMar>
          </w:tcPr>
          <w:p>
            <w:r>
              <w:rPr>
                <w:b w:val="false"/>
                <w:bCs w:val="false"/>
                <w:sz w:val="19"/>
                <w:szCs w:val="19"/>
              </w:rPr>
              <w:t xml:space="preserve">Source of truth: the complete account export (35 skills, persona, capabilities) — never edited</w:t>
            </w:r>
          </w:p>
        </w:tc>
      </w:tr>
      <w:tr>
        <w:tc>
          <w:tcPr>
            <w:tcW w:type="dxa" w:w="2900"/>
            <w:shd w:fill="E4F3F1" w:val="clear"/>
            <w:tcMar>
              <w:top w:type="dxa" w:w="60"/>
              <w:left w:type="dxa" w:w="100"/>
              <w:bottom w:type="dxa" w:w="60"/>
              <w:right w:type="dxa" w:w="100"/>
            </w:tcMar>
          </w:tcPr>
          <w:p>
            <w:r>
              <w:rPr>
                <w:b w:val="false"/>
                <w:bCs w:val="false"/>
                <w:sz w:val="19"/>
                <w:szCs w:val="19"/>
              </w:rPr>
              <w:t xml:space="preserve">convertion/agents/</w:t>
            </w:r>
          </w:p>
        </w:tc>
        <w:tc>
          <w:tcPr>
            <w:tcW w:type="dxa" w:w="6460"/>
            <w:shd w:fill="E4F3F1" w:val="clear"/>
            <w:tcMar>
              <w:top w:type="dxa" w:w="60"/>
              <w:left w:type="dxa" w:w="100"/>
              <w:bottom w:type="dxa" w:w="60"/>
              <w:right w:type="dxa" w:w="100"/>
            </w:tcMar>
          </w:tcPr>
          <w:p>
            <w:r>
              <w:rPr>
                <w:b w:val="false"/>
                <w:bCs w:val="false"/>
                <w:sz w:val="19"/>
                <w:szCs w:val="19"/>
              </w:rPr>
              <w:t xml:space="preserve">Persona, charters, overlays, knowledge packs, advisor knowledge</w:t>
            </w:r>
          </w:p>
        </w:tc>
      </w:tr>
      <w:tr>
        <w:tc>
          <w:tcPr>
            <w:tcW w:type="dxa" w:w="2900"/>
            <w:tcMar>
              <w:top w:type="dxa" w:w="60"/>
              <w:left w:type="dxa" w:w="100"/>
              <w:bottom w:type="dxa" w:w="60"/>
              <w:right w:type="dxa" w:w="100"/>
            </w:tcMar>
          </w:tcPr>
          <w:p>
            <w:r>
              <w:rPr>
                <w:b w:val="false"/>
                <w:bCs w:val="false"/>
                <w:sz w:val="19"/>
                <w:szCs w:val="19"/>
              </w:rPr>
              <w:t xml:space="preserve">convertion/scripts/</w:t>
            </w:r>
          </w:p>
        </w:tc>
        <w:tc>
          <w:tcPr>
            <w:tcW w:type="dxa" w:w="6460"/>
            <w:tcMar>
              <w:top w:type="dxa" w:w="60"/>
              <w:left w:type="dxa" w:w="100"/>
              <w:bottom w:type="dxa" w:w="60"/>
              <w:right w:type="dxa" w:w="100"/>
            </w:tcMar>
          </w:tcPr>
          <w:p>
            <w:r>
              <w:rPr>
                <w:b w:val="false"/>
                <w:bCs w:val="false"/>
                <w:sz w:val="19"/>
                <w:szCs w:val="19"/>
              </w:rPr>
              <w:t xml:space="preserve">Conversion, creation, attachment, verification, profiles, memory, cleanup, staging</w:t>
            </w:r>
          </w:p>
        </w:tc>
      </w:tr>
      <w:tr>
        <w:tc>
          <w:tcPr>
            <w:tcW w:type="dxa" w:w="2900"/>
            <w:shd w:fill="E4F3F1" w:val="clear"/>
            <w:tcMar>
              <w:top w:type="dxa" w:w="60"/>
              <w:left w:type="dxa" w:w="100"/>
              <w:bottom w:type="dxa" w:w="60"/>
              <w:right w:type="dxa" w:w="100"/>
            </w:tcMar>
          </w:tcPr>
          <w:p>
            <w:r>
              <w:rPr>
                <w:b w:val="false"/>
                <w:bCs w:val="false"/>
                <w:sz w:val="19"/>
                <w:szCs w:val="19"/>
              </w:rPr>
              <w:t xml:space="preserve">convertion/infra/ · enterprise/</w:t>
            </w:r>
          </w:p>
        </w:tc>
        <w:tc>
          <w:tcPr>
            <w:tcW w:type="dxa" w:w="6460"/>
            <w:shd w:fill="E4F3F1" w:val="clear"/>
            <w:tcMar>
              <w:top w:type="dxa" w:w="60"/>
              <w:left w:type="dxa" w:w="100"/>
              <w:bottom w:type="dxa" w:w="60"/>
              <w:right w:type="dxa" w:w="100"/>
            </w:tcMar>
          </w:tcPr>
          <w:p>
            <w:r>
              <w:rPr>
                <w:b w:val="false"/>
                <w:bCs w:val="false"/>
                <w:sz w:val="19"/>
                <w:szCs w:val="19"/>
              </w:rPr>
              <w:t xml:space="preserve">Thirteen Bicep modules, landing zone, policy, the implementation series 00–10</w:t>
            </w:r>
          </w:p>
        </w:tc>
      </w:tr>
      <w:tr>
        <w:tc>
          <w:tcPr>
            <w:tcW w:type="dxa" w:w="2900"/>
            <w:tcMar>
              <w:top w:type="dxa" w:w="60"/>
              <w:left w:type="dxa" w:w="100"/>
              <w:bottom w:type="dxa" w:w="60"/>
              <w:right w:type="dxa" w:w="100"/>
            </w:tcMar>
          </w:tcPr>
          <w:p>
            <w:r>
              <w:rPr>
                <w:b w:val="false"/>
                <w:bCs w:val="false"/>
                <w:sz w:val="19"/>
                <w:szCs w:val="19"/>
              </w:rPr>
              <w:t xml:space="preserve">convertion/integrations/</w:t>
            </w:r>
          </w:p>
        </w:tc>
        <w:tc>
          <w:tcPr>
            <w:tcW w:type="dxa" w:w="6460"/>
            <w:tcMar>
              <w:top w:type="dxa" w:w="60"/>
              <w:left w:type="dxa" w:w="100"/>
              <w:bottom w:type="dxa" w:w="60"/>
              <w:right w:type="dxa" w:w="100"/>
            </w:tcMar>
          </w:tcPr>
          <w:p>
            <w:r>
              <w:rPr>
                <w:b w:val="false"/>
                <w:bCs w:val="false"/>
                <w:sz w:val="19"/>
                <w:szCs w:val="19"/>
              </w:rPr>
              <w:t xml:space="preserve">registry.json, 17 OpenAPI specs, connections, MCP, Copilot</w:t>
            </w:r>
          </w:p>
        </w:tc>
      </w:tr>
      <w:tr>
        <w:tc>
          <w:tcPr>
            <w:tcW w:type="dxa" w:w="2900"/>
            <w:shd w:fill="E4F3F1" w:val="clear"/>
            <w:tcMar>
              <w:top w:type="dxa" w:w="60"/>
              <w:left w:type="dxa" w:w="100"/>
              <w:bottom w:type="dxa" w:w="60"/>
              <w:right w:type="dxa" w:w="100"/>
            </w:tcMar>
          </w:tcPr>
          <w:p>
            <w:r>
              <w:rPr>
                <w:b w:val="false"/>
                <w:bCs w:val="false"/>
                <w:sz w:val="19"/>
                <w:szCs w:val="19"/>
              </w:rPr>
              <w:t xml:space="preserve">convertion/workflows/</w:t>
            </w:r>
          </w:p>
        </w:tc>
        <w:tc>
          <w:tcPr>
            <w:tcW w:type="dxa" w:w="6460"/>
            <w:shd w:fill="E4F3F1" w:val="clear"/>
            <w:tcMar>
              <w:top w:type="dxa" w:w="60"/>
              <w:left w:type="dxa" w:w="100"/>
              <w:bottom w:type="dxa" w:w="60"/>
              <w:right w:type="dxa" w:w="100"/>
            </w:tcMar>
          </w:tcPr>
          <w:p>
            <w:r>
              <w:rPr>
                <w:b w:val="false"/>
                <w:bCs w:val="false"/>
                <w:sz w:val="19"/>
                <w:szCs w:val="19"/>
              </w:rPr>
              <w:t xml:space="preserve">Seventeen Logic Apps definitions plus pipelines.json</w:t>
            </w:r>
          </w:p>
        </w:tc>
      </w:tr>
      <w:tr>
        <w:tc>
          <w:tcPr>
            <w:tcW w:type="dxa" w:w="2900"/>
            <w:tcMar>
              <w:top w:type="dxa" w:w="60"/>
              <w:left w:type="dxa" w:w="100"/>
              <w:bottom w:type="dxa" w:w="60"/>
              <w:right w:type="dxa" w:w="100"/>
            </w:tcMar>
          </w:tcPr>
          <w:p>
            <w:r>
              <w:rPr>
                <w:b w:val="false"/>
                <w:bCs w:val="false"/>
                <w:sz w:val="19"/>
                <w:szCs w:val="19"/>
              </w:rPr>
              <w:t xml:space="preserve">convertion/functions/</w:t>
            </w:r>
          </w:p>
        </w:tc>
        <w:tc>
          <w:tcPr>
            <w:tcW w:type="dxa" w:w="6460"/>
            <w:tcMar>
              <w:top w:type="dxa" w:w="60"/>
              <w:left w:type="dxa" w:w="100"/>
              <w:bottom w:type="dxa" w:w="60"/>
              <w:right w:type="dxa" w:w="100"/>
            </w:tcMar>
          </w:tcPr>
          <w:p>
            <w:r>
              <w:rPr>
                <w:b w:val="false"/>
                <w:bCs w:val="false"/>
                <w:sz w:val="19"/>
                <w:szCs w:val="19"/>
              </w:rPr>
              <w:t xml:space="preserve">Delivery Function (the single writer) and the office toolchain</w:t>
            </w:r>
          </w:p>
        </w:tc>
      </w:tr>
      <w:tr>
        <w:tc>
          <w:tcPr>
            <w:tcW w:type="dxa" w:w="2900"/>
            <w:shd w:fill="E4F3F1" w:val="clear"/>
            <w:tcMar>
              <w:top w:type="dxa" w:w="60"/>
              <w:left w:type="dxa" w:w="100"/>
              <w:bottom w:type="dxa" w:w="60"/>
              <w:right w:type="dxa" w:w="100"/>
            </w:tcMar>
          </w:tcPr>
          <w:p>
            <w:r>
              <w:rPr>
                <w:b w:val="false"/>
                <w:bCs w:val="false"/>
                <w:sz w:val="19"/>
                <w:szCs w:val="19"/>
              </w:rPr>
              <w:t xml:space="preserve">convertion/templates/</w:t>
            </w:r>
          </w:p>
        </w:tc>
        <w:tc>
          <w:tcPr>
            <w:tcW w:type="dxa" w:w="6460"/>
            <w:shd w:fill="E4F3F1" w:val="clear"/>
            <w:tcMar>
              <w:top w:type="dxa" w:w="60"/>
              <w:left w:type="dxa" w:w="100"/>
              <w:bottom w:type="dxa" w:w="60"/>
              <w:right w:type="dxa" w:w="100"/>
            </w:tcMar>
          </w:tcPr>
          <w:p>
            <w:r>
              <w:rPr>
                <w:b w:val="false"/>
                <w:bCs w:val="false"/>
                <w:sz w:val="19"/>
                <w:szCs w:val="19"/>
              </w:rPr>
              <w:t xml:space="preserve">Thirteen registered templates, their schemas, samples and themes</w:t>
            </w:r>
          </w:p>
        </w:tc>
      </w:tr>
      <w:tr>
        <w:tc>
          <w:tcPr>
            <w:tcW w:type="dxa" w:w="2900"/>
            <w:tcMar>
              <w:top w:type="dxa" w:w="60"/>
              <w:left w:type="dxa" w:w="100"/>
              <w:bottom w:type="dxa" w:w="60"/>
              <w:right w:type="dxa" w:w="100"/>
            </w:tcMar>
          </w:tcPr>
          <w:p>
            <w:r>
              <w:rPr>
                <w:b w:val="false"/>
                <w:bCs w:val="false"/>
                <w:sz w:val="19"/>
                <w:szCs w:val="19"/>
              </w:rPr>
              <w:t xml:space="preserve">convertion/governance/ · team/ · operations/</w:t>
            </w:r>
          </w:p>
        </w:tc>
        <w:tc>
          <w:tcPr>
            <w:tcW w:type="dxa" w:w="6460"/>
            <w:tcMar>
              <w:top w:type="dxa" w:w="60"/>
              <w:left w:type="dxa" w:w="100"/>
              <w:bottom w:type="dxa" w:w="60"/>
              <w:right w:type="dxa" w:w="100"/>
            </w:tcMar>
          </w:tcPr>
          <w:p>
            <w:r>
              <w:rPr>
                <w:b w:val="false"/>
                <w:bCs w:val="false"/>
                <w:sz w:val="19"/>
                <w:szCs w:val="19"/>
              </w:rPr>
              <w:t xml:space="preserve">Approval policy, data protection, model routing, inference profiles, team model, runbooks, FinOps, optimisation register</w:t>
            </w:r>
          </w:p>
        </w:tc>
      </w:tr>
      <w:tr>
        <w:tc>
          <w:tcPr>
            <w:tcW w:type="dxa" w:w="2900"/>
            <w:shd w:fill="E4F3F1" w:val="clear"/>
            <w:tcMar>
              <w:top w:type="dxa" w:w="60"/>
              <w:left w:type="dxa" w:w="100"/>
              <w:bottom w:type="dxa" w:w="60"/>
              <w:right w:type="dxa" w:w="100"/>
            </w:tcMar>
          </w:tcPr>
          <w:p>
            <w:r>
              <w:rPr>
                <w:b w:val="false"/>
                <w:bCs w:val="false"/>
                <w:sz w:val="19"/>
                <w:szCs w:val="19"/>
              </w:rPr>
              <w:t xml:space="preserve">convertion/ci/ · .github/</w:t>
            </w:r>
          </w:p>
        </w:tc>
        <w:tc>
          <w:tcPr>
            <w:tcW w:type="dxa" w:w="6460"/>
            <w:shd w:fill="E4F3F1" w:val="clear"/>
            <w:tcMar>
              <w:top w:type="dxa" w:w="60"/>
              <w:left w:type="dxa" w:w="100"/>
              <w:bottom w:type="dxa" w:w="60"/>
              <w:right w:type="dxa" w:w="100"/>
            </w:tcMar>
          </w:tcPr>
          <w:p>
            <w:r>
              <w:rPr>
                <w:b w:val="false"/>
                <w:bCs w:val="false"/>
                <w:sz w:val="19"/>
                <w:szCs w:val="19"/>
              </w:rPr>
              <w:t xml:space="preserve">The gate set, in two pipelines that run the same scripts in the same order</w:t>
            </w:r>
          </w:p>
        </w:tc>
      </w:tr>
      <w:tr>
        <w:tc>
          <w:tcPr>
            <w:tcW w:type="dxa" w:w="2900"/>
            <w:tcMar>
              <w:top w:type="dxa" w:w="60"/>
              <w:left w:type="dxa" w:w="100"/>
              <w:bottom w:type="dxa" w:w="60"/>
              <w:right w:type="dxa" w:w="100"/>
            </w:tcMar>
          </w:tcPr>
          <w:p>
            <w:r>
              <w:rPr>
                <w:b w:val="false"/>
                <w:bCs w:val="false"/>
                <w:sz w:val="19"/>
                <w:szCs w:val="19"/>
              </w:rPr>
              <w:t xml:space="preserve">project-dossier/</w:t>
            </w:r>
          </w:p>
        </w:tc>
        <w:tc>
          <w:tcPr>
            <w:tcW w:type="dxa" w:w="6460"/>
            <w:tcMar>
              <w:top w:type="dxa" w:w="60"/>
              <w:left w:type="dxa" w:w="100"/>
              <w:bottom w:type="dxa" w:w="60"/>
              <w:right w:type="dxa" w:w="100"/>
            </w:tcMar>
          </w:tcPr>
          <w:p>
            <w:r>
              <w:rPr>
                <w:b w:val="false"/>
                <w:bCs w:val="false"/>
                <w:sz w:val="19"/>
                <w:szCs w:val="19"/>
              </w:rPr>
              <w:t xml:space="preserve">This document, its diagrams and their generators — build outputs, never hand-edited</w:t>
            </w:r>
          </w:p>
        </w:tc>
      </w:tr>
    </w:tbl>
    <w:p>
      <w:pPr>
        <w:pStyle w:val="Heading1"/>
        <w:spacing w:after="160" w:before="360"/>
      </w:pPr>
      <w:r>
        <w:t xml:space="preserve">Appendix C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008D7F" w:val="clear"/>
            <w:tcMar>
              <w:top w:type="dxa" w:w="60"/>
              <w:left w:type="dxa" w:w="100"/>
              <w:bottom w:type="dxa" w:w="60"/>
              <w:right w:type="dxa" w:w="100"/>
            </w:tcMar>
          </w:tcPr>
          <w:p>
            <w:r>
              <w:rPr>
                <w:b/>
                <w:bCs/>
                <w:color w:val="FFFFFF"/>
                <w:sz w:val="19"/>
                <w:szCs w:val="19"/>
              </w:rPr>
              <w:t xml:space="preserve">Term</w:t>
            </w:r>
          </w:p>
        </w:tc>
        <w:tc>
          <w:tcPr>
            <w:tcW w:type="dxa" w:w="6960"/>
            <w:shd w:fill="008D7F" w:val="clear"/>
            <w:tcMar>
              <w:top w:type="dxa" w:w="60"/>
              <w:left w:type="dxa" w:w="100"/>
              <w:bottom w:type="dxa" w:w="60"/>
              <w:right w:type="dxa" w:w="100"/>
            </w:tcMar>
          </w:tcPr>
          <w:p>
            <w:r>
              <w:rPr>
                <w:b/>
                <w:bCs/>
                <w:color w:val="FFFFFF"/>
                <w:sz w:val="19"/>
                <w:szCs w:val="19"/>
              </w:rPr>
              <w:t xml:space="preserve">Meaning here</w:t>
            </w:r>
          </w:p>
        </w:tc>
      </w:tr>
      <w:tr>
        <w:tc>
          <w:tcPr>
            <w:tcW w:type="dxa" w:w="2400"/>
            <w:tcMar>
              <w:top w:type="dxa" w:w="60"/>
              <w:left w:type="dxa" w:w="100"/>
              <w:bottom w:type="dxa" w:w="60"/>
              <w:right w:type="dxa" w:w="100"/>
            </w:tcMar>
          </w:tcPr>
          <w:p>
            <w:r>
              <w:rPr>
                <w:b w:val="false"/>
                <w:bCs w:val="false"/>
                <w:sz w:val="19"/>
                <w:szCs w:val="19"/>
              </w:rPr>
              <w:t xml:space="preserve">Agent</w:t>
            </w:r>
          </w:p>
        </w:tc>
        <w:tc>
          <w:tcPr>
            <w:tcW w:type="dxa" w:w="6960"/>
            <w:tcMar>
              <w:top w:type="dxa" w:w="60"/>
              <w:left w:type="dxa" w:w="100"/>
              <w:bottom w:type="dxa" w:w="60"/>
              <w:right w:type="dxa" w:w="100"/>
            </w:tcMar>
          </w:tcPr>
          <w:p>
            <w:r>
              <w:rPr>
                <w:b w:val="false"/>
                <w:bCs w:val="false"/>
                <w:sz w:val="19"/>
                <w:szCs w:val="19"/>
              </w:rPr>
              <w:t xml:space="preserve">A Foundry prompt agent: instructions, a model, knowledge and tools, saved as an immutable version</w:t>
            </w:r>
          </w:p>
        </w:tc>
      </w:tr>
      <w:tr>
        <w:tc>
          <w:tcPr>
            <w:tcW w:type="dxa" w:w="2400"/>
            <w:shd w:fill="E4F3F1" w:val="clear"/>
            <w:tcMar>
              <w:top w:type="dxa" w:w="60"/>
              <w:left w:type="dxa" w:w="100"/>
              <w:bottom w:type="dxa" w:w="60"/>
              <w:right w:type="dxa" w:w="100"/>
            </w:tcMar>
          </w:tcPr>
          <w:p>
            <w:r>
              <w:rPr>
                <w:b w:val="false"/>
                <w:bCs w:val="false"/>
                <w:sz w:val="19"/>
                <w:szCs w:val="19"/>
              </w:rPr>
              <w:t xml:space="preserve">A2A hand-off</w:t>
            </w:r>
          </w:p>
        </w:tc>
        <w:tc>
          <w:tcPr>
            <w:tcW w:type="dxa" w:w="6960"/>
            <w:shd w:fill="E4F3F1" w:val="clear"/>
            <w:tcMar>
              <w:top w:type="dxa" w:w="60"/>
              <w:left w:type="dxa" w:w="100"/>
              <w:bottom w:type="dxa" w:w="60"/>
              <w:right w:type="dxa" w:w="100"/>
            </w:tcMar>
          </w:tcPr>
          <w:p>
            <w:r>
              <w:rPr>
                <w:b w:val="false"/>
                <w:bCs w:val="false"/>
                <w:sz w:val="19"/>
                <w:szCs w:val="19"/>
              </w:rPr>
              <w:t xml:space="preserve">Agent-to-agent delegation; replaces Connected Agents, which no longer exist in the service</w:t>
            </w:r>
          </w:p>
        </w:tc>
      </w:tr>
      <w:tr>
        <w:tc>
          <w:tcPr>
            <w:tcW w:type="dxa" w:w="2400"/>
            <w:tcMar>
              <w:top w:type="dxa" w:w="60"/>
              <w:left w:type="dxa" w:w="100"/>
              <w:bottom w:type="dxa" w:w="60"/>
              <w:right w:type="dxa" w:w="100"/>
            </w:tcMar>
          </w:tcPr>
          <w:p>
            <w:r>
              <w:rPr>
                <w:b w:val="false"/>
                <w:bCs w:val="false"/>
                <w:sz w:val="19"/>
                <w:szCs w:val="19"/>
              </w:rPr>
              <w:t xml:space="preserve">Responses API</w:t>
            </w:r>
          </w:p>
        </w:tc>
        <w:tc>
          <w:tcPr>
            <w:tcW w:type="dxa" w:w="6960"/>
            <w:tcMar>
              <w:top w:type="dxa" w:w="60"/>
              <w:left w:type="dxa" w:w="100"/>
              <w:bottom w:type="dxa" w:w="60"/>
              <w:right w:type="dxa" w:w="100"/>
            </w:tcMar>
          </w:tcPr>
          <w:p>
            <w:r>
              <w:rPr>
                <w:b w:val="false"/>
                <w:bCs w:val="false"/>
                <w:sz w:val="19"/>
                <w:szCs w:val="19"/>
              </w:rPr>
              <w:t xml:space="preserve">The GA data plane (agents / conversations / responses); classic threads and runs retire 2027-03-31</w:t>
            </w:r>
          </w:p>
        </w:tc>
      </w:tr>
      <w:tr>
        <w:tc>
          <w:tcPr>
            <w:tcW w:type="dxa" w:w="2400"/>
            <w:shd w:fill="E4F3F1" w:val="clear"/>
            <w:tcMar>
              <w:top w:type="dxa" w:w="60"/>
              <w:left w:type="dxa" w:w="100"/>
              <w:bottom w:type="dxa" w:w="60"/>
              <w:right w:type="dxa" w:w="100"/>
            </w:tcMar>
          </w:tcPr>
          <w:p>
            <w:r>
              <w:rPr>
                <w:b w:val="false"/>
                <w:bCs w:val="false"/>
                <w:sz w:val="19"/>
                <w:szCs w:val="19"/>
              </w:rPr>
              <w:t xml:space="preserve">Inference profile</w:t>
            </w:r>
          </w:p>
        </w:tc>
        <w:tc>
          <w:tcPr>
            <w:tcW w:type="dxa" w:w="6960"/>
            <w:shd w:fill="E4F3F1" w:val="clear"/>
            <w:tcMar>
              <w:top w:type="dxa" w:w="60"/>
              <w:left w:type="dxa" w:w="100"/>
              <w:bottom w:type="dxa" w:w="60"/>
              <w:right w:type="dxa" w:w="100"/>
            </w:tcMar>
          </w:tcPr>
          <w:p>
            <w:r>
              <w:rPr>
                <w:b w:val="false"/>
                <w:bCs w:val="false"/>
                <w:sz w:val="19"/>
                <w:szCs w:val="19"/>
              </w:rPr>
              <w:t xml:space="preserve">The request-time parameters an agent runs with: determinism, reasoning effort, output ceiling, retrieval width</w:t>
            </w:r>
          </w:p>
        </w:tc>
      </w:tr>
      <w:tr>
        <w:tc>
          <w:tcPr>
            <w:tcW w:type="dxa" w:w="2400"/>
            <w:tcMar>
              <w:top w:type="dxa" w:w="60"/>
              <w:left w:type="dxa" w:w="100"/>
              <w:bottom w:type="dxa" w:w="60"/>
              <w:right w:type="dxa" w:w="100"/>
            </w:tcMar>
          </w:tcPr>
          <w:p>
            <w:r>
              <w:rPr>
                <w:b w:val="false"/>
                <w:bCs w:val="false"/>
                <w:sz w:val="19"/>
                <w:szCs w:val="19"/>
              </w:rPr>
              <w:t xml:space="preserve">Verifier</w:t>
            </w:r>
          </w:p>
        </w:tc>
        <w:tc>
          <w:tcPr>
            <w:tcW w:type="dxa" w:w="6960"/>
            <w:tcMar>
              <w:top w:type="dxa" w:w="60"/>
              <w:left w:type="dxa" w:w="100"/>
              <w:bottom w:type="dxa" w:w="60"/>
              <w:right w:type="dxa" w:w="100"/>
            </w:tcMar>
          </w:tcPr>
          <w:p>
            <w:r>
              <w:rPr>
                <w:b w:val="false"/>
                <w:bCs w:val="false"/>
                <w:sz w:val="19"/>
                <w:szCs w:val="19"/>
              </w:rPr>
              <w:t xml:space="preserve">An agent that checks a draft against deterministic rules and returns PASS or FAIL; it never rewrites</w:t>
            </w:r>
          </w:p>
        </w:tc>
      </w:tr>
      <w:tr>
        <w:tc>
          <w:tcPr>
            <w:tcW w:type="dxa" w:w="2400"/>
            <w:shd w:fill="E4F3F1" w:val="clear"/>
            <w:tcMar>
              <w:top w:type="dxa" w:w="60"/>
              <w:left w:type="dxa" w:w="100"/>
              <w:bottom w:type="dxa" w:w="60"/>
              <w:right w:type="dxa" w:w="100"/>
            </w:tcMar>
          </w:tcPr>
          <w:p>
            <w:r>
              <w:rPr>
                <w:b w:val="false"/>
                <w:bCs w:val="false"/>
                <w:sz w:val="19"/>
                <w:szCs w:val="19"/>
              </w:rPr>
              <w:t xml:space="preserve">Delivery pipeline</w:t>
            </w:r>
          </w:p>
        </w:tc>
        <w:tc>
          <w:tcPr>
            <w:tcW w:type="dxa" w:w="6960"/>
            <w:shd w:fill="E4F3F1" w:val="clear"/>
            <w:tcMar>
              <w:top w:type="dxa" w:w="60"/>
              <w:left w:type="dxa" w:w="100"/>
              <w:bottom w:type="dxa" w:w="60"/>
              <w:right w:type="dxa" w:w="100"/>
            </w:tcMar>
          </w:tcPr>
          <w:p>
            <w:r>
              <w:rPr>
                <w:b w:val="false"/>
                <w:bCs w:val="false"/>
                <w:sz w:val="19"/>
                <w:szCs w:val="19"/>
              </w:rPr>
              <w:t xml:space="preserve">The Logic App that takes a request to a stored, labelled, approved deliverable</w:t>
            </w:r>
          </w:p>
        </w:tc>
      </w:tr>
      <w:tr>
        <w:tc>
          <w:tcPr>
            <w:tcW w:type="dxa" w:w="2400"/>
            <w:tcMar>
              <w:top w:type="dxa" w:w="60"/>
              <w:left w:type="dxa" w:w="100"/>
              <w:bottom w:type="dxa" w:w="60"/>
              <w:right w:type="dxa" w:w="100"/>
            </w:tcMar>
          </w:tcPr>
          <w:p>
            <w:r>
              <w:rPr>
                <w:b w:val="false"/>
                <w:bCs w:val="false"/>
                <w:sz w:val="19"/>
                <w:szCs w:val="19"/>
              </w:rPr>
              <w:t xml:space="preserve">Golden set</w:t>
            </w:r>
          </w:p>
        </w:tc>
        <w:tc>
          <w:tcPr>
            <w:tcW w:type="dxa" w:w="6960"/>
            <w:tcMar>
              <w:top w:type="dxa" w:w="60"/>
              <w:left w:type="dxa" w:w="100"/>
              <w:bottom w:type="dxa" w:w="60"/>
              <w:right w:type="dxa" w:w="100"/>
            </w:tcMar>
          </w:tcPr>
          <w:p>
            <w:r>
              <w:rPr>
                <w:b w:val="false"/>
                <w:bCs w:val="false"/>
                <w:sz w:val="19"/>
                <w:szCs w:val="19"/>
              </w:rPr>
              <w:t xml:space="preserve">Known-good deliverables used to prove a change did not alter output quality</w:t>
            </w:r>
          </w:p>
        </w:tc>
      </w:tr>
      <w:tr>
        <w:tc>
          <w:tcPr>
            <w:tcW w:type="dxa" w:w="2400"/>
            <w:shd w:fill="E4F3F1" w:val="clear"/>
            <w:tcMar>
              <w:top w:type="dxa" w:w="60"/>
              <w:left w:type="dxa" w:w="100"/>
              <w:bottom w:type="dxa" w:w="60"/>
              <w:right w:type="dxa" w:w="100"/>
            </w:tcMar>
          </w:tcPr>
          <w:p>
            <w:r>
              <w:rPr>
                <w:b w:val="false"/>
                <w:bCs w:val="false"/>
                <w:sz w:val="19"/>
                <w:szCs w:val="19"/>
              </w:rPr>
              <w:t xml:space="preserve">Delta re-analysis</w:t>
            </w:r>
          </w:p>
        </w:tc>
        <w:tc>
          <w:tcPr>
            <w:tcW w:type="dxa" w:w="6960"/>
            <w:shd w:fill="E4F3F1" w:val="clear"/>
            <w:tcMar>
              <w:top w:type="dxa" w:w="60"/>
              <w:left w:type="dxa" w:w="100"/>
              <w:bottom w:type="dxa" w:w="60"/>
              <w:right w:type="dxa" w:w="100"/>
            </w:tcMar>
          </w:tcPr>
          <w:p>
            <w:r>
              <w:rPr>
                <w:b w:val="false"/>
                <w:bCs w:val="false"/>
                <w:sz w:val="19"/>
                <w:szCs w:val="19"/>
              </w:rPr>
              <w:t xml:space="preserve">Reading only the evidence whose content changed since the last approved assessment</w:t>
            </w:r>
          </w:p>
        </w:tc>
      </w:tr>
      <w:tr>
        <w:tc>
          <w:tcPr>
            <w:tcW w:type="dxa" w:w="2400"/>
            <w:tcMar>
              <w:top w:type="dxa" w:w="60"/>
              <w:left w:type="dxa" w:w="100"/>
              <w:bottom w:type="dxa" w:w="60"/>
              <w:right w:type="dxa" w:w="100"/>
            </w:tcMar>
          </w:tcPr>
          <w:p>
            <w:r>
              <w:rPr>
                <w:b w:val="false"/>
                <w:bCs w:val="false"/>
                <w:sz w:val="19"/>
                <w:szCs w:val="19"/>
              </w:rPr>
              <w:t xml:space="preserve">TPSRCA</w:t>
            </w:r>
          </w:p>
        </w:tc>
        <w:tc>
          <w:tcPr>
            <w:tcW w:type="dxa" w:w="6960"/>
            <w:tcMar>
              <w:top w:type="dxa" w:w="60"/>
              <w:left w:type="dxa" w:w="100"/>
              <w:bottom w:type="dxa" w:w="60"/>
              <w:right w:type="dxa" w:w="100"/>
            </w:tcMar>
          </w:tcPr>
          <w:p>
            <w:r>
              <w:rPr>
                <w:b w:val="false"/>
                <w:bCs w:val="false"/>
                <w:sz w:val="19"/>
                <w:szCs w:val="19"/>
              </w:rPr>
              <w:t xml:space="preserve">The team's third-party security risk and controls assessment methodology</w:t>
            </w:r>
          </w:p>
        </w:tc>
      </w:tr>
    </w:tbl>
    <w:p>
      <w:pPr>
        <w:pStyle w:val="Heading1"/>
        <w:spacing w:after="160" w:before="360"/>
      </w:pPr>
      <w:r>
        <w:t xml:space="preserve">Appendix D — References</w:t>
      </w:r>
    </w:p>
    <w:p>
      <w:pPr>
        <w:pStyle w:val="ListParagraph"/>
        <w:numPr>
          <w:ilvl w:val="0"/>
          <w:numId w:val="2"/>
        </w:numPr>
        <w:spacing w:after="80"/>
      </w:pPr>
      <w:r>
        <w:t xml:space="preserve">convertion/REQUIREMENTS.md — requirements a–j and where each is satisfied</w:t>
      </w:r>
    </w:p>
    <w:p>
      <w:pPr>
        <w:pStyle w:val="ListParagraph"/>
        <w:numPr>
          <w:ilvl w:val="0"/>
          <w:numId w:val="2"/>
        </w:numPr>
        <w:spacing w:after="80"/>
      </w:pPr>
      <w:r>
        <w:t xml:space="preserve">convertion/ARCHITECTURE.md · README.md · MAPPING.md — design, conversion guide, per-skill mapping</w:t>
      </w:r>
    </w:p>
    <w:p>
      <w:pPr>
        <w:pStyle w:val="ListParagraph"/>
        <w:numPr>
          <w:ilvl w:val="0"/>
          <w:numId w:val="2"/>
        </w:numPr>
        <w:spacing w:after="80"/>
      </w:pPr>
      <w:r>
        <w:t xml:space="preserve">convertion/enterprise/ENTERPRISE_BLUEPRINT.md and series/00–10 — the target architecture and the command-level implementation series</w:t>
      </w:r>
    </w:p>
    <w:p>
      <w:pPr>
        <w:pStyle w:val="ListParagraph"/>
        <w:numPr>
          <w:ilvl w:val="0"/>
          <w:numId w:val="2"/>
        </w:numPr>
        <w:spacing w:after="80"/>
      </w:pPr>
      <w:r>
        <w:t xml:space="preserve">convertion/governance/HUMAN_APPROVAL.md · DATA_PROTECTION_GUARDRAILS.md · MODEL_ROUTING.md · INFERENCE_PROFILES.md · MEMORY_POLICY.md · CLAUDE_ON_FOUNDRY.md</w:t>
      </w:r>
    </w:p>
    <w:p>
      <w:pPr>
        <w:pStyle w:val="ListParagraph"/>
        <w:numPr>
          <w:ilvl w:val="0"/>
          <w:numId w:val="2"/>
        </w:numPr>
        <w:spacing w:after="80"/>
      </w:pPr>
      <w:r>
        <w:t xml:space="preserve">convertion/team/TEAM_MODEL.md · ACCESS_REGISTER.md · sharepoint-permissions.md — people, roles and grants</w:t>
      </w:r>
    </w:p>
    <w:p>
      <w:pPr>
        <w:pStyle w:val="ListParagraph"/>
        <w:numPr>
          <w:ilvl w:val="0"/>
          <w:numId w:val="2"/>
        </w:numPr>
        <w:spacing w:after="80"/>
      </w:pPr>
      <w:r>
        <w:t xml:space="preserve">convertion/operations/RUNBOOK.md · MONITORING.md · FINOPS.md · LIFECYCLE.md · BACKUP_DR.md · OPTIMIZATION_REVIEW.md · FOUNDRY_OPTIMIZATION_REGISTER.md</w:t>
      </w:r>
    </w:p>
    <w:p>
      <w:pPr>
        <w:pStyle w:val="ListParagraph"/>
        <w:numPr>
          <w:ilvl w:val="0"/>
          <w:numId w:val="2"/>
        </w:numPr>
        <w:spacing w:after="80"/>
      </w:pPr>
      <w:r>
        <w:t xml:space="preserve">convertion/workflows/README.md · sharepoint/README.md · functions/delivery/README.md — delivery mechanics</w:t>
      </w:r>
    </w:p>
    <w:p>
      <w:pPr>
        <w:pStyle w:val="ListParagraph"/>
        <w:numPr>
          <w:ilvl w:val="0"/>
          <w:numId w:val="2"/>
        </w:numPr>
        <w:spacing w:after="80"/>
      </w:pPr>
      <w:r>
        <w:t xml:space="preserve">convertion/integrations/README.md · registry.json — the connection layer and its read-only proof</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6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69"/>
        <w:sz w:val="16"/>
        <w:szCs w:val="16"/>
      </w:rPr>
      <w:t xml:space="preserve">InfoSec Assurance Agent Platform — Project Dossier ·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008D7F"/>
      <w:sz w:val="30"/>
      <w:szCs w:val="30"/>
    </w:rPr>
  </w:style>
  <w:style w:type="paragraph" w:styleId="Heading2">
    <w:name w:val="Heading 2"/>
    <w:basedOn w:val="Normal"/>
    <w:next w:val="Normal"/>
    <w:qFormat/>
    <w:pPr>
      <w:spacing w:after="120" w:before="260"/>
    </w:pPr>
    <w:rPr>
      <w:rFonts w:ascii="Calibri" w:cs="Calibri" w:eastAsia="Calibri" w:hAnsi="Calibri"/>
      <w:b/>
      <w:bCs/>
      <w:color w:val="0B3B3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ecdde397d6b37f22f1fdc546778a7b5feaa36d.png"/><Relationship Id="rId10" Type="http://schemas.openxmlformats.org/officeDocument/2006/relationships/image" Target="media/9b0ddcefe757753c55875d6ba120033791fcb6cc.png"/><Relationship Id="rId11" Type="http://schemas.openxmlformats.org/officeDocument/2006/relationships/image" Target="media/ccd02f71c4eacb24e0f957606d924f9b920fffd8.png"/><Relationship Id="rId12" Type="http://schemas.openxmlformats.org/officeDocument/2006/relationships/image" Target="media/765fc8bcf4d5ed4b91b7c22c7ac89e5ffd562c8b.png"/><Relationship Id="rId13" Type="http://schemas.openxmlformats.org/officeDocument/2006/relationships/image" Target="media/31f705cab653ad09a3bd271b83889c620871edf7.png"/><Relationship Id="rId14" Type="http://schemas.openxmlformats.org/officeDocument/2006/relationships/image" Target="media/01e74aca9ea77dd2beef0ed1e57c2e21bd8f388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2026-09-13T08:14:26.567Z</dcterms:created>
  <dcterms:modified xsi:type="dcterms:W3CDTF">2026-09-13T08:14:26.568Z</dcterms:modified>
</cp:coreProperties>
</file>

<file path=docProps/custom.xml><?xml version="1.0" encoding="utf-8"?>
<Properties xmlns="http://schemas.openxmlformats.org/officeDocument/2006/custom-properties" xmlns:vt="http://schemas.openxmlformats.org/officeDocument/2006/docPropsVTypes"/>
</file>