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b/>
          <w:bCs/>
          <w:color w:val="5B6B69"/>
          <w:sz w:val="30"/>
          <w:szCs w:val="30"/>
        </w:rPr>
        <w:t xml:space="preserve">PROJECT DOSSIER</w:t>
      </w:r>
    </w:p>
    <w:p>
      <w:pPr>
        <w:spacing w:before="200"/>
        <w:jc w:val="center"/>
      </w:pPr>
      <w:r>
        <w:rPr>
          <w:b/>
          <w:bCs/>
          <w:color w:val="008D7F"/>
          <w:sz w:val="56"/>
          <w:szCs w:val="56"/>
        </w:rPr>
        <w:t xml:space="preserve">InfoSec Assurance Agent Platform</w:t>
      </w:r>
    </w:p>
    <w:p>
      <w:pPr>
        <w:spacing w:before="120"/>
        <w:jc w:val="center"/>
      </w:pPr>
      <w:r>
        <w:rPr>
          <w:color w:val="0B3B36"/>
          <w:sz w:val="28"/>
          <w:szCs w:val="28"/>
        </w:rPr>
        <w:t xml:space="preserve">Migration of the Claude AI GRC/TPRM toolset to Azure AI Foundry</w:t>
      </w:r>
    </w:p>
    <w:p>
      <w:pPr>
        <w:spacing w:before="600"/>
        <w:jc w:val="center"/>
      </w:pPr>
      <w:r>
        <w:rPr>
          <w:color w:val="5B6B69"/>
          <w:sz w:val="22"/>
          <w:szCs w:val="22"/>
        </w:rPr>
        <w:t xml:space="preserve">Information Security Assurance — TPRM · ISMS · GRC · ICT GRC</w:t>
      </w:r>
    </w:p>
    <w:p>
      <w:pPr>
        <w:spacing w:before="1600"/>
        <w:jc w:val="center"/>
      </w:pPr>
      <w:r>
        <w:rPr>
          <w:color w:val="5B6B69"/>
          <w:sz w:val="20"/>
          <w:szCs w:val="20"/>
        </w:rPr>
        <w:t xml:space="preserve">Version 1.0  ·  11 September 2026  ·  Classification: Internal</w:t>
      </w:r>
    </w:p>
    <w:p>
      <w:r>
        <w:br w:type="page"/>
      </w:r>
    </w:p>
    <w:p>
      <w:pPr>
        <w:pStyle w:val="Heading1"/>
        <w:spacing w:after="160" w:before="3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08D7F" w:val="clear"/>
            <w:tcMar>
              <w:top w:type="dxa" w:w="60"/>
              <w:left w:type="dxa" w:w="100"/>
              <w:bottom w:type="dxa" w:w="60"/>
              <w:right w:type="dxa" w:w="100"/>
            </w:tcMar>
          </w:tcPr>
          <w:p>
            <w:r>
              <w:rPr>
                <w:b/>
                <w:bCs/>
                <w:color w:val="FFFFFF"/>
                <w:sz w:val="19"/>
                <w:szCs w:val="19"/>
              </w:rPr>
              <w:t xml:space="preserve">Item</w:t>
            </w:r>
          </w:p>
        </w:tc>
        <w:tc>
          <w:tcPr>
            <w:tcW w:type="dxa" w:w="6760"/>
            <w:shd w:fill="008D7F" w:val="clear"/>
            <w:tcMar>
              <w:top w:type="dxa" w:w="60"/>
              <w:left w:type="dxa" w:w="100"/>
              <w:bottom w:type="dxa" w:w="60"/>
              <w:right w:type="dxa" w:w="100"/>
            </w:tcMar>
          </w:tcPr>
          <w:p>
            <w:r>
              <w:rPr>
                <w:b/>
                <w:bCs/>
                <w:color w:val="FFFFFF"/>
                <w:sz w:val="19"/>
                <w:szCs w:val="19"/>
              </w:rPr>
              <w:t xml:space="preserve">Detail</w:t>
            </w:r>
          </w:p>
        </w:tc>
      </w:tr>
      <w:tr>
        <w:tc>
          <w:tcPr>
            <w:tcW w:type="dxa" w:w="2600"/>
            <w:tcMar>
              <w:top w:type="dxa" w:w="60"/>
              <w:left w:type="dxa" w:w="100"/>
              <w:bottom w:type="dxa" w:w="60"/>
              <w:right w:type="dxa" w:w="100"/>
            </w:tcMar>
          </w:tcPr>
          <w:p>
            <w:r>
              <w:rPr>
                <w:b w:val="false"/>
                <w:bCs w:val="false"/>
                <w:sz w:val="19"/>
                <w:szCs w:val="19"/>
              </w:rPr>
              <w:t xml:space="preserve">Title</w:t>
            </w:r>
          </w:p>
        </w:tc>
        <w:tc>
          <w:tcPr>
            <w:tcW w:type="dxa" w:w="6760"/>
            <w:tcMar>
              <w:top w:type="dxa" w:w="60"/>
              <w:left w:type="dxa" w:w="100"/>
              <w:bottom w:type="dxa" w:w="60"/>
              <w:right w:type="dxa" w:w="100"/>
            </w:tcMar>
          </w:tcPr>
          <w:p>
            <w:r>
              <w:rPr>
                <w:b w:val="false"/>
                <w:bCs w:val="false"/>
                <w:sz w:val="19"/>
                <w:szCs w:val="19"/>
              </w:rPr>
              <w:t xml:space="preserve">Project Dossier — InfoSec Assurance Agent Platform on Azure AI Foundry</w:t>
            </w:r>
          </w:p>
        </w:tc>
      </w:tr>
      <w:tr>
        <w:tc>
          <w:tcPr>
            <w:tcW w:type="dxa" w:w="2600"/>
            <w:shd w:fill="E4F3F1" w:val="clear"/>
            <w:tcMar>
              <w:top w:type="dxa" w:w="60"/>
              <w:left w:type="dxa" w:w="100"/>
              <w:bottom w:type="dxa" w:w="60"/>
              <w:right w:type="dxa" w:w="100"/>
            </w:tcMar>
          </w:tcPr>
          <w:p>
            <w:r>
              <w:rPr>
                <w:b w:val="false"/>
                <w:bCs w:val="false"/>
                <w:sz w:val="19"/>
                <w:szCs w:val="19"/>
              </w:rPr>
              <w:t xml:space="preserve">Version / Status</w:t>
            </w:r>
          </w:p>
        </w:tc>
        <w:tc>
          <w:tcPr>
            <w:tcW w:type="dxa" w:w="6760"/>
            <w:shd w:fill="E4F3F1" w:val="clear"/>
            <w:tcMar>
              <w:top w:type="dxa" w:w="60"/>
              <w:left w:type="dxa" w:w="100"/>
              <w:bottom w:type="dxa" w:w="60"/>
              <w:right w:type="dxa" w:w="100"/>
            </w:tcMar>
          </w:tcPr>
          <w:p>
            <w:r>
              <w:rPr>
                <w:b w:val="false"/>
                <w:bCs w:val="false"/>
                <w:sz w:val="19"/>
                <w:szCs w:val="19"/>
              </w:rPr>
              <w:t xml:space="preserve">1.0 — Draft for review</w:t>
            </w:r>
          </w:p>
        </w:tc>
      </w:tr>
      <w:tr>
        <w:tc>
          <w:tcPr>
            <w:tcW w:type="dxa" w:w="2600"/>
            <w:tcMar>
              <w:top w:type="dxa" w:w="60"/>
              <w:left w:type="dxa" w:w="100"/>
              <w:bottom w:type="dxa" w:w="60"/>
              <w:right w:type="dxa" w:w="100"/>
            </w:tcMar>
          </w:tcPr>
          <w:p>
            <w:r>
              <w:rPr>
                <w:b w:val="false"/>
                <w:bCs w:val="false"/>
                <w:sz w:val="19"/>
                <w:szCs w:val="19"/>
              </w:rPr>
              <w:t xml:space="preserve">Date</w:t>
            </w:r>
          </w:p>
        </w:tc>
        <w:tc>
          <w:tcPr>
            <w:tcW w:type="dxa" w:w="6760"/>
            <w:tcMar>
              <w:top w:type="dxa" w:w="60"/>
              <w:left w:type="dxa" w:w="100"/>
              <w:bottom w:type="dxa" w:w="60"/>
              <w:right w:type="dxa" w:w="100"/>
            </w:tcMar>
          </w:tcPr>
          <w:p>
            <w:r>
              <w:rPr>
                <w:b w:val="false"/>
                <w:bCs w:val="false"/>
                <w:sz w:val="19"/>
                <w:szCs w:val="19"/>
              </w:rPr>
              <w:t xml:space="preserve">11 September 2026</w:t>
            </w:r>
          </w:p>
        </w:tc>
      </w:tr>
      <w:tr>
        <w:tc>
          <w:tcPr>
            <w:tcW w:type="dxa" w:w="2600"/>
            <w:shd w:fill="E4F3F1" w:val="clear"/>
            <w:tcMar>
              <w:top w:type="dxa" w:w="60"/>
              <w:left w:type="dxa" w:w="100"/>
              <w:bottom w:type="dxa" w:w="60"/>
              <w:right w:type="dxa" w:w="100"/>
            </w:tcMar>
          </w:tcPr>
          <w:p>
            <w:r>
              <w:rPr>
                <w:b w:val="false"/>
                <w:bCs w:val="false"/>
                <w:sz w:val="19"/>
                <w:szCs w:val="19"/>
              </w:rPr>
              <w:t xml:space="preserve">Owner</w:t>
            </w:r>
          </w:p>
        </w:tc>
        <w:tc>
          <w:tcPr>
            <w:tcW w:type="dxa" w:w="6760"/>
            <w:shd w:fill="E4F3F1" w:val="clear"/>
            <w:tcMar>
              <w:top w:type="dxa" w:w="60"/>
              <w:left w:type="dxa" w:w="100"/>
              <w:bottom w:type="dxa" w:w="60"/>
              <w:right w:type="dxa" w:w="100"/>
            </w:tcMar>
          </w:tcPr>
          <w:p>
            <w:r>
              <w:rPr>
                <w:b w:val="false"/>
                <w:bCs w:val="false"/>
                <w:sz w:val="19"/>
                <w:szCs w:val="19"/>
              </w:rPr>
              <w:t xml:space="preserve">InfoSec Assurance &amp; Third-Party Risk (F. Gomes)</w:t>
            </w:r>
          </w:p>
        </w:tc>
      </w:tr>
      <w:tr>
        <w:tc>
          <w:tcPr>
            <w:tcW w:type="dxa" w:w="2600"/>
            <w:tcMar>
              <w:top w:type="dxa" w:w="60"/>
              <w:left w:type="dxa" w:w="100"/>
              <w:bottom w:type="dxa" w:w="60"/>
              <w:right w:type="dxa" w:w="100"/>
            </w:tcMar>
          </w:tcPr>
          <w:p>
            <w:r>
              <w:rPr>
                <w:b w:val="false"/>
                <w:bCs w:val="false"/>
                <w:sz w:val="19"/>
                <w:szCs w:val="19"/>
              </w:rPr>
              <w:t xml:space="preserve">Repository</w:t>
            </w:r>
          </w:p>
        </w:tc>
        <w:tc>
          <w:tcPr>
            <w:tcW w:type="dxa" w:w="6760"/>
            <w:tcMar>
              <w:top w:type="dxa" w:w="60"/>
              <w:left w:type="dxa" w:w="100"/>
              <w:bottom w:type="dxa" w:w="60"/>
              <w:right w:type="dxa" w:w="100"/>
            </w:tcMar>
          </w:tcPr>
          <w:p>
            <w:r>
              <w:rPr>
                <w:b w:val="false"/>
                <w:bCs w:val="false"/>
                <w:sz w:val="19"/>
                <w:szCs w:val="19"/>
              </w:rPr>
              <w:t xml:space="preserve">github.com/fgomes77/infosec-assurance-azure-foundry</w:t>
            </w:r>
          </w:p>
        </w:tc>
      </w:tr>
      <w:tr>
        <w:tc>
          <w:tcPr>
            <w:tcW w:type="dxa" w:w="2600"/>
            <w:shd w:fill="E4F3F1" w:val="clear"/>
            <w:tcMar>
              <w:top w:type="dxa" w:w="60"/>
              <w:left w:type="dxa" w:w="100"/>
              <w:bottom w:type="dxa" w:w="60"/>
              <w:right w:type="dxa" w:w="100"/>
            </w:tcMar>
          </w:tcPr>
          <w:p>
            <w:r>
              <w:rPr>
                <w:b w:val="false"/>
                <w:bCs w:val="false"/>
                <w:sz w:val="19"/>
                <w:szCs w:val="19"/>
              </w:rPr>
              <w:t xml:space="preserve">Classification</w:t>
            </w:r>
          </w:p>
        </w:tc>
        <w:tc>
          <w:tcPr>
            <w:tcW w:type="dxa" w:w="6760"/>
            <w:shd w:fill="E4F3F1" w:val="clear"/>
            <w:tcMar>
              <w:top w:type="dxa" w:w="60"/>
              <w:left w:type="dxa" w:w="100"/>
              <w:bottom w:type="dxa" w:w="60"/>
              <w:right w:type="dxa" w:w="100"/>
            </w:tcMar>
          </w:tcPr>
          <w:p>
            <w:r>
              <w:rPr>
                <w:b w:val="false"/>
                <w:bCs w:val="false"/>
                <w:sz w:val="19"/>
                <w:szCs w:val="19"/>
              </w:rPr>
              <w:t xml:space="preserve">Internal — contains internal system names; no credentials or personal data</w:t>
            </w:r>
          </w:p>
        </w:tc>
      </w:tr>
      <w:tr>
        <w:tc>
          <w:tcPr>
            <w:tcW w:type="dxa" w:w="2600"/>
            <w:tcMar>
              <w:top w:type="dxa" w:w="60"/>
              <w:left w:type="dxa" w:w="100"/>
              <w:bottom w:type="dxa" w:w="60"/>
              <w:right w:type="dxa" w:w="100"/>
            </w:tcMar>
          </w:tcPr>
          <w:p>
            <w:r>
              <w:rPr>
                <w:b w:val="false"/>
                <w:bCs w:val="false"/>
                <w:sz w:val="19"/>
                <w:szCs w:val="19"/>
              </w:rPr>
              <w:t xml:space="preserve">Related artefacts</w:t>
            </w:r>
          </w:p>
        </w:tc>
        <w:tc>
          <w:tcPr>
            <w:tcW w:type="dxa" w:w="6760"/>
            <w:tcMar>
              <w:top w:type="dxa" w:w="60"/>
              <w:left w:type="dxa" w:w="100"/>
              <w:bottom w:type="dxa" w:w="60"/>
              <w:right w:type="dxa" w:w="100"/>
            </w:tcMar>
          </w:tcPr>
          <w:p>
            <w:r>
              <w:rPr>
                <w:b w:val="false"/>
                <w:bCs w:val="false"/>
                <w:sz w:val="19"/>
                <w:szCs w:val="19"/>
              </w:rPr>
              <w:t xml:space="preserve">convertion/README.md · ARCHITECTURE.md · MAPPING.md · governance/HUMAN_APPROVAL.md</w:t>
            </w:r>
          </w:p>
        </w:tc>
      </w:tr>
    </w:tbl>
    <w:p>
      <w:pPr>
        <w:spacing w:after="200"/>
      </w:pPr>
    </w:p>
    <w:p>
      <w:pPr>
        <w:pStyle w:val="Heading2"/>
        <w:spacing w:after="120" w:before="2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40"/>
        <w:jc w:val="both"/>
      </w:pPr>
      <w:r>
        <w:t xml:space="preserve">The InfoSec Assurance team operates a mature toolset of 35 AI skills on claude.ai covering third-party risk management (TPRM), the information security management system (ISMS), and GRC / ICT GRC advisory: OSINT supplier assessments (DeepSearch), OneTrust-driven DPIA and CISO reporting, Form B questionnaire support, and regulatory advisors for DORA, NIS2, the EU AI Act, ISO/IEC 27001 and ISO/IEC 42001. This project replicates that capability, with equal or better assurance, on Microsoft Azure AI Foundry — the platform aligned with the wider Euronext technology estate (Entra ID, Microsoft Graph, Defender, SharePoint, Jira, OneTrust).</w:t>
      </w:r>
    </w:p>
    <w:p>
      <w:pPr>
        <w:spacing w:after="140"/>
        <w:jc w:val="both"/>
      </w:pPr>
      <w:r>
        <w:t xml:space="preserve">The delivered solution converts every skill into a Foundry agent with its knowledge, templates and scripts intact (byte-verified against the claude.ai source), adds a reasoning orchestrator and a memory-backed assurance advisor, wires the surrounding toolchain through least-privilege integrations, and enforces a three-layer human-approval control so no agent submits anything of record without a person's explicit sign-off. A one-command, verification-gated pipeline deploys and re-synchronises the whole environment.</w:t>
      </w:r>
    </w:p>
    <w:p>
      <w:pPr>
        <w:pStyle w:val="Heading1"/>
        <w:spacing w:after="160" w:before="360"/>
      </w:pPr>
      <w:r>
        <w:t xml:space="preserve">2. Background and Context</w:t>
      </w:r>
    </w:p>
    <w:p>
      <w:pPr>
        <w:spacing w:after="140"/>
        <w:jc w:val="both"/>
      </w:pPr>
      <w:r>
        <w:t xml:space="preserve">The current capability lives in the claude.ai account as skills — packaged instructions, reference knowledge (control catalogues, framework mappings, methodologies) and generation scripts. A complete export of that account is preserved in this repository under claude-account-export/ and forms the single source of truth for the conversion. The business drivers for an Azure deployment are: platform alignment with the corporate Microsoft estate and its identity model; direct, governed integration with the systems of record (Jira, OneTrust, IAF, Defender, SharePoint); enterprise observability and audit; and organisational requirements on data residency and access control.</w:t>
      </w:r>
    </w:p>
    <w:p>
      <w:pPr>
        <w:spacing w:after="140"/>
        <w:jc w:val="both"/>
      </w:pPr>
      <w:r>
        <w:t xml:space="preserve">The conversion is faithful by construction: the pipeline reads the export directly and a verification step proves, file by file, that what runs on Azure is what was authored on claude.ai.</w:t>
      </w:r>
    </w:p>
    <w:p>
      <w:pPr>
        <w:pStyle w:val="Heading1"/>
        <w:spacing w:after="160" w:before="360"/>
      </w:pPr>
      <w:r>
        <w:t xml:space="preserve">3. Objectives</w:t>
      </w:r>
    </w:p>
    <w:p>
      <w:pPr>
        <w:pStyle w:val="ListParagraph"/>
        <w:numPr>
          <w:ilvl w:val="0"/>
          <w:numId w:val="2"/>
        </w:numPr>
        <w:spacing w:after="80"/>
      </w:pPr>
      <w:r>
        <w:rPr>
          <w:b/>
          <w:bCs/>
        </w:rPr>
        <w:t xml:space="preserve">O1 — Functional parity: </w:t>
      </w:r>
      <w:r>
        <w:t xml:space="preserve">Every claude.ai skill is available as an Azure AI Foundry agent producing the same deliverables from the same inputs (reports, dashboards, slides, questionnaire responses, advisory answers).</w:t>
      </w:r>
    </w:p>
    <w:p>
      <w:pPr>
        <w:pStyle w:val="ListParagraph"/>
        <w:numPr>
          <w:ilvl w:val="0"/>
          <w:numId w:val="2"/>
        </w:numPr>
        <w:spacing w:after="80"/>
      </w:pPr>
      <w:r>
        <w:rPr>
          <w:b/>
          <w:bCs/>
        </w:rPr>
        <w:t xml:space="preserve">O2 — Fidelity: </w:t>
      </w:r>
      <w:r>
        <w:t xml:space="preserve">Agent knowledge, templates, rules and requirements are byte-identical to the claude.ai export, provably and repeatably (automated verification, not assertion).</w:t>
      </w:r>
    </w:p>
    <w:p>
      <w:pPr>
        <w:pStyle w:val="ListParagraph"/>
        <w:numPr>
          <w:ilvl w:val="0"/>
          <w:numId w:val="2"/>
        </w:numPr>
        <w:spacing w:after="80"/>
      </w:pPr>
      <w:r>
        <w:rPr>
          <w:b/>
          <w:bCs/>
        </w:rPr>
        <w:t xml:space="preserve">O3 — Integration: </w:t>
      </w:r>
      <w:r>
        <w:t xml:space="preserve">Agents work inside the Euronext toolchain — Jira Cloud, Jira Assets CMDB, OneTrust, SecurityScorecard, Microsoft Defender, SharePoint, the internal IAF API and ENX gateway — with web search and Microsoft 365 Copilot access for team members.</w:t>
      </w:r>
    </w:p>
    <w:p>
      <w:pPr>
        <w:pStyle w:val="ListParagraph"/>
        <w:numPr>
          <w:ilvl w:val="0"/>
          <w:numId w:val="2"/>
        </w:numPr>
        <w:spacing w:after="80"/>
      </w:pPr>
      <w:r>
        <w:rPr>
          <w:b/>
          <w:bCs/>
        </w:rPr>
        <w:t xml:space="preserve">O4 — Human control: </w:t>
      </w:r>
      <w:r>
        <w:t xml:space="preserve">No agent submits anything of record without explicit human review and approval, enforced technically, behaviourally and procedurally.</w:t>
      </w:r>
    </w:p>
    <w:p>
      <w:pPr>
        <w:pStyle w:val="ListParagraph"/>
        <w:numPr>
          <w:ilvl w:val="0"/>
          <w:numId w:val="2"/>
        </w:numPr>
        <w:spacing w:after="80"/>
      </w:pPr>
      <w:r>
        <w:rPr>
          <w:b/>
          <w:bCs/>
        </w:rPr>
        <w:t xml:space="preserve">O5 — Assurance quality: </w:t>
      </w:r>
      <w:r>
        <w:t xml:space="preserve">High-stakes outputs pass reflexive self-checks and an independent rules-based verifier before a human ever sees the release decision.</w:t>
      </w:r>
    </w:p>
    <w:p>
      <w:pPr>
        <w:pStyle w:val="ListParagraph"/>
        <w:numPr>
          <w:ilvl w:val="0"/>
          <w:numId w:val="2"/>
        </w:numPr>
        <w:spacing w:after="80"/>
      </w:pPr>
      <w:r>
        <w:rPr>
          <w:b/>
          <w:bCs/>
        </w:rPr>
        <w:t xml:space="preserve">O6 — Operability: </w:t>
      </w:r>
      <w:r>
        <w:t xml:space="preserve">One-command gated deployment; re-synchronisation from a fresh claude.ai export is the same command; full observability of runs, cost and approvals.</w:t>
      </w:r>
    </w:p>
    <w:p>
      <w:pPr>
        <w:pStyle w:val="Heading1"/>
        <w:spacing w:after="160" w:before="360"/>
      </w:pPr>
      <w:r>
        <w:t xml:space="preserve">4. Scope</w:t>
      </w:r>
    </w:p>
    <w:p>
      <w:pPr>
        <w:pStyle w:val="Heading2"/>
        <w:spacing w:after="120" w:before="260"/>
      </w:pPr>
      <w:r>
        <w:t xml:space="preserve">4.1 In scope</w:t>
      </w:r>
    </w:p>
    <w:p>
      <w:pPr>
        <w:pStyle w:val="ListParagraph"/>
        <w:numPr>
          <w:ilvl w:val="0"/>
          <w:numId w:val="2"/>
        </w:numPr>
        <w:spacing w:after="80"/>
      </w:pPr>
      <w:r>
        <w:t xml:space="preserve">Conversion of the 22 assurance-relevant skills (18 custom GRC/TPRM + 4 document skills); the 13 Anthropic example skills convert on demand via a flag.</w:t>
      </w:r>
    </w:p>
    <w:p>
      <w:pPr>
        <w:pStyle w:val="ListParagraph"/>
        <w:numPr>
          <w:ilvl w:val="0"/>
          <w:numId w:val="2"/>
        </w:numPr>
        <w:spacing w:after="80"/>
      </w:pPr>
      <w:r>
        <w:t xml:space="preserve">Orchestration layer (orchestrator, advisor with durable memory, output verifier), integrations, workflows, MCP access, Copilot surfacing, infrastructure as code, and the governance controls.</w:t>
      </w:r>
    </w:p>
    <w:p>
      <w:pPr>
        <w:pStyle w:val="Heading2"/>
        <w:spacing w:after="120" w:before="260"/>
      </w:pPr>
      <w:r>
        <w:t xml:space="preserve">4.2 Out of scope</w:t>
      </w:r>
    </w:p>
    <w:p>
      <w:pPr>
        <w:pStyle w:val="ListParagraph"/>
        <w:numPr>
          <w:ilvl w:val="0"/>
          <w:numId w:val="2"/>
        </w:numPr>
        <w:spacing w:after="80"/>
      </w:pPr>
      <w:r>
        <w:t xml:space="preserve">Claude model hosting on Azure (not offered in the Azure catalogue — see §11.4); local-hardware transcription (replaced by AI Foundry Speech); the skill excluded from the export for data-protection reasons.</w:t>
      </w:r>
    </w:p>
    <w:p>
      <w:pPr>
        <w:pStyle w:val="Heading1"/>
        <w:spacing w:after="160" w:before="360"/>
      </w:pPr>
      <w:r>
        <w:t xml:space="preserve">5. Requirements</w:t>
      </w:r>
    </w:p>
    <w:p>
      <w:pPr>
        <w:pStyle w:val="Heading2"/>
        <w:spacing w:after="120" w:before="260"/>
      </w:pPr>
      <w:r>
        <w:t xml:space="preserve">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3400"/>
      </w:tblGrid>
      <w:tr>
        <w:trPr>
          <w:tblHeader/>
        </w:trPr>
        <w:tc>
          <w:tcPr>
            <w:tcW w:type="dxa" w:w="900"/>
            <w:shd w:fill="008D7F" w:val="clear"/>
            <w:tcMar>
              <w:top w:type="dxa" w:w="60"/>
              <w:left w:type="dxa" w:w="100"/>
              <w:bottom w:type="dxa" w:w="60"/>
              <w:right w:type="dxa" w:w="100"/>
            </w:tcMar>
          </w:tcPr>
          <w:p>
            <w:r>
              <w:rPr>
                <w:b/>
                <w:bCs/>
                <w:color w:val="FFFFFF"/>
                <w:sz w:val="19"/>
                <w:szCs w:val="19"/>
              </w:rPr>
              <w:t xml:space="preserve">ID</w:t>
            </w:r>
          </w:p>
        </w:tc>
        <w:tc>
          <w:tcPr>
            <w:tcW w:type="dxa" w:w="5060"/>
            <w:shd w:fill="008D7F" w:val="clear"/>
            <w:tcMar>
              <w:top w:type="dxa" w:w="60"/>
              <w:left w:type="dxa" w:w="100"/>
              <w:bottom w:type="dxa" w:w="60"/>
              <w:right w:type="dxa" w:w="100"/>
            </w:tcMar>
          </w:tcPr>
          <w:p>
            <w:r>
              <w:rPr>
                <w:b/>
                <w:bCs/>
                <w:color w:val="FFFFFF"/>
                <w:sz w:val="19"/>
                <w:szCs w:val="19"/>
              </w:rPr>
              <w:t xml:space="preserve">Requirement</w:t>
            </w:r>
          </w:p>
        </w:tc>
        <w:tc>
          <w:tcPr>
            <w:tcW w:type="dxa" w:w="3400"/>
            <w:shd w:fill="008D7F" w:val="clear"/>
            <w:tcMar>
              <w:top w:type="dxa" w:w="60"/>
              <w:left w:type="dxa" w:w="100"/>
              <w:bottom w:type="dxa" w:w="60"/>
              <w:right w:type="dxa" w:w="100"/>
            </w:tcMar>
          </w:tcPr>
          <w:p>
            <w:r>
              <w:rPr>
                <w:b/>
                <w:bCs/>
                <w:color w:val="FFFFFF"/>
                <w:sz w:val="19"/>
                <w:szCs w:val="19"/>
              </w:rPr>
              <w:t xml:space="preserve">Where satisfied</w:t>
            </w:r>
          </w:p>
        </w:tc>
      </w:tr>
      <w:tr>
        <w:tc>
          <w:tcPr>
            <w:tcW w:type="dxa" w:w="900"/>
            <w:tcMar>
              <w:top w:type="dxa" w:w="60"/>
              <w:left w:type="dxa" w:w="100"/>
              <w:bottom w:type="dxa" w:w="60"/>
              <w:right w:type="dxa" w:w="100"/>
            </w:tcMar>
          </w:tcPr>
          <w:p>
            <w:r>
              <w:rPr>
                <w:b w:val="false"/>
                <w:bCs w:val="false"/>
                <w:sz w:val="19"/>
                <w:szCs w:val="19"/>
              </w:rPr>
              <w:t xml:space="preserve">FR-01</w:t>
            </w:r>
          </w:p>
        </w:tc>
        <w:tc>
          <w:tcPr>
            <w:tcW w:type="dxa" w:w="5060"/>
            <w:tcMar>
              <w:top w:type="dxa" w:w="60"/>
              <w:left w:type="dxa" w:w="100"/>
              <w:bottom w:type="dxa" w:w="60"/>
              <w:right w:type="dxa" w:w="100"/>
            </w:tcMar>
          </w:tcPr>
          <w:p>
            <w:r>
              <w:rPr>
                <w:b w:val="false"/>
                <w:bCs w:val="false"/>
                <w:sz w:val="19"/>
                <w:szCs w:val="19"/>
              </w:rPr>
              <w:t xml:space="preserve">Convert each exported skill into an agent: SKILL.md → instructions; references → RAG vector store; scripts/assets → code interpreter</w:t>
            </w:r>
          </w:p>
        </w:tc>
        <w:tc>
          <w:tcPr>
            <w:tcW w:type="dxa" w:w="3400"/>
            <w:tcMar>
              <w:top w:type="dxa" w:w="60"/>
              <w:left w:type="dxa" w:w="100"/>
              <w:bottom w:type="dxa" w:w="60"/>
              <w:right w:type="dxa" w:w="100"/>
            </w:tcMar>
          </w:tcPr>
          <w:p>
            <w:r>
              <w:rPr>
                <w:b w:val="false"/>
                <w:bCs w:val="false"/>
                <w:sz w:val="19"/>
                <w:szCs w:val="19"/>
              </w:rPr>
              <w:t xml:space="preserve">convertion/scripts/convert_skills.py</w:t>
            </w:r>
          </w:p>
        </w:tc>
      </w:tr>
      <w:tr>
        <w:tc>
          <w:tcPr>
            <w:tcW w:type="dxa" w:w="900"/>
            <w:shd w:fill="E4F3F1" w:val="clear"/>
            <w:tcMar>
              <w:top w:type="dxa" w:w="60"/>
              <w:left w:type="dxa" w:w="100"/>
              <w:bottom w:type="dxa" w:w="60"/>
              <w:right w:type="dxa" w:w="100"/>
            </w:tcMar>
          </w:tcPr>
          <w:p>
            <w:r>
              <w:rPr>
                <w:b w:val="false"/>
                <w:bCs w:val="false"/>
                <w:sz w:val="19"/>
                <w:szCs w:val="19"/>
              </w:rPr>
              <w:t xml:space="preserve">FR-02</w:t>
            </w:r>
          </w:p>
        </w:tc>
        <w:tc>
          <w:tcPr>
            <w:tcW w:type="dxa" w:w="5060"/>
            <w:shd w:fill="E4F3F1" w:val="clear"/>
            <w:tcMar>
              <w:top w:type="dxa" w:w="60"/>
              <w:left w:type="dxa" w:w="100"/>
              <w:bottom w:type="dxa" w:w="60"/>
              <w:right w:type="dxa" w:w="100"/>
            </w:tcMar>
          </w:tcPr>
          <w:p>
            <w:r>
              <w:rPr>
                <w:b w:val="false"/>
                <w:bCs w:val="false"/>
                <w:sz w:val="19"/>
                <w:szCs w:val="19"/>
              </w:rPr>
              <w:t xml:space="preserve">Single entry point that routes or decomposes any assurance request across specialists</w:t>
            </w:r>
          </w:p>
        </w:tc>
        <w:tc>
          <w:tcPr>
            <w:tcW w:type="dxa" w:w="3400"/>
            <w:shd w:fill="E4F3F1" w:val="clear"/>
            <w:tcMar>
              <w:top w:type="dxa" w:w="60"/>
              <w:left w:type="dxa" w:w="100"/>
              <w:bottom w:type="dxa" w:w="60"/>
              <w:right w:type="dxa" w:w="100"/>
            </w:tcMar>
          </w:tcPr>
          <w:p>
            <w:r>
              <w:rPr>
                <w:b w:val="false"/>
                <w:bCs w:val="false"/>
                <w:sz w:val="19"/>
                <w:szCs w:val="19"/>
              </w:rPr>
              <w:t xml:space="preserve">infosec-assurance-orchestrator (connected agents)</w:t>
            </w:r>
          </w:p>
        </w:tc>
      </w:tr>
      <w:tr>
        <w:tc>
          <w:tcPr>
            <w:tcW w:type="dxa" w:w="900"/>
            <w:tcMar>
              <w:top w:type="dxa" w:w="60"/>
              <w:left w:type="dxa" w:w="100"/>
              <w:bottom w:type="dxa" w:w="60"/>
              <w:right w:type="dxa" w:w="100"/>
            </w:tcMar>
          </w:tcPr>
          <w:p>
            <w:r>
              <w:rPr>
                <w:b w:val="false"/>
                <w:bCs w:val="false"/>
                <w:sz w:val="19"/>
                <w:szCs w:val="19"/>
              </w:rPr>
              <w:t xml:space="preserve">FR-03</w:t>
            </w:r>
          </w:p>
        </w:tc>
        <w:tc>
          <w:tcPr>
            <w:tcW w:type="dxa" w:w="5060"/>
            <w:tcMar>
              <w:top w:type="dxa" w:w="60"/>
              <w:left w:type="dxa" w:w="100"/>
              <w:bottom w:type="dxa" w:w="60"/>
              <w:right w:type="dxa" w:w="100"/>
            </w:tcMar>
          </w:tcPr>
          <w:p>
            <w:r>
              <w:rPr>
                <w:b w:val="false"/>
                <w:bCs w:val="false"/>
                <w:sz w:val="19"/>
                <w:szCs w:val="19"/>
              </w:rPr>
              <w:t xml:space="preserve">Reasoning generalist covering all persona domains, grounded in the combined knowledge base, with durable team memory</w:t>
            </w:r>
          </w:p>
        </w:tc>
        <w:tc>
          <w:tcPr>
            <w:tcW w:type="dxa" w:w="3400"/>
            <w:tcMar>
              <w:top w:type="dxa" w:w="60"/>
              <w:left w:type="dxa" w:w="100"/>
              <w:bottom w:type="dxa" w:w="60"/>
              <w:right w:type="dxa" w:w="100"/>
            </w:tcMar>
          </w:tcPr>
          <w:p>
            <w:r>
              <w:rPr>
                <w:b w:val="false"/>
                <w:bCs w:val="false"/>
                <w:sz w:val="19"/>
                <w:szCs w:val="19"/>
              </w:rPr>
              <w:t xml:space="preserve">infosec-assurance-advisor + vs-assurance-memory</w:t>
            </w:r>
          </w:p>
        </w:tc>
      </w:tr>
      <w:tr>
        <w:tc>
          <w:tcPr>
            <w:tcW w:type="dxa" w:w="900"/>
            <w:shd w:fill="E4F3F1" w:val="clear"/>
            <w:tcMar>
              <w:top w:type="dxa" w:w="60"/>
              <w:left w:type="dxa" w:w="100"/>
              <w:bottom w:type="dxa" w:w="60"/>
              <w:right w:type="dxa" w:w="100"/>
            </w:tcMar>
          </w:tcPr>
          <w:p>
            <w:r>
              <w:rPr>
                <w:b w:val="false"/>
                <w:bCs w:val="false"/>
                <w:sz w:val="19"/>
                <w:szCs w:val="19"/>
              </w:rPr>
              <w:t xml:space="preserve">FR-04</w:t>
            </w:r>
          </w:p>
        </w:tc>
        <w:tc>
          <w:tcPr>
            <w:tcW w:type="dxa" w:w="5060"/>
            <w:shd w:fill="E4F3F1" w:val="clear"/>
            <w:tcMar>
              <w:top w:type="dxa" w:w="60"/>
              <w:left w:type="dxa" w:w="100"/>
              <w:bottom w:type="dxa" w:w="60"/>
              <w:right w:type="dxa" w:w="100"/>
            </w:tcMar>
          </w:tcPr>
          <w:p>
            <w:r>
              <w:rPr>
                <w:b w:val="false"/>
                <w:bCs w:val="false"/>
                <w:sz w:val="19"/>
                <w:szCs w:val="19"/>
              </w:rPr>
              <w:t xml:space="preserve">Integrations: Jira Cloud, Jira Assets CMDB, OneTrust, SecurityScorecard, Defender (Graph), SharePoint (Graph), IAF API, ENX gateway MCP, Bing web search</w:t>
            </w:r>
          </w:p>
        </w:tc>
        <w:tc>
          <w:tcPr>
            <w:tcW w:type="dxa" w:w="3400"/>
            <w:shd w:fill="E4F3F1" w:val="clear"/>
            <w:tcMar>
              <w:top w:type="dxa" w:w="60"/>
              <w:left w:type="dxa" w:w="100"/>
              <w:bottom w:type="dxa" w:w="60"/>
              <w:right w:type="dxa" w:w="100"/>
            </w:tcMar>
          </w:tcPr>
          <w:p>
            <w:r>
              <w:rPr>
                <w:b w:val="false"/>
                <w:bCs w:val="false"/>
                <w:sz w:val="19"/>
                <w:szCs w:val="19"/>
              </w:rPr>
              <w:t xml:space="preserve">integrations/ registry + attach_integrations.py</w:t>
            </w:r>
          </w:p>
        </w:tc>
      </w:tr>
      <w:tr>
        <w:tc>
          <w:tcPr>
            <w:tcW w:type="dxa" w:w="900"/>
            <w:tcMar>
              <w:top w:type="dxa" w:w="60"/>
              <w:left w:type="dxa" w:w="100"/>
              <w:bottom w:type="dxa" w:w="60"/>
              <w:right w:type="dxa" w:w="100"/>
            </w:tcMar>
          </w:tcPr>
          <w:p>
            <w:r>
              <w:rPr>
                <w:b w:val="false"/>
                <w:bCs w:val="false"/>
                <w:sz w:val="19"/>
                <w:szCs w:val="19"/>
              </w:rPr>
              <w:t xml:space="preserve">FR-05</w:t>
            </w:r>
          </w:p>
        </w:tc>
        <w:tc>
          <w:tcPr>
            <w:tcW w:type="dxa" w:w="5060"/>
            <w:tcMar>
              <w:top w:type="dxa" w:w="60"/>
              <w:left w:type="dxa" w:w="100"/>
              <w:bottom w:type="dxa" w:w="60"/>
              <w:right w:type="dxa" w:w="100"/>
            </w:tcMar>
          </w:tcPr>
          <w:p>
            <w:r>
              <w:rPr>
                <w:b w:val="false"/>
                <w:bCs w:val="false"/>
                <w:sz w:val="19"/>
                <w:szCs w:val="19"/>
              </w:rPr>
              <w:t xml:space="preserve">Scheduled/event workflows replacing claude.ai Routines (OneTrust intake, Defender briefs, weekly DeepSearch, Jira–IAF sync)</w:t>
            </w:r>
          </w:p>
        </w:tc>
        <w:tc>
          <w:tcPr>
            <w:tcW w:type="dxa" w:w="3400"/>
            <w:tcMar>
              <w:top w:type="dxa" w:w="60"/>
              <w:left w:type="dxa" w:w="100"/>
              <w:bottom w:type="dxa" w:w="60"/>
              <w:right w:type="dxa" w:w="100"/>
            </w:tcMar>
          </w:tcPr>
          <w:p>
            <w:r>
              <w:rPr>
                <w:b w:val="false"/>
                <w:bCs w:val="false"/>
                <w:sz w:val="19"/>
                <w:szCs w:val="19"/>
              </w:rPr>
              <w:t xml:space="preserve">workflows/ (Logic Apps definitions)</w:t>
            </w:r>
          </w:p>
        </w:tc>
      </w:tr>
      <w:tr>
        <w:tc>
          <w:tcPr>
            <w:tcW w:type="dxa" w:w="900"/>
            <w:shd w:fill="E4F3F1" w:val="clear"/>
            <w:tcMar>
              <w:top w:type="dxa" w:w="60"/>
              <w:left w:type="dxa" w:w="100"/>
              <w:bottom w:type="dxa" w:w="60"/>
              <w:right w:type="dxa" w:w="100"/>
            </w:tcMar>
          </w:tcPr>
          <w:p>
            <w:r>
              <w:rPr>
                <w:b w:val="false"/>
                <w:bCs w:val="false"/>
                <w:sz w:val="19"/>
                <w:szCs w:val="19"/>
              </w:rPr>
              <w:t xml:space="preserve">FR-06</w:t>
            </w:r>
          </w:p>
        </w:tc>
        <w:tc>
          <w:tcPr>
            <w:tcW w:type="dxa" w:w="5060"/>
            <w:shd w:fill="E4F3F1" w:val="clear"/>
            <w:tcMar>
              <w:top w:type="dxa" w:w="60"/>
              <w:left w:type="dxa" w:w="100"/>
              <w:bottom w:type="dxa" w:w="60"/>
              <w:right w:type="dxa" w:w="100"/>
            </w:tcMar>
          </w:tcPr>
          <w:p>
            <w:r>
              <w:rPr>
                <w:b w:val="false"/>
                <w:bCs w:val="false"/>
                <w:sz w:val="19"/>
                <w:szCs w:val="19"/>
              </w:rPr>
              <w:t xml:space="preserve">MCP access for team members and internal tooling (ask, route, memory)</w:t>
            </w:r>
          </w:p>
        </w:tc>
        <w:tc>
          <w:tcPr>
            <w:tcW w:type="dxa" w:w="3400"/>
            <w:shd w:fill="E4F3F1" w:val="clear"/>
            <w:tcMar>
              <w:top w:type="dxa" w:w="60"/>
              <w:left w:type="dxa" w:w="100"/>
              <w:bottom w:type="dxa" w:w="60"/>
              <w:right w:type="dxa" w:w="100"/>
            </w:tcMar>
          </w:tcPr>
          <w:p>
            <w:r>
              <w:rPr>
                <w:b w:val="false"/>
                <w:bCs w:val="false"/>
                <w:sz w:val="19"/>
                <w:szCs w:val="19"/>
              </w:rPr>
              <w:t xml:space="preserve">mcp-server/ (FastMCP)</w:t>
            </w:r>
          </w:p>
        </w:tc>
      </w:tr>
      <w:tr>
        <w:tc>
          <w:tcPr>
            <w:tcW w:type="dxa" w:w="900"/>
            <w:tcMar>
              <w:top w:type="dxa" w:w="60"/>
              <w:left w:type="dxa" w:w="100"/>
              <w:bottom w:type="dxa" w:w="60"/>
              <w:right w:type="dxa" w:w="100"/>
            </w:tcMar>
          </w:tcPr>
          <w:p>
            <w:r>
              <w:rPr>
                <w:b w:val="false"/>
                <w:bCs w:val="false"/>
                <w:sz w:val="19"/>
                <w:szCs w:val="19"/>
              </w:rPr>
              <w:t xml:space="preserve">FR-07</w:t>
            </w:r>
          </w:p>
        </w:tc>
        <w:tc>
          <w:tcPr>
            <w:tcW w:type="dxa" w:w="5060"/>
            <w:tcMar>
              <w:top w:type="dxa" w:w="60"/>
              <w:left w:type="dxa" w:w="100"/>
              <w:bottom w:type="dxa" w:w="60"/>
              <w:right w:type="dxa" w:w="100"/>
            </w:tcMar>
          </w:tcPr>
          <w:p>
            <w:r>
              <w:rPr>
                <w:b w:val="false"/>
                <w:bCs w:val="false"/>
                <w:sz w:val="19"/>
                <w:szCs w:val="19"/>
              </w:rPr>
              <w:t xml:space="preserve">Microsoft 365 Copilot surfacing for Q&amp;A agents</w:t>
            </w:r>
          </w:p>
        </w:tc>
        <w:tc>
          <w:tcPr>
            <w:tcW w:type="dxa" w:w="3400"/>
            <w:tcMar>
              <w:top w:type="dxa" w:w="60"/>
              <w:left w:type="dxa" w:w="100"/>
              <w:bottom w:type="dxa" w:w="60"/>
              <w:right w:type="dxa" w:w="100"/>
            </w:tcMar>
          </w:tcPr>
          <w:p>
            <w:r>
              <w:rPr>
                <w:b w:val="false"/>
                <w:bCs w:val="false"/>
                <w:sz w:val="19"/>
                <w:szCs w:val="19"/>
              </w:rPr>
              <w:t xml:space="preserve">integrations/copilot/README.md</w:t>
            </w:r>
          </w:p>
        </w:tc>
      </w:tr>
    </w:tbl>
    <w:p>
      <w:pPr>
        <w:spacing w:after="200"/>
      </w:pPr>
    </w:p>
    <w:p>
      <w:pPr>
        <w:pStyle w:val="Heading2"/>
        <w:spacing w:after="120" w:before="260"/>
      </w:pPr>
      <w:r>
        <w:t xml:space="preserve">5.2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3400"/>
      </w:tblGrid>
      <w:tr>
        <w:trPr>
          <w:tblHeader/>
        </w:trPr>
        <w:tc>
          <w:tcPr>
            <w:tcW w:type="dxa" w:w="900"/>
            <w:shd w:fill="008D7F" w:val="clear"/>
            <w:tcMar>
              <w:top w:type="dxa" w:w="60"/>
              <w:left w:type="dxa" w:w="100"/>
              <w:bottom w:type="dxa" w:w="60"/>
              <w:right w:type="dxa" w:w="100"/>
            </w:tcMar>
          </w:tcPr>
          <w:p>
            <w:r>
              <w:rPr>
                <w:b/>
                <w:bCs/>
                <w:color w:val="FFFFFF"/>
                <w:sz w:val="19"/>
                <w:szCs w:val="19"/>
              </w:rPr>
              <w:t xml:space="preserve">ID</w:t>
            </w:r>
          </w:p>
        </w:tc>
        <w:tc>
          <w:tcPr>
            <w:tcW w:type="dxa" w:w="5060"/>
            <w:shd w:fill="008D7F" w:val="clear"/>
            <w:tcMar>
              <w:top w:type="dxa" w:w="60"/>
              <w:left w:type="dxa" w:w="100"/>
              <w:bottom w:type="dxa" w:w="60"/>
              <w:right w:type="dxa" w:w="100"/>
            </w:tcMar>
          </w:tcPr>
          <w:p>
            <w:r>
              <w:rPr>
                <w:b/>
                <w:bCs/>
                <w:color w:val="FFFFFF"/>
                <w:sz w:val="19"/>
                <w:szCs w:val="19"/>
              </w:rPr>
              <w:t xml:space="preserve">Requirement</w:t>
            </w:r>
          </w:p>
        </w:tc>
        <w:tc>
          <w:tcPr>
            <w:tcW w:type="dxa" w:w="3400"/>
            <w:shd w:fill="008D7F" w:val="clear"/>
            <w:tcMar>
              <w:top w:type="dxa" w:w="60"/>
              <w:left w:type="dxa" w:w="100"/>
              <w:bottom w:type="dxa" w:w="60"/>
              <w:right w:type="dxa" w:w="100"/>
            </w:tcMar>
          </w:tcPr>
          <w:p>
            <w:r>
              <w:rPr>
                <w:b/>
                <w:bCs/>
                <w:color w:val="FFFFFF"/>
                <w:sz w:val="19"/>
                <w:szCs w:val="19"/>
              </w:rPr>
              <w:t xml:space="preserve">Where satisfied</w:t>
            </w:r>
          </w:p>
        </w:tc>
      </w:tr>
      <w:tr>
        <w:tc>
          <w:tcPr>
            <w:tcW w:type="dxa" w:w="900"/>
            <w:tcMar>
              <w:top w:type="dxa" w:w="60"/>
              <w:left w:type="dxa" w:w="100"/>
              <w:bottom w:type="dxa" w:w="60"/>
              <w:right w:type="dxa" w:w="100"/>
            </w:tcMar>
          </w:tcPr>
          <w:p>
            <w:r>
              <w:rPr>
                <w:b w:val="false"/>
                <w:bCs w:val="false"/>
                <w:sz w:val="19"/>
                <w:szCs w:val="19"/>
              </w:rPr>
              <w:t xml:space="preserve">NFR-01</w:t>
            </w:r>
          </w:p>
        </w:tc>
        <w:tc>
          <w:tcPr>
            <w:tcW w:type="dxa" w:w="5060"/>
            <w:tcMar>
              <w:top w:type="dxa" w:w="60"/>
              <w:left w:type="dxa" w:w="100"/>
              <w:bottom w:type="dxa" w:w="60"/>
              <w:right w:type="dxa" w:w="100"/>
            </w:tcMar>
          </w:tcPr>
          <w:p>
            <w:r>
              <w:rPr>
                <w:b w:val="false"/>
                <w:bCs w:val="false"/>
                <w:sz w:val="19"/>
                <w:szCs w:val="19"/>
              </w:rPr>
              <w:t xml:space="preserve">Deployment is idempotent, gated on verification, and completes as one command</w:t>
            </w:r>
          </w:p>
        </w:tc>
        <w:tc>
          <w:tcPr>
            <w:tcW w:type="dxa" w:w="3400"/>
            <w:tcMar>
              <w:top w:type="dxa" w:w="60"/>
              <w:left w:type="dxa" w:w="100"/>
              <w:bottom w:type="dxa" w:w="60"/>
              <w:right w:type="dxa" w:w="100"/>
            </w:tcMar>
          </w:tcPr>
          <w:p>
            <w:r>
              <w:rPr>
                <w:b w:val="false"/>
                <w:bCs w:val="false"/>
                <w:sz w:val="19"/>
                <w:szCs w:val="19"/>
              </w:rPr>
              <w:t xml:space="preserve">deploy.sh (six gated steps)</w:t>
            </w:r>
          </w:p>
        </w:tc>
      </w:tr>
      <w:tr>
        <w:tc>
          <w:tcPr>
            <w:tcW w:type="dxa" w:w="900"/>
            <w:shd w:fill="E4F3F1" w:val="clear"/>
            <w:tcMar>
              <w:top w:type="dxa" w:w="60"/>
              <w:left w:type="dxa" w:w="100"/>
              <w:bottom w:type="dxa" w:w="60"/>
              <w:right w:type="dxa" w:w="100"/>
            </w:tcMar>
          </w:tcPr>
          <w:p>
            <w:r>
              <w:rPr>
                <w:b w:val="false"/>
                <w:bCs w:val="false"/>
                <w:sz w:val="19"/>
                <w:szCs w:val="19"/>
              </w:rPr>
              <w:t xml:space="preserve">NFR-02</w:t>
            </w:r>
          </w:p>
        </w:tc>
        <w:tc>
          <w:tcPr>
            <w:tcW w:type="dxa" w:w="5060"/>
            <w:shd w:fill="E4F3F1" w:val="clear"/>
            <w:tcMar>
              <w:top w:type="dxa" w:w="60"/>
              <w:left w:type="dxa" w:w="100"/>
              <w:bottom w:type="dxa" w:w="60"/>
              <w:right w:type="dxa" w:w="100"/>
            </w:tcMar>
          </w:tcPr>
          <w:p>
            <w:r>
              <w:rPr>
                <w:b w:val="false"/>
                <w:bCs w:val="false"/>
                <w:sz w:val="19"/>
                <w:szCs w:val="19"/>
              </w:rPr>
              <w:t xml:space="preserve">Resilience: retries with backoff, parallel uploads, per-agent failure isolation, upload de-duplication</w:t>
            </w:r>
          </w:p>
        </w:tc>
        <w:tc>
          <w:tcPr>
            <w:tcW w:type="dxa" w:w="3400"/>
            <w:shd w:fill="E4F3F1" w:val="clear"/>
            <w:tcMar>
              <w:top w:type="dxa" w:w="60"/>
              <w:left w:type="dxa" w:w="100"/>
              <w:bottom w:type="dxa" w:w="60"/>
              <w:right w:type="dxa" w:w="100"/>
            </w:tcMar>
          </w:tcPr>
          <w:p>
            <w:r>
              <w:rPr>
                <w:b w:val="false"/>
                <w:bCs w:val="false"/>
                <w:sz w:val="19"/>
                <w:szCs w:val="19"/>
              </w:rPr>
              <w:t xml:space="preserve">scripts/_azure_helpers.py</w:t>
            </w:r>
          </w:p>
        </w:tc>
      </w:tr>
      <w:tr>
        <w:tc>
          <w:tcPr>
            <w:tcW w:type="dxa" w:w="900"/>
            <w:tcMar>
              <w:top w:type="dxa" w:w="60"/>
              <w:left w:type="dxa" w:w="100"/>
              <w:bottom w:type="dxa" w:w="60"/>
              <w:right w:type="dxa" w:w="100"/>
            </w:tcMar>
          </w:tcPr>
          <w:p>
            <w:r>
              <w:rPr>
                <w:b w:val="false"/>
                <w:bCs w:val="false"/>
                <w:sz w:val="19"/>
                <w:szCs w:val="19"/>
              </w:rPr>
              <w:t xml:space="preserve">NFR-03</w:t>
            </w:r>
          </w:p>
        </w:tc>
        <w:tc>
          <w:tcPr>
            <w:tcW w:type="dxa" w:w="5060"/>
            <w:tcMar>
              <w:top w:type="dxa" w:w="60"/>
              <w:left w:type="dxa" w:w="100"/>
              <w:bottom w:type="dxa" w:w="60"/>
              <w:right w:type="dxa" w:w="100"/>
            </w:tcMar>
          </w:tcPr>
          <w:p>
            <w:r>
              <w:rPr>
                <w:b w:val="false"/>
                <w:bCs w:val="false"/>
                <w:sz w:val="19"/>
                <w:szCs w:val="19"/>
              </w:rPr>
              <w:t xml:space="preserve">Cost efficiency: reasoning model (o3-mini) only for analytic agents; gpt-4o for deterministic pipelines; content-hash cache avoids duplicate uploads</w:t>
            </w:r>
          </w:p>
        </w:tc>
        <w:tc>
          <w:tcPr>
            <w:tcW w:type="dxa" w:w="3400"/>
            <w:tcMar>
              <w:top w:type="dxa" w:w="60"/>
              <w:left w:type="dxa" w:w="100"/>
              <w:bottom w:type="dxa" w:w="60"/>
              <w:right w:type="dxa" w:w="100"/>
            </w:tcMar>
          </w:tcPr>
          <w:p>
            <w:r>
              <w:rPr>
                <w:b w:val="false"/>
                <w:bCs w:val="false"/>
                <w:sz w:val="19"/>
                <w:szCs w:val="19"/>
              </w:rPr>
              <w:t xml:space="preserve">registry model tiers + upload cache</w:t>
            </w:r>
          </w:p>
        </w:tc>
      </w:tr>
      <w:tr>
        <w:tc>
          <w:tcPr>
            <w:tcW w:type="dxa" w:w="900"/>
            <w:shd w:fill="E4F3F1" w:val="clear"/>
            <w:tcMar>
              <w:top w:type="dxa" w:w="60"/>
              <w:left w:type="dxa" w:w="100"/>
              <w:bottom w:type="dxa" w:w="60"/>
              <w:right w:type="dxa" w:w="100"/>
            </w:tcMar>
          </w:tcPr>
          <w:p>
            <w:r>
              <w:rPr>
                <w:b w:val="false"/>
                <w:bCs w:val="false"/>
                <w:sz w:val="19"/>
                <w:szCs w:val="19"/>
              </w:rPr>
              <w:t xml:space="preserve">NFR-04</w:t>
            </w:r>
          </w:p>
        </w:tc>
        <w:tc>
          <w:tcPr>
            <w:tcW w:type="dxa" w:w="5060"/>
            <w:shd w:fill="E4F3F1" w:val="clear"/>
            <w:tcMar>
              <w:top w:type="dxa" w:w="60"/>
              <w:left w:type="dxa" w:w="100"/>
              <w:bottom w:type="dxa" w:w="60"/>
              <w:right w:type="dxa" w:w="100"/>
            </w:tcMar>
          </w:tcPr>
          <w:p>
            <w:r>
              <w:rPr>
                <w:b w:val="false"/>
                <w:bCs w:val="false"/>
                <w:sz w:val="19"/>
                <w:szCs w:val="19"/>
              </w:rPr>
              <w:t xml:space="preserve">Observability: traces, token/latency metrics, approval audit trail, 90-day ISMS-aligned log retention</w:t>
            </w:r>
          </w:p>
        </w:tc>
        <w:tc>
          <w:tcPr>
            <w:tcW w:type="dxa" w:w="3400"/>
            <w:shd w:fill="E4F3F1" w:val="clear"/>
            <w:tcMar>
              <w:top w:type="dxa" w:w="60"/>
              <w:left w:type="dxa" w:w="100"/>
              <w:bottom w:type="dxa" w:w="60"/>
              <w:right w:type="dxa" w:w="100"/>
            </w:tcMar>
          </w:tcPr>
          <w:p>
            <w:r>
              <w:rPr>
                <w:b w:val="false"/>
                <w:bCs w:val="false"/>
                <w:sz w:val="19"/>
                <w:szCs w:val="19"/>
              </w:rPr>
              <w:t xml:space="preserve">App Insights + Log Analytics (Bicep)</w:t>
            </w:r>
          </w:p>
        </w:tc>
      </w:tr>
      <w:tr>
        <w:tc>
          <w:tcPr>
            <w:tcW w:type="dxa" w:w="900"/>
            <w:tcMar>
              <w:top w:type="dxa" w:w="60"/>
              <w:left w:type="dxa" w:w="100"/>
              <w:bottom w:type="dxa" w:w="60"/>
              <w:right w:type="dxa" w:w="100"/>
            </w:tcMar>
          </w:tcPr>
          <w:p>
            <w:r>
              <w:rPr>
                <w:b w:val="false"/>
                <w:bCs w:val="false"/>
                <w:sz w:val="19"/>
                <w:szCs w:val="19"/>
              </w:rPr>
              <w:t xml:space="preserve">NFR-05</w:t>
            </w:r>
          </w:p>
        </w:tc>
        <w:tc>
          <w:tcPr>
            <w:tcW w:type="dxa" w:w="5060"/>
            <w:tcMar>
              <w:top w:type="dxa" w:w="60"/>
              <w:left w:type="dxa" w:w="100"/>
              <w:bottom w:type="dxa" w:w="60"/>
              <w:right w:type="dxa" w:w="100"/>
            </w:tcMar>
          </w:tcPr>
          <w:p>
            <w:r>
              <w:rPr>
                <w:b w:val="false"/>
                <w:bCs w:val="false"/>
                <w:sz w:val="19"/>
                <w:szCs w:val="19"/>
              </w:rPr>
              <w:t xml:space="preserve">Re-sync from a fresh claude.ai export is the standard pipeline run, with drift detection</w:t>
            </w:r>
          </w:p>
        </w:tc>
        <w:tc>
          <w:tcPr>
            <w:tcW w:type="dxa" w:w="3400"/>
            <w:tcMar>
              <w:top w:type="dxa" w:w="60"/>
              <w:left w:type="dxa" w:w="100"/>
              <w:bottom w:type="dxa" w:w="60"/>
              <w:right w:type="dxa" w:w="100"/>
            </w:tcMar>
          </w:tcPr>
          <w:p>
            <w:r>
              <w:rPr>
                <w:b w:val="false"/>
                <w:bCs w:val="false"/>
                <w:sz w:val="19"/>
                <w:szCs w:val="19"/>
              </w:rPr>
              <w:t xml:space="preserve">verify_conversion.py</w:t>
            </w:r>
          </w:p>
        </w:tc>
      </w:tr>
    </w:tbl>
    <w:p>
      <w:pPr>
        <w:spacing w:after="200"/>
      </w:pPr>
    </w:p>
    <w:p>
      <w:pPr>
        <w:pStyle w:val="Heading2"/>
        <w:spacing w:after="120" w:before="260"/>
      </w:pPr>
      <w:r>
        <w:t xml:space="preserve">5.3 Security and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3400"/>
      </w:tblGrid>
      <w:tr>
        <w:trPr>
          <w:tblHeader/>
        </w:trPr>
        <w:tc>
          <w:tcPr>
            <w:tcW w:type="dxa" w:w="900"/>
            <w:shd w:fill="008D7F" w:val="clear"/>
            <w:tcMar>
              <w:top w:type="dxa" w:w="60"/>
              <w:left w:type="dxa" w:w="100"/>
              <w:bottom w:type="dxa" w:w="60"/>
              <w:right w:type="dxa" w:w="100"/>
            </w:tcMar>
          </w:tcPr>
          <w:p>
            <w:r>
              <w:rPr>
                <w:b/>
                <w:bCs/>
                <w:color w:val="FFFFFF"/>
                <w:sz w:val="19"/>
                <w:szCs w:val="19"/>
              </w:rPr>
              <w:t xml:space="preserve">ID</w:t>
            </w:r>
          </w:p>
        </w:tc>
        <w:tc>
          <w:tcPr>
            <w:tcW w:type="dxa" w:w="5060"/>
            <w:shd w:fill="008D7F" w:val="clear"/>
            <w:tcMar>
              <w:top w:type="dxa" w:w="60"/>
              <w:left w:type="dxa" w:w="100"/>
              <w:bottom w:type="dxa" w:w="60"/>
              <w:right w:type="dxa" w:w="100"/>
            </w:tcMar>
          </w:tcPr>
          <w:p>
            <w:r>
              <w:rPr>
                <w:b/>
                <w:bCs/>
                <w:color w:val="FFFFFF"/>
                <w:sz w:val="19"/>
                <w:szCs w:val="19"/>
              </w:rPr>
              <w:t xml:space="preserve">Requirement</w:t>
            </w:r>
          </w:p>
        </w:tc>
        <w:tc>
          <w:tcPr>
            <w:tcW w:type="dxa" w:w="3400"/>
            <w:shd w:fill="008D7F" w:val="clear"/>
            <w:tcMar>
              <w:top w:type="dxa" w:w="60"/>
              <w:left w:type="dxa" w:w="100"/>
              <w:bottom w:type="dxa" w:w="60"/>
              <w:right w:type="dxa" w:w="100"/>
            </w:tcMar>
          </w:tcPr>
          <w:p>
            <w:r>
              <w:rPr>
                <w:b/>
                <w:bCs/>
                <w:color w:val="FFFFFF"/>
                <w:sz w:val="19"/>
                <w:szCs w:val="19"/>
              </w:rPr>
              <w:t xml:space="preserve">Where satisfied</w:t>
            </w:r>
          </w:p>
        </w:tc>
      </w:tr>
      <w:tr>
        <w:tc>
          <w:tcPr>
            <w:tcW w:type="dxa" w:w="900"/>
            <w:tcMar>
              <w:top w:type="dxa" w:w="60"/>
              <w:left w:type="dxa" w:w="100"/>
              <w:bottom w:type="dxa" w:w="60"/>
              <w:right w:type="dxa" w:w="100"/>
            </w:tcMar>
          </w:tcPr>
          <w:p>
            <w:r>
              <w:rPr>
                <w:b w:val="false"/>
                <w:bCs w:val="false"/>
                <w:sz w:val="19"/>
                <w:szCs w:val="19"/>
              </w:rPr>
              <w:t xml:space="preserve">SEC-01</w:t>
            </w:r>
          </w:p>
        </w:tc>
        <w:tc>
          <w:tcPr>
            <w:tcW w:type="dxa" w:w="5060"/>
            <w:tcMar>
              <w:top w:type="dxa" w:w="60"/>
              <w:left w:type="dxa" w:w="100"/>
              <w:bottom w:type="dxa" w:w="60"/>
              <w:right w:type="dxa" w:w="100"/>
            </w:tcMar>
          </w:tcPr>
          <w:p>
            <w:r>
              <w:rPr>
                <w:b w:val="false"/>
                <w:bCs w:val="false"/>
                <w:sz w:val="19"/>
                <w:szCs w:val="19"/>
              </w:rPr>
              <w:t xml:space="preserve">No credentials in the repository; secrets in Key Vault-backed Foundry connections; Entra-only auth (local auth disabled)</w:t>
            </w:r>
          </w:p>
        </w:tc>
        <w:tc>
          <w:tcPr>
            <w:tcW w:type="dxa" w:w="3400"/>
            <w:tcMar>
              <w:top w:type="dxa" w:w="60"/>
              <w:left w:type="dxa" w:w="100"/>
              <w:bottom w:type="dxa" w:w="60"/>
              <w:right w:type="dxa" w:w="100"/>
            </w:tcMar>
          </w:tcPr>
          <w:p>
            <w:r>
              <w:rPr>
                <w:b w:val="false"/>
                <w:bCs w:val="false"/>
                <w:sz w:val="19"/>
                <w:szCs w:val="19"/>
              </w:rPr>
              <w:t xml:space="preserve">Bicep + integrations/README.md</w:t>
            </w:r>
          </w:p>
        </w:tc>
      </w:tr>
      <w:tr>
        <w:tc>
          <w:tcPr>
            <w:tcW w:type="dxa" w:w="900"/>
            <w:shd w:fill="E4F3F1" w:val="clear"/>
            <w:tcMar>
              <w:top w:type="dxa" w:w="60"/>
              <w:left w:type="dxa" w:w="100"/>
              <w:bottom w:type="dxa" w:w="60"/>
              <w:right w:type="dxa" w:w="100"/>
            </w:tcMar>
          </w:tcPr>
          <w:p>
            <w:r>
              <w:rPr>
                <w:b w:val="false"/>
                <w:bCs w:val="false"/>
                <w:sz w:val="19"/>
                <w:szCs w:val="19"/>
              </w:rPr>
              <w:t xml:space="preserve">SEC-02</w:t>
            </w:r>
          </w:p>
        </w:tc>
        <w:tc>
          <w:tcPr>
            <w:tcW w:type="dxa" w:w="5060"/>
            <w:shd w:fill="E4F3F1" w:val="clear"/>
            <w:tcMar>
              <w:top w:type="dxa" w:w="60"/>
              <w:left w:type="dxa" w:w="100"/>
              <w:bottom w:type="dxa" w:w="60"/>
              <w:right w:type="dxa" w:w="100"/>
            </w:tcMar>
          </w:tcPr>
          <w:p>
            <w:r>
              <w:rPr>
                <w:b w:val="false"/>
                <w:bCs w:val="false"/>
                <w:sz w:val="19"/>
                <w:szCs w:val="19"/>
              </w:rPr>
              <w:t xml:space="preserve">Agents technically cannot write to external systems: non-GET operations stripped from every OpenAPI tool; write grants default to zero</w:t>
            </w:r>
          </w:p>
        </w:tc>
        <w:tc>
          <w:tcPr>
            <w:tcW w:type="dxa" w:w="3400"/>
            <w:shd w:fill="E4F3F1" w:val="clear"/>
            <w:tcMar>
              <w:top w:type="dxa" w:w="60"/>
              <w:left w:type="dxa" w:w="100"/>
              <w:bottom w:type="dxa" w:w="60"/>
              <w:right w:type="dxa" w:w="100"/>
            </w:tcMar>
          </w:tcPr>
          <w:p>
            <w:r>
              <w:rPr>
                <w:b w:val="false"/>
                <w:bCs w:val="false"/>
                <w:sz w:val="19"/>
                <w:szCs w:val="19"/>
              </w:rPr>
              <w:t xml:space="preserve">attach_integrations.py (Layer 1)</w:t>
            </w:r>
          </w:p>
        </w:tc>
      </w:tr>
      <w:tr>
        <w:tc>
          <w:tcPr>
            <w:tcW w:type="dxa" w:w="900"/>
            <w:tcMar>
              <w:top w:type="dxa" w:w="60"/>
              <w:left w:type="dxa" w:w="100"/>
              <w:bottom w:type="dxa" w:w="60"/>
              <w:right w:type="dxa" w:w="100"/>
            </w:tcMar>
          </w:tcPr>
          <w:p>
            <w:r>
              <w:rPr>
                <w:b w:val="false"/>
                <w:bCs w:val="false"/>
                <w:sz w:val="19"/>
                <w:szCs w:val="19"/>
              </w:rPr>
              <w:t xml:space="preserve">SEC-03</w:t>
            </w:r>
          </w:p>
        </w:tc>
        <w:tc>
          <w:tcPr>
            <w:tcW w:type="dxa" w:w="5060"/>
            <w:tcMar>
              <w:top w:type="dxa" w:w="60"/>
              <w:left w:type="dxa" w:w="100"/>
              <w:bottom w:type="dxa" w:w="60"/>
              <w:right w:type="dxa" w:w="100"/>
            </w:tcMar>
          </w:tcPr>
          <w:p>
            <w:r>
              <w:rPr>
                <w:b w:val="false"/>
                <w:bCs w:val="false"/>
                <w:sz w:val="19"/>
                <w:szCs w:val="19"/>
              </w:rPr>
              <w:t xml:space="preserve">Every agent carries an injection-resistant draft-then-approve instruction gate</w:t>
            </w:r>
          </w:p>
        </w:tc>
        <w:tc>
          <w:tcPr>
            <w:tcW w:type="dxa" w:w="3400"/>
            <w:tcMar>
              <w:top w:type="dxa" w:w="60"/>
              <w:left w:type="dxa" w:w="100"/>
              <w:bottom w:type="dxa" w:w="60"/>
              <w:right w:type="dxa" w:w="100"/>
            </w:tcMar>
          </w:tcPr>
          <w:p>
            <w:r>
              <w:rPr>
                <w:b w:val="false"/>
                <w:bCs w:val="false"/>
                <w:sz w:val="19"/>
                <w:szCs w:val="19"/>
              </w:rPr>
              <w:t xml:space="preserve">APPROVAL GATE block (Layer 2)</w:t>
            </w:r>
          </w:p>
        </w:tc>
      </w:tr>
      <w:tr>
        <w:tc>
          <w:tcPr>
            <w:tcW w:type="dxa" w:w="900"/>
            <w:shd w:fill="E4F3F1" w:val="clear"/>
            <w:tcMar>
              <w:top w:type="dxa" w:w="60"/>
              <w:left w:type="dxa" w:w="100"/>
              <w:bottom w:type="dxa" w:w="60"/>
              <w:right w:type="dxa" w:w="100"/>
            </w:tcMar>
          </w:tcPr>
          <w:p>
            <w:r>
              <w:rPr>
                <w:b w:val="false"/>
                <w:bCs w:val="false"/>
                <w:sz w:val="19"/>
                <w:szCs w:val="19"/>
              </w:rPr>
              <w:t xml:space="preserve">SEC-04</w:t>
            </w:r>
          </w:p>
        </w:tc>
        <w:tc>
          <w:tcPr>
            <w:tcW w:type="dxa" w:w="5060"/>
            <w:shd w:fill="E4F3F1" w:val="clear"/>
            <w:tcMar>
              <w:top w:type="dxa" w:w="60"/>
              <w:left w:type="dxa" w:w="100"/>
              <w:bottom w:type="dxa" w:w="60"/>
              <w:right w:type="dxa" w:w="100"/>
            </w:tcMar>
          </w:tcPr>
          <w:p>
            <w:r>
              <w:rPr>
                <w:b w:val="false"/>
                <w:bCs w:val="false"/>
                <w:sz w:val="19"/>
                <w:szCs w:val="19"/>
              </w:rPr>
              <w:t xml:space="preserve">Workflows suspend on human-approval webhooks (3-day expiry) before every submission of record</w:t>
            </w:r>
          </w:p>
        </w:tc>
        <w:tc>
          <w:tcPr>
            <w:tcW w:type="dxa" w:w="3400"/>
            <w:shd w:fill="E4F3F1" w:val="clear"/>
            <w:tcMar>
              <w:top w:type="dxa" w:w="60"/>
              <w:left w:type="dxa" w:w="100"/>
              <w:bottom w:type="dxa" w:w="60"/>
              <w:right w:type="dxa" w:w="100"/>
            </w:tcMar>
          </w:tcPr>
          <w:p>
            <w:r>
              <w:rPr>
                <w:b w:val="false"/>
                <w:bCs w:val="false"/>
                <w:sz w:val="19"/>
                <w:szCs w:val="19"/>
              </w:rPr>
              <w:t xml:space="preserve">Logic Apps gates (Layer 3)</w:t>
            </w:r>
          </w:p>
        </w:tc>
      </w:tr>
      <w:tr>
        <w:tc>
          <w:tcPr>
            <w:tcW w:type="dxa" w:w="900"/>
            <w:tcMar>
              <w:top w:type="dxa" w:w="60"/>
              <w:left w:type="dxa" w:w="100"/>
              <w:bottom w:type="dxa" w:w="60"/>
              <w:right w:type="dxa" w:w="100"/>
            </w:tcMar>
          </w:tcPr>
          <w:p>
            <w:r>
              <w:rPr>
                <w:b w:val="false"/>
                <w:bCs w:val="false"/>
                <w:sz w:val="19"/>
                <w:szCs w:val="19"/>
              </w:rPr>
              <w:t xml:space="preserve">SEC-05</w:t>
            </w:r>
          </w:p>
        </w:tc>
        <w:tc>
          <w:tcPr>
            <w:tcW w:type="dxa" w:w="5060"/>
            <w:tcMar>
              <w:top w:type="dxa" w:w="60"/>
              <w:left w:type="dxa" w:w="100"/>
              <w:bottom w:type="dxa" w:w="60"/>
              <w:right w:type="dxa" w:w="100"/>
            </w:tcMar>
          </w:tcPr>
          <w:p>
            <w:r>
              <w:rPr>
                <w:b w:val="false"/>
                <w:bCs w:val="false"/>
                <w:sz w:val="19"/>
                <w:szCs w:val="19"/>
              </w:rPr>
              <w:t xml:space="preserve">Independent output verification (PASS/FAIL against deterministic rules) before human approval</w:t>
            </w:r>
          </w:p>
        </w:tc>
        <w:tc>
          <w:tcPr>
            <w:tcW w:type="dxa" w:w="3400"/>
            <w:tcMar>
              <w:top w:type="dxa" w:w="60"/>
              <w:left w:type="dxa" w:w="100"/>
              <w:bottom w:type="dxa" w:w="60"/>
              <w:right w:type="dxa" w:w="100"/>
            </w:tcMar>
          </w:tcPr>
          <w:p>
            <w:r>
              <w:rPr>
                <w:b w:val="false"/>
                <w:bCs w:val="false"/>
                <w:sz w:val="19"/>
                <w:szCs w:val="19"/>
              </w:rPr>
              <w:t xml:space="preserve">output-verifier agent</w:t>
            </w:r>
          </w:p>
        </w:tc>
      </w:tr>
      <w:tr>
        <w:tc>
          <w:tcPr>
            <w:tcW w:type="dxa" w:w="900"/>
            <w:shd w:fill="E4F3F1" w:val="clear"/>
            <w:tcMar>
              <w:top w:type="dxa" w:w="60"/>
              <w:left w:type="dxa" w:w="100"/>
              <w:bottom w:type="dxa" w:w="60"/>
              <w:right w:type="dxa" w:w="100"/>
            </w:tcMar>
          </w:tcPr>
          <w:p>
            <w:r>
              <w:rPr>
                <w:b w:val="false"/>
                <w:bCs w:val="false"/>
                <w:sz w:val="19"/>
                <w:szCs w:val="19"/>
              </w:rPr>
              <w:t xml:space="preserve">SEC-06</w:t>
            </w:r>
          </w:p>
        </w:tc>
        <w:tc>
          <w:tcPr>
            <w:tcW w:type="dxa" w:w="5060"/>
            <w:shd w:fill="E4F3F1" w:val="clear"/>
            <w:tcMar>
              <w:top w:type="dxa" w:w="60"/>
              <w:left w:type="dxa" w:w="100"/>
              <w:bottom w:type="dxa" w:w="60"/>
              <w:right w:type="dxa" w:w="100"/>
            </w:tcMar>
          </w:tcPr>
          <w:p>
            <w:r>
              <w:rPr>
                <w:b w:val="false"/>
                <w:bCs w:val="false"/>
                <w:sz w:val="19"/>
                <w:szCs w:val="19"/>
              </w:rPr>
              <w:t xml:space="preserve">Data minimisation in durable memory; notes timestamped, listable, individually deletable</w:t>
            </w:r>
          </w:p>
        </w:tc>
        <w:tc>
          <w:tcPr>
            <w:tcW w:type="dxa" w:w="3400"/>
            <w:shd w:fill="E4F3F1" w:val="clear"/>
            <w:tcMar>
              <w:top w:type="dxa" w:w="60"/>
              <w:left w:type="dxa" w:w="100"/>
              <w:bottom w:type="dxa" w:w="60"/>
              <w:right w:type="dxa" w:w="100"/>
            </w:tcMar>
          </w:tcPr>
          <w:p>
            <w:r>
              <w:rPr>
                <w:b w:val="false"/>
                <w:bCs w:val="false"/>
                <w:sz w:val="19"/>
                <w:szCs w:val="19"/>
              </w:rPr>
              <w:t xml:space="preserve">memory_store.py</w:t>
            </w:r>
          </w:p>
        </w:tc>
      </w:tr>
      <w:tr>
        <w:tc>
          <w:tcPr>
            <w:tcW w:type="dxa" w:w="900"/>
            <w:tcMar>
              <w:top w:type="dxa" w:w="60"/>
              <w:left w:type="dxa" w:w="100"/>
              <w:bottom w:type="dxa" w:w="60"/>
              <w:right w:type="dxa" w:w="100"/>
            </w:tcMar>
          </w:tcPr>
          <w:p>
            <w:r>
              <w:rPr>
                <w:b w:val="false"/>
                <w:bCs w:val="false"/>
                <w:sz w:val="19"/>
                <w:szCs w:val="19"/>
              </w:rPr>
              <w:t xml:space="preserve">SEC-07</w:t>
            </w:r>
          </w:p>
        </w:tc>
        <w:tc>
          <w:tcPr>
            <w:tcW w:type="dxa" w:w="5060"/>
            <w:tcMar>
              <w:top w:type="dxa" w:w="60"/>
              <w:left w:type="dxa" w:w="100"/>
              <w:bottom w:type="dxa" w:w="60"/>
              <w:right w:type="dxa" w:w="100"/>
            </w:tcMar>
          </w:tcPr>
          <w:p>
            <w:r>
              <w:rPr>
                <w:b w:val="false"/>
                <w:bCs w:val="false"/>
                <w:sz w:val="19"/>
                <w:szCs w:val="19"/>
              </w:rPr>
              <w:t xml:space="preserve">EU AI Act Art. 14 human oversight and ISO/IEC 42001 Annex A control mapping documented with audit evidence pointers</w:t>
            </w:r>
          </w:p>
        </w:tc>
        <w:tc>
          <w:tcPr>
            <w:tcW w:type="dxa" w:w="3400"/>
            <w:tcMar>
              <w:top w:type="dxa" w:w="60"/>
              <w:left w:type="dxa" w:w="100"/>
              <w:bottom w:type="dxa" w:w="60"/>
              <w:right w:type="dxa" w:w="100"/>
            </w:tcMar>
          </w:tcPr>
          <w:p>
            <w:r>
              <w:rPr>
                <w:b w:val="false"/>
                <w:bCs w:val="false"/>
                <w:sz w:val="19"/>
                <w:szCs w:val="19"/>
              </w:rPr>
              <w:t xml:space="preserve">governance/HUMAN_APPROVAL.md</w:t>
            </w:r>
          </w:p>
        </w:tc>
      </w:tr>
    </w:tbl>
    <w:p>
      <w:pPr>
        <w:pStyle w:val="Heading1"/>
        <w:spacing w:after="160" w:before="360"/>
      </w:pPr>
      <w:r>
        <w:t xml:space="preserve">6. Goals and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3300"/>
      </w:tblGrid>
      <w:tr>
        <w:trPr>
          <w:tblHeader/>
        </w:trPr>
        <w:tc>
          <w:tcPr>
            <w:tcW w:type="dxa" w:w="1800"/>
            <w:shd w:fill="008D7F" w:val="clear"/>
            <w:tcMar>
              <w:top w:type="dxa" w:w="60"/>
              <w:left w:type="dxa" w:w="100"/>
              <w:bottom w:type="dxa" w:w="60"/>
              <w:right w:type="dxa" w:w="100"/>
            </w:tcMar>
          </w:tcPr>
          <w:p>
            <w:r>
              <w:rPr>
                <w:b/>
                <w:bCs/>
                <w:color w:val="FFFFFF"/>
                <w:sz w:val="19"/>
                <w:szCs w:val="19"/>
              </w:rPr>
              <w:t xml:space="preserve">Goal</w:t>
            </w:r>
          </w:p>
        </w:tc>
        <w:tc>
          <w:tcPr>
            <w:tcW w:type="dxa" w:w="4260"/>
            <w:shd w:fill="008D7F" w:val="clear"/>
            <w:tcMar>
              <w:top w:type="dxa" w:w="60"/>
              <w:left w:type="dxa" w:w="100"/>
              <w:bottom w:type="dxa" w:w="60"/>
              <w:right w:type="dxa" w:w="100"/>
            </w:tcMar>
          </w:tcPr>
          <w:p>
            <w:r>
              <w:rPr>
                <w:b/>
                <w:bCs/>
                <w:color w:val="FFFFFF"/>
                <w:sz w:val="19"/>
                <w:szCs w:val="19"/>
              </w:rPr>
              <w:t xml:space="preserve">Metric</w:t>
            </w:r>
          </w:p>
        </w:tc>
        <w:tc>
          <w:tcPr>
            <w:tcW w:type="dxa" w:w="3300"/>
            <w:shd w:fill="008D7F" w:val="clear"/>
            <w:tcMar>
              <w:top w:type="dxa" w:w="60"/>
              <w:left w:type="dxa" w:w="100"/>
              <w:bottom w:type="dxa" w:w="60"/>
              <w:right w:type="dxa" w:w="100"/>
            </w:tcMar>
          </w:tcPr>
          <w:p>
            <w:r>
              <w:rPr>
                <w:b/>
                <w:bCs/>
                <w:color w:val="FFFFFF"/>
                <w:sz w:val="19"/>
                <w:szCs w:val="19"/>
              </w:rPr>
              <w:t xml:space="preserve">Target</w:t>
            </w:r>
          </w:p>
        </w:tc>
      </w:tr>
      <w:tr>
        <w:tc>
          <w:tcPr>
            <w:tcW w:type="dxa" w:w="1800"/>
            <w:tcMar>
              <w:top w:type="dxa" w:w="60"/>
              <w:left w:type="dxa" w:w="100"/>
              <w:bottom w:type="dxa" w:w="60"/>
              <w:right w:type="dxa" w:w="100"/>
            </w:tcMar>
          </w:tcPr>
          <w:p>
            <w:r>
              <w:rPr>
                <w:b w:val="false"/>
                <w:bCs w:val="false"/>
                <w:sz w:val="19"/>
                <w:szCs w:val="19"/>
              </w:rPr>
              <w:t xml:space="preserve">Fidelity</w:t>
            </w:r>
          </w:p>
        </w:tc>
        <w:tc>
          <w:tcPr>
            <w:tcW w:type="dxa" w:w="4260"/>
            <w:tcMar>
              <w:top w:type="dxa" w:w="60"/>
              <w:left w:type="dxa" w:w="100"/>
              <w:bottom w:type="dxa" w:w="60"/>
              <w:right w:type="dxa" w:w="100"/>
            </w:tcMar>
          </w:tcPr>
          <w:p>
            <w:r>
              <w:rPr>
                <w:b w:val="false"/>
                <w:bCs w:val="false"/>
                <w:sz w:val="19"/>
                <w:szCs w:val="19"/>
              </w:rPr>
              <w:t xml:space="preserve">verify_conversion.py result on every deployment</w:t>
            </w:r>
          </w:p>
        </w:tc>
        <w:tc>
          <w:tcPr>
            <w:tcW w:type="dxa" w:w="3300"/>
            <w:tcMar>
              <w:top w:type="dxa" w:w="60"/>
              <w:left w:type="dxa" w:w="100"/>
              <w:bottom w:type="dxa" w:w="60"/>
              <w:right w:type="dxa" w:w="100"/>
            </w:tcMar>
          </w:tcPr>
          <w:p>
            <w:r>
              <w:rPr>
                <w:b w:val="false"/>
                <w:bCs w:val="false"/>
                <w:sz w:val="19"/>
                <w:szCs w:val="19"/>
              </w:rPr>
              <w:t xml:space="preserve">Verified, zero discrepancies (currently: 22 agents, 252 files hash-matched)</w:t>
            </w:r>
          </w:p>
        </w:tc>
      </w:tr>
      <w:tr>
        <w:tc>
          <w:tcPr>
            <w:tcW w:type="dxa" w:w="1800"/>
            <w:shd w:fill="E4F3F1" w:val="clear"/>
            <w:tcMar>
              <w:top w:type="dxa" w:w="60"/>
              <w:left w:type="dxa" w:w="100"/>
              <w:bottom w:type="dxa" w:w="60"/>
              <w:right w:type="dxa" w:w="100"/>
            </w:tcMar>
          </w:tcPr>
          <w:p>
            <w:r>
              <w:rPr>
                <w:b w:val="false"/>
                <w:bCs w:val="false"/>
                <w:sz w:val="19"/>
                <w:szCs w:val="19"/>
              </w:rPr>
              <w:t xml:space="preserve">Parity</w:t>
            </w:r>
          </w:p>
        </w:tc>
        <w:tc>
          <w:tcPr>
            <w:tcW w:type="dxa" w:w="4260"/>
            <w:shd w:fill="E4F3F1" w:val="clear"/>
            <w:tcMar>
              <w:top w:type="dxa" w:w="60"/>
              <w:left w:type="dxa" w:w="100"/>
              <w:bottom w:type="dxa" w:w="60"/>
              <w:right w:type="dxa" w:w="100"/>
            </w:tcMar>
          </w:tcPr>
          <w:p>
            <w:r>
              <w:rPr>
                <w:b w:val="false"/>
                <w:bCs w:val="false"/>
                <w:sz w:val="19"/>
                <w:szCs w:val="19"/>
              </w:rPr>
              <w:t xml:space="preserve">UAT: deliverables vs claude.ai baselines for the same inputs</w:t>
            </w:r>
          </w:p>
        </w:tc>
        <w:tc>
          <w:tcPr>
            <w:tcW w:type="dxa" w:w="3300"/>
            <w:shd w:fill="E4F3F1" w:val="clear"/>
            <w:tcMar>
              <w:top w:type="dxa" w:w="60"/>
              <w:left w:type="dxa" w:w="100"/>
              <w:bottom w:type="dxa" w:w="60"/>
              <w:right w:type="dxa" w:w="100"/>
            </w:tcMar>
          </w:tcPr>
          <w:p>
            <w:r>
              <w:rPr>
                <w:b w:val="false"/>
                <w:bCs w:val="false"/>
                <w:sz w:val="19"/>
                <w:szCs w:val="19"/>
              </w:rPr>
              <w:t xml:space="preserve">No material deviation accepted by the team</w:t>
            </w:r>
          </w:p>
        </w:tc>
      </w:tr>
      <w:tr>
        <w:tc>
          <w:tcPr>
            <w:tcW w:type="dxa" w:w="1800"/>
            <w:tcMar>
              <w:top w:type="dxa" w:w="60"/>
              <w:left w:type="dxa" w:w="100"/>
              <w:bottom w:type="dxa" w:w="60"/>
              <w:right w:type="dxa" w:w="100"/>
            </w:tcMar>
          </w:tcPr>
          <w:p>
            <w:r>
              <w:rPr>
                <w:b w:val="false"/>
                <w:bCs w:val="false"/>
                <w:sz w:val="19"/>
                <w:szCs w:val="19"/>
              </w:rPr>
              <w:t xml:space="preserve">Human control</w:t>
            </w:r>
          </w:p>
        </w:tc>
        <w:tc>
          <w:tcPr>
            <w:tcW w:type="dxa" w:w="4260"/>
            <w:tcMar>
              <w:top w:type="dxa" w:w="60"/>
              <w:left w:type="dxa" w:w="100"/>
              <w:bottom w:type="dxa" w:w="60"/>
              <w:right w:type="dxa" w:w="100"/>
            </w:tcMar>
          </w:tcPr>
          <w:p>
            <w:r>
              <w:rPr>
                <w:b w:val="false"/>
                <w:bCs w:val="false"/>
                <w:sz w:val="19"/>
                <w:szCs w:val="19"/>
              </w:rPr>
              <w:t xml:space="preserve">Write grants in registry; submissions without an approval callback</w:t>
            </w:r>
          </w:p>
        </w:tc>
        <w:tc>
          <w:tcPr>
            <w:tcW w:type="dxa" w:w="3300"/>
            <w:tcMar>
              <w:top w:type="dxa" w:w="60"/>
              <w:left w:type="dxa" w:w="100"/>
              <w:bottom w:type="dxa" w:w="60"/>
              <w:right w:type="dxa" w:w="100"/>
            </w:tcMar>
          </w:tcPr>
          <w:p>
            <w:r>
              <w:rPr>
                <w:b w:val="false"/>
                <w:bCs w:val="false"/>
                <w:sz w:val="19"/>
                <w:szCs w:val="19"/>
              </w:rPr>
              <w:t xml:space="preserve">0 and 0</w:t>
            </w:r>
          </w:p>
        </w:tc>
      </w:tr>
      <w:tr>
        <w:tc>
          <w:tcPr>
            <w:tcW w:type="dxa" w:w="1800"/>
            <w:shd w:fill="E4F3F1" w:val="clear"/>
            <w:tcMar>
              <w:top w:type="dxa" w:w="60"/>
              <w:left w:type="dxa" w:w="100"/>
              <w:bottom w:type="dxa" w:w="60"/>
              <w:right w:type="dxa" w:w="100"/>
            </w:tcMar>
          </w:tcPr>
          <w:p>
            <w:r>
              <w:rPr>
                <w:b w:val="false"/>
                <w:bCs w:val="false"/>
                <w:sz w:val="19"/>
                <w:szCs w:val="19"/>
              </w:rPr>
              <w:t xml:space="preserve">Quality</w:t>
            </w:r>
          </w:p>
        </w:tc>
        <w:tc>
          <w:tcPr>
            <w:tcW w:type="dxa" w:w="4260"/>
            <w:shd w:fill="E4F3F1" w:val="clear"/>
            <w:tcMar>
              <w:top w:type="dxa" w:w="60"/>
              <w:left w:type="dxa" w:w="100"/>
              <w:bottom w:type="dxa" w:w="60"/>
              <w:right w:type="dxa" w:w="100"/>
            </w:tcMar>
          </w:tcPr>
          <w:p>
            <w:r>
              <w:rPr>
                <w:b w:val="false"/>
                <w:bCs w:val="false"/>
                <w:sz w:val="19"/>
                <w:szCs w:val="19"/>
              </w:rPr>
              <w:t xml:space="preserve">Verifier first-pass PASS rate on report agents</w:t>
            </w:r>
          </w:p>
        </w:tc>
        <w:tc>
          <w:tcPr>
            <w:tcW w:type="dxa" w:w="3300"/>
            <w:shd w:fill="E4F3F1" w:val="clear"/>
            <w:tcMar>
              <w:top w:type="dxa" w:w="60"/>
              <w:left w:type="dxa" w:w="100"/>
              <w:bottom w:type="dxa" w:w="60"/>
              <w:right w:type="dxa" w:w="100"/>
            </w:tcMar>
          </w:tcPr>
          <w:p>
            <w:r>
              <w:rPr>
                <w:b w:val="false"/>
                <w:bCs w:val="false"/>
                <w:sz w:val="19"/>
                <w:szCs w:val="19"/>
              </w:rPr>
              <w:t xml:space="preserve">≥ 90% steady-state; investigate on decline</w:t>
            </w:r>
          </w:p>
        </w:tc>
      </w:tr>
      <w:tr>
        <w:tc>
          <w:tcPr>
            <w:tcW w:type="dxa" w:w="1800"/>
            <w:tcMar>
              <w:top w:type="dxa" w:w="60"/>
              <w:left w:type="dxa" w:w="100"/>
              <w:bottom w:type="dxa" w:w="60"/>
              <w:right w:type="dxa" w:w="100"/>
            </w:tcMar>
          </w:tcPr>
          <w:p>
            <w:r>
              <w:rPr>
                <w:b w:val="false"/>
                <w:bCs w:val="false"/>
                <w:sz w:val="19"/>
                <w:szCs w:val="19"/>
              </w:rPr>
              <w:t xml:space="preserve">Adoption</w:t>
            </w:r>
          </w:p>
        </w:tc>
        <w:tc>
          <w:tcPr>
            <w:tcW w:type="dxa" w:w="4260"/>
            <w:tcMar>
              <w:top w:type="dxa" w:w="60"/>
              <w:left w:type="dxa" w:w="100"/>
              <w:bottom w:type="dxa" w:w="60"/>
              <w:right w:type="dxa" w:w="100"/>
            </w:tcMar>
          </w:tcPr>
          <w:p>
            <w:r>
              <w:rPr>
                <w:b w:val="false"/>
                <w:bCs w:val="false"/>
                <w:sz w:val="19"/>
                <w:szCs w:val="19"/>
              </w:rPr>
              <w:t xml:space="preserve">Assurance team members active via MCP/Copilot per month</w:t>
            </w:r>
          </w:p>
        </w:tc>
        <w:tc>
          <w:tcPr>
            <w:tcW w:type="dxa" w:w="3300"/>
            <w:tcMar>
              <w:top w:type="dxa" w:w="60"/>
              <w:left w:type="dxa" w:w="100"/>
              <w:bottom w:type="dxa" w:w="60"/>
              <w:right w:type="dxa" w:w="100"/>
            </w:tcMar>
          </w:tcPr>
          <w:p>
            <w:r>
              <w:rPr>
                <w:b w:val="false"/>
                <w:bCs w:val="false"/>
                <w:sz w:val="19"/>
                <w:szCs w:val="19"/>
              </w:rPr>
              <w:t xml:space="preserve">Full team within one quarter</w:t>
            </w:r>
          </w:p>
        </w:tc>
      </w:tr>
      <w:tr>
        <w:tc>
          <w:tcPr>
            <w:tcW w:type="dxa" w:w="1800"/>
            <w:shd w:fill="E4F3F1" w:val="clear"/>
            <w:tcMar>
              <w:top w:type="dxa" w:w="60"/>
              <w:left w:type="dxa" w:w="100"/>
              <w:bottom w:type="dxa" w:w="60"/>
              <w:right w:type="dxa" w:w="100"/>
            </w:tcMar>
          </w:tcPr>
          <w:p>
            <w:r>
              <w:rPr>
                <w:b w:val="false"/>
                <w:bCs w:val="false"/>
                <w:sz w:val="19"/>
                <w:szCs w:val="19"/>
              </w:rPr>
              <w:t xml:space="preserve">Efficiency</w:t>
            </w:r>
          </w:p>
        </w:tc>
        <w:tc>
          <w:tcPr>
            <w:tcW w:type="dxa" w:w="4260"/>
            <w:shd w:fill="E4F3F1" w:val="clear"/>
            <w:tcMar>
              <w:top w:type="dxa" w:w="60"/>
              <w:left w:type="dxa" w:w="100"/>
              <w:bottom w:type="dxa" w:w="60"/>
              <w:right w:type="dxa" w:w="100"/>
            </w:tcMar>
          </w:tcPr>
          <w:p>
            <w:r>
              <w:rPr>
                <w:b w:val="false"/>
                <w:bCs w:val="false"/>
                <w:sz w:val="19"/>
                <w:szCs w:val="19"/>
              </w:rPr>
              <w:t xml:space="preserve">Token cost per deliverable; deployment wall-clock</w:t>
            </w:r>
          </w:p>
        </w:tc>
        <w:tc>
          <w:tcPr>
            <w:tcW w:type="dxa" w:w="3300"/>
            <w:shd w:fill="E4F3F1" w:val="clear"/>
            <w:tcMar>
              <w:top w:type="dxa" w:w="60"/>
              <w:left w:type="dxa" w:w="100"/>
              <w:bottom w:type="dxa" w:w="60"/>
              <w:right w:type="dxa" w:w="100"/>
            </w:tcMar>
          </w:tcPr>
          <w:p>
            <w:r>
              <w:rPr>
                <w:b w:val="false"/>
                <w:bCs w:val="false"/>
                <w:sz w:val="19"/>
                <w:szCs w:val="19"/>
              </w:rPr>
              <w:t xml:space="preserve">Baseline in hypercare; downward trend</w:t>
            </w:r>
          </w:p>
        </w:tc>
      </w:tr>
    </w:tbl>
    <w:p>
      <w:r>
        <w:br w:type="page"/>
      </w:r>
    </w:p>
    <w:p>
      <w:pPr>
        <w:pStyle w:val="Heading1"/>
        <w:spacing w:after="160" w:before="360"/>
      </w:pPr>
      <w:r>
        <w:t xml:space="preserve">7. Solution Structure</w:t>
      </w:r>
    </w:p>
    <w:p>
      <w:pPr>
        <w:spacing w:after="140"/>
        <w:jc w:val="both"/>
      </w:pPr>
      <w:r>
        <w:t xml:space="preserve">The platform is a five-layer architecture. Team members reach it through three access paths (MCP clients such as Claude Desktop, Microsoft 365 Copilot, and the scheduled Logic Apps workflows); all paths converge on the orchestrator, which routes to the advisor or the specialist agents; agents draw on RAG vector stores, code-interpreter scripts and read-only integration tools; everything runs on the Azure foundation provisioned by the Bicep template.</w:t>
      </w:r>
    </w:p>
    <w:p>
      <w:pPr>
        <w:spacing w:after="60" w:before="200"/>
        <w:jc w:val="center"/>
      </w:pPr>
      <w:r>
        <w:drawing>
          <wp:inline distT="0" distB="0" distL="0" distR="0">
            <wp:extent cx="59055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00525"/>
                    </a:xfrm>
                    <a:prstGeom prst="rect">
                      <a:avLst/>
                    </a:prstGeom>
                  </pic:spPr>
                </pic:pic>
              </a:graphicData>
            </a:graphic>
          </wp:inline>
        </w:drawing>
      </w:r>
    </w:p>
    <w:p>
      <w:pPr>
        <w:spacing w:after="240"/>
        <w:jc w:val="center"/>
      </w:pPr>
      <w:r>
        <w:rPr>
          <w:i/>
          <w:iCs/>
          <w:color w:val="5B6B69"/>
          <w:sz w:val="18"/>
          <w:szCs w:val="18"/>
        </w:rPr>
        <w:t xml:space="preserve">Figure 1 — Solution architecture: access, orchestration, agents, knowledge &amp; tools, Azure foundation</w:t>
      </w:r>
    </w:p>
    <w:p>
      <w:pPr>
        <w:pStyle w:val="Heading2"/>
        <w:spacing w:after="120" w:before="260"/>
      </w:pPr>
      <w:r>
        <w:t xml:space="preserve">7.1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08D7F" w:val="clear"/>
            <w:tcMar>
              <w:top w:type="dxa" w:w="60"/>
              <w:left w:type="dxa" w:w="100"/>
              <w:bottom w:type="dxa" w:w="60"/>
              <w:right w:type="dxa" w:w="100"/>
            </w:tcMar>
          </w:tcPr>
          <w:p>
            <w:r>
              <w:rPr>
                <w:b/>
                <w:bCs/>
                <w:color w:val="FFFFFF"/>
                <w:sz w:val="19"/>
                <w:szCs w:val="19"/>
              </w:rPr>
              <w:t xml:space="preserve">Component</w:t>
            </w:r>
          </w:p>
        </w:tc>
        <w:tc>
          <w:tcPr>
            <w:tcW w:type="dxa" w:w="6160"/>
            <w:shd w:fill="008D7F" w:val="clear"/>
            <w:tcMar>
              <w:top w:type="dxa" w:w="60"/>
              <w:left w:type="dxa" w:w="100"/>
              <w:bottom w:type="dxa" w:w="60"/>
              <w:right w:type="dxa" w:w="100"/>
            </w:tcMar>
          </w:tcPr>
          <w:p>
            <w:r>
              <w:rPr>
                <w:b/>
                <w:bCs/>
                <w:color w:val="FFFFFF"/>
                <w:sz w:val="19"/>
                <w:szCs w:val="19"/>
              </w:rPr>
              <w:t xml:space="preserve">Role</w:t>
            </w:r>
          </w:p>
        </w:tc>
      </w:tr>
      <w:tr>
        <w:tc>
          <w:tcPr>
            <w:tcW w:type="dxa" w:w="3200"/>
            <w:tcMar>
              <w:top w:type="dxa" w:w="60"/>
              <w:left w:type="dxa" w:w="100"/>
              <w:bottom w:type="dxa" w:w="60"/>
              <w:right w:type="dxa" w:w="100"/>
            </w:tcMar>
          </w:tcPr>
          <w:p>
            <w:r>
              <w:rPr>
                <w:b w:val="false"/>
                <w:bCs w:val="false"/>
                <w:sz w:val="19"/>
                <w:szCs w:val="19"/>
              </w:rPr>
              <w:t xml:space="preserve">infosec-assurance-orchestrator</w:t>
            </w:r>
          </w:p>
        </w:tc>
        <w:tc>
          <w:tcPr>
            <w:tcW w:type="dxa" w:w="6160"/>
            <w:tcMar>
              <w:top w:type="dxa" w:w="60"/>
              <w:left w:type="dxa" w:w="100"/>
              <w:bottom w:type="dxa" w:w="60"/>
              <w:right w:type="dxa" w:w="100"/>
            </w:tcMar>
          </w:tcPr>
          <w:p>
            <w:r>
              <w:rPr>
                <w:b w:val="false"/>
                <w:bCs w:val="false"/>
                <w:sz w:val="19"/>
                <w:szCs w:val="19"/>
              </w:rPr>
              <w:t xml:space="preserve">Planner-executor entry point (o3-mini + web search); answers, routes, or decomposes across all connected agents; routes deliverable drafts through the verifier</w:t>
            </w:r>
          </w:p>
        </w:tc>
      </w:tr>
      <w:tr>
        <w:tc>
          <w:tcPr>
            <w:tcW w:type="dxa" w:w="3200"/>
            <w:shd w:fill="E4F3F1" w:val="clear"/>
            <w:tcMar>
              <w:top w:type="dxa" w:w="60"/>
              <w:left w:type="dxa" w:w="100"/>
              <w:bottom w:type="dxa" w:w="60"/>
              <w:right w:type="dxa" w:w="100"/>
            </w:tcMar>
          </w:tcPr>
          <w:p>
            <w:r>
              <w:rPr>
                <w:b w:val="false"/>
                <w:bCs w:val="false"/>
                <w:sz w:val="19"/>
                <w:szCs w:val="19"/>
              </w:rPr>
              <w:t xml:space="preserve">infosec-assurance-advisor</w:t>
            </w:r>
          </w:p>
        </w:tc>
        <w:tc>
          <w:tcPr>
            <w:tcW w:type="dxa" w:w="6160"/>
            <w:shd w:fill="E4F3F1" w:val="clear"/>
            <w:tcMar>
              <w:top w:type="dxa" w:w="60"/>
              <w:left w:type="dxa" w:w="100"/>
              <w:bottom w:type="dxa" w:w="60"/>
              <w:right w:type="dxa" w:w="100"/>
            </w:tcMar>
          </w:tcPr>
          <w:p>
            <w:r>
              <w:rPr>
                <w:b w:val="false"/>
                <w:bCs w:val="false"/>
                <w:sz w:val="19"/>
                <w:szCs w:val="19"/>
              </w:rPr>
              <w:t xml:space="preserve">Reasoning generalist across all persona domains; combined knowledge base (50 de-duplicated source documents) + durable team memory + web search; cites sources</w:t>
            </w:r>
          </w:p>
        </w:tc>
      </w:tr>
      <w:tr>
        <w:tc>
          <w:tcPr>
            <w:tcW w:type="dxa" w:w="3200"/>
            <w:tcMar>
              <w:top w:type="dxa" w:w="60"/>
              <w:left w:type="dxa" w:w="100"/>
              <w:bottom w:type="dxa" w:w="60"/>
              <w:right w:type="dxa" w:w="100"/>
            </w:tcMar>
          </w:tcPr>
          <w:p>
            <w:r>
              <w:rPr>
                <w:b w:val="false"/>
                <w:bCs w:val="false"/>
                <w:sz w:val="19"/>
                <w:szCs w:val="19"/>
              </w:rPr>
              <w:t xml:space="preserve">output-verifier</w:t>
            </w:r>
          </w:p>
        </w:tc>
        <w:tc>
          <w:tcPr>
            <w:tcW w:type="dxa" w:w="6160"/>
            <w:tcMar>
              <w:top w:type="dxa" w:w="60"/>
              <w:left w:type="dxa" w:w="100"/>
              <w:bottom w:type="dxa" w:w="60"/>
              <w:right w:type="dxa" w:w="100"/>
            </w:tcMar>
          </w:tcPr>
          <w:p>
            <w:r>
              <w:rPr>
                <w:b w:val="false"/>
                <w:bCs w:val="false"/>
                <w:sz w:val="19"/>
                <w:szCs w:val="19"/>
              </w:rPr>
              <w:t xml:space="preserve">Independent verification layer; strict PASS/FAIL against deterministic rules; generates nothing</w:t>
            </w:r>
          </w:p>
        </w:tc>
      </w:tr>
      <w:tr>
        <w:tc>
          <w:tcPr>
            <w:tcW w:type="dxa" w:w="3200"/>
            <w:shd w:fill="E4F3F1" w:val="clear"/>
            <w:tcMar>
              <w:top w:type="dxa" w:w="60"/>
              <w:left w:type="dxa" w:w="100"/>
              <w:bottom w:type="dxa" w:w="60"/>
              <w:right w:type="dxa" w:w="100"/>
            </w:tcMar>
          </w:tcPr>
          <w:p>
            <w:r>
              <w:rPr>
                <w:b w:val="false"/>
                <w:bCs w:val="false"/>
                <w:sz w:val="19"/>
                <w:szCs w:val="19"/>
              </w:rPr>
              <w:t xml:space="preserve">18 GRC/TPRM specialists</w:t>
            </w:r>
          </w:p>
        </w:tc>
        <w:tc>
          <w:tcPr>
            <w:tcW w:type="dxa" w:w="6160"/>
            <w:shd w:fill="E4F3F1" w:val="clear"/>
            <w:tcMar>
              <w:top w:type="dxa" w:w="60"/>
              <w:left w:type="dxa" w:w="100"/>
              <w:bottom w:type="dxa" w:w="60"/>
              <w:right w:type="dxa" w:w="100"/>
            </w:tcMar>
          </w:tcPr>
          <w:p>
            <w:r>
              <w:rPr>
                <w:b w:val="false"/>
                <w:bCs w:val="false"/>
                <w:sz w:val="19"/>
                <w:szCs w:val="19"/>
              </w:rPr>
              <w:t xml:space="preserve">DeepSearch OSINT, DPIA, CISO reporting/summary, Form B, cyber forum, DORA, NIS2, EU AI Act, ISO 27001, ISO 42001, TPSRCA engine, PDF analyzer, slide generators, ENX router</w:t>
            </w:r>
          </w:p>
        </w:tc>
      </w:tr>
      <w:tr>
        <w:tc>
          <w:tcPr>
            <w:tcW w:type="dxa" w:w="3200"/>
            <w:tcMar>
              <w:top w:type="dxa" w:w="60"/>
              <w:left w:type="dxa" w:w="100"/>
              <w:bottom w:type="dxa" w:w="60"/>
              <w:right w:type="dxa" w:w="100"/>
            </w:tcMar>
          </w:tcPr>
          <w:p>
            <w:r>
              <w:rPr>
                <w:b w:val="false"/>
                <w:bCs w:val="false"/>
                <w:sz w:val="19"/>
                <w:szCs w:val="19"/>
              </w:rPr>
              <w:t xml:space="preserve">4 document agents</w:t>
            </w:r>
          </w:p>
        </w:tc>
        <w:tc>
          <w:tcPr>
            <w:tcW w:type="dxa" w:w="6160"/>
            <w:tcMar>
              <w:top w:type="dxa" w:w="60"/>
              <w:left w:type="dxa" w:w="100"/>
              <w:bottom w:type="dxa" w:w="60"/>
              <w:right w:type="dxa" w:w="100"/>
            </w:tcMar>
          </w:tcPr>
          <w:p>
            <w:r>
              <w:rPr>
                <w:b w:val="false"/>
                <w:bCs w:val="false"/>
                <w:sz w:val="19"/>
                <w:szCs w:val="19"/>
              </w:rPr>
              <w:t xml:space="preserve">docx, pdf, pptx, xlsx production toolkits (code interpreter)</w:t>
            </w:r>
          </w:p>
        </w:tc>
      </w:tr>
      <w:tr>
        <w:tc>
          <w:tcPr>
            <w:tcW w:type="dxa" w:w="3200"/>
            <w:shd w:fill="E4F3F1" w:val="clear"/>
            <w:tcMar>
              <w:top w:type="dxa" w:w="60"/>
              <w:left w:type="dxa" w:w="100"/>
              <w:bottom w:type="dxa" w:w="60"/>
              <w:right w:type="dxa" w:w="100"/>
            </w:tcMar>
          </w:tcPr>
          <w:p>
            <w:r>
              <w:rPr>
                <w:b w:val="false"/>
                <w:bCs w:val="false"/>
                <w:sz w:val="19"/>
                <w:szCs w:val="19"/>
              </w:rPr>
              <w:t xml:space="preserve">Knowledge &amp; memory stores</w:t>
            </w:r>
          </w:p>
        </w:tc>
        <w:tc>
          <w:tcPr>
            <w:tcW w:type="dxa" w:w="6160"/>
            <w:shd w:fill="E4F3F1" w:val="clear"/>
            <w:tcMar>
              <w:top w:type="dxa" w:w="60"/>
              <w:left w:type="dxa" w:w="100"/>
              <w:bottom w:type="dxa" w:w="60"/>
              <w:right w:type="dxa" w:w="100"/>
            </w:tcMar>
          </w:tcPr>
          <w:p>
            <w:r>
              <w:rPr>
                <w:b w:val="false"/>
                <w:bCs w:val="false"/>
                <w:sz w:val="19"/>
                <w:szCs w:val="19"/>
              </w:rPr>
              <w:t xml:space="preserve">Per-agent vector stores, the combined store, and vs-assurance-memory (timestamped, deletable notes)</w:t>
            </w:r>
          </w:p>
        </w:tc>
      </w:tr>
      <w:tr>
        <w:tc>
          <w:tcPr>
            <w:tcW w:type="dxa" w:w="3200"/>
            <w:tcMar>
              <w:top w:type="dxa" w:w="60"/>
              <w:left w:type="dxa" w:w="100"/>
              <w:bottom w:type="dxa" w:w="60"/>
              <w:right w:type="dxa" w:w="100"/>
            </w:tcMar>
          </w:tcPr>
          <w:p>
            <w:r>
              <w:rPr>
                <w:b w:val="false"/>
                <w:bCs w:val="false"/>
                <w:sz w:val="19"/>
                <w:szCs w:val="19"/>
              </w:rPr>
              <w:t xml:space="preserve">Azure foundation</w:t>
            </w:r>
          </w:p>
        </w:tc>
        <w:tc>
          <w:tcPr>
            <w:tcW w:type="dxa" w:w="6160"/>
            <w:tcMar>
              <w:top w:type="dxa" w:w="60"/>
              <w:left w:type="dxa" w:w="100"/>
              <w:bottom w:type="dxa" w:w="60"/>
              <w:right w:type="dxa" w:w="100"/>
            </w:tcMar>
          </w:tcPr>
          <w:p>
            <w:r>
              <w:rPr>
                <w:b w:val="false"/>
                <w:bCs w:val="false"/>
                <w:sz w:val="19"/>
                <w:szCs w:val="19"/>
              </w:rPr>
              <w:t xml:space="preserve">Foundry project with gpt-4o and o3-mini deployments, Bing grounding, Key Vault-backed connections, App Insights/Log Analytics, deliverables storage</w:t>
            </w:r>
          </w:p>
        </w:tc>
      </w:tr>
    </w:tbl>
    <w:p>
      <w:pPr>
        <w:spacing w:after="200"/>
      </w:pPr>
    </w:p>
    <w:p>
      <w:pPr>
        <w:pStyle w:val="Heading2"/>
        <w:spacing w:after="120" w:before="260"/>
      </w:pPr>
      <w:r>
        <w:t xml:space="preserve">7.2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08D7F" w:val="clear"/>
            <w:tcMar>
              <w:top w:type="dxa" w:w="60"/>
              <w:left w:type="dxa" w:w="100"/>
              <w:bottom w:type="dxa" w:w="60"/>
              <w:right w:type="dxa" w:w="100"/>
            </w:tcMar>
          </w:tcPr>
          <w:p>
            <w:r>
              <w:rPr>
                <w:b/>
                <w:bCs/>
                <w:color w:val="FFFFFF"/>
                <w:sz w:val="19"/>
                <w:szCs w:val="19"/>
              </w:rPr>
              <w:t xml:space="preserve">Path</w:t>
            </w:r>
          </w:p>
        </w:tc>
        <w:tc>
          <w:tcPr>
            <w:tcW w:type="dxa" w:w="6160"/>
            <w:shd w:fill="008D7F" w:val="clear"/>
            <w:tcMar>
              <w:top w:type="dxa" w:w="60"/>
              <w:left w:type="dxa" w:w="100"/>
              <w:bottom w:type="dxa" w:w="60"/>
              <w:right w:type="dxa" w:w="100"/>
            </w:tcMar>
          </w:tcPr>
          <w:p>
            <w:r>
              <w:rPr>
                <w:b/>
                <w:bCs/>
                <w:color w:val="FFFFFF"/>
                <w:sz w:val="19"/>
                <w:szCs w:val="19"/>
              </w:rPr>
              <w:t xml:space="preserve">Contents</w:t>
            </w:r>
          </w:p>
        </w:tc>
      </w:tr>
      <w:tr>
        <w:tc>
          <w:tcPr>
            <w:tcW w:type="dxa" w:w="3200"/>
            <w:tcMar>
              <w:top w:type="dxa" w:w="60"/>
              <w:left w:type="dxa" w:w="100"/>
              <w:bottom w:type="dxa" w:w="60"/>
              <w:right w:type="dxa" w:w="100"/>
            </w:tcMar>
          </w:tcPr>
          <w:p>
            <w:r>
              <w:rPr>
                <w:b w:val="false"/>
                <w:bCs w:val="false"/>
                <w:sz w:val="19"/>
                <w:szCs w:val="19"/>
              </w:rPr>
              <w:t xml:space="preserve">claude-account-export/</w:t>
            </w:r>
          </w:p>
        </w:tc>
        <w:tc>
          <w:tcPr>
            <w:tcW w:type="dxa" w:w="6160"/>
            <w:tcMar>
              <w:top w:type="dxa" w:w="60"/>
              <w:left w:type="dxa" w:w="100"/>
              <w:bottom w:type="dxa" w:w="60"/>
              <w:right w:type="dxa" w:w="100"/>
            </w:tcMar>
          </w:tcPr>
          <w:p>
            <w:r>
              <w:rPr>
                <w:b w:val="false"/>
                <w:bCs w:val="false"/>
                <w:sz w:val="19"/>
                <w:szCs w:val="19"/>
              </w:rPr>
              <w:t xml:space="preserve">Source of truth: the complete claude.ai account export (35 skills, persona, capabilities)</w:t>
            </w:r>
          </w:p>
        </w:tc>
      </w:tr>
      <w:tr>
        <w:tc>
          <w:tcPr>
            <w:tcW w:type="dxa" w:w="3200"/>
            <w:shd w:fill="E4F3F1" w:val="clear"/>
            <w:tcMar>
              <w:top w:type="dxa" w:w="60"/>
              <w:left w:type="dxa" w:w="100"/>
              <w:bottom w:type="dxa" w:w="60"/>
              <w:right w:type="dxa" w:w="100"/>
            </w:tcMar>
          </w:tcPr>
          <w:p>
            <w:r>
              <w:rPr>
                <w:b w:val="false"/>
                <w:bCs w:val="false"/>
                <w:sz w:val="19"/>
                <w:szCs w:val="19"/>
              </w:rPr>
              <w:t xml:space="preserve">convertion/</w:t>
            </w:r>
          </w:p>
        </w:tc>
        <w:tc>
          <w:tcPr>
            <w:tcW w:type="dxa" w:w="6160"/>
            <w:shd w:fill="E4F3F1" w:val="clear"/>
            <w:tcMar>
              <w:top w:type="dxa" w:w="60"/>
              <w:left w:type="dxa" w:w="100"/>
              <w:bottom w:type="dxa" w:w="60"/>
              <w:right w:type="dxa" w:w="100"/>
            </w:tcMar>
          </w:tcPr>
          <w:p>
            <w:r>
              <w:rPr>
                <w:b w:val="false"/>
                <w:bCs w:val="false"/>
                <w:sz w:val="19"/>
                <w:szCs w:val="19"/>
              </w:rPr>
              <w:t xml:space="preserve">The conversion toolkit: scripts, infra (Bicep), setup, integrations, workflows, mcp-server, governance, ARCHITECTURE.md</w:t>
            </w:r>
          </w:p>
        </w:tc>
      </w:tr>
      <w:tr>
        <w:tc>
          <w:tcPr>
            <w:tcW w:type="dxa" w:w="3200"/>
            <w:tcMar>
              <w:top w:type="dxa" w:w="60"/>
              <w:left w:type="dxa" w:w="100"/>
              <w:bottom w:type="dxa" w:w="60"/>
              <w:right w:type="dxa" w:w="100"/>
            </w:tcMar>
          </w:tcPr>
          <w:p>
            <w:r>
              <w:rPr>
                <w:b w:val="false"/>
                <w:bCs w:val="false"/>
                <w:sz w:val="19"/>
                <w:szCs w:val="19"/>
              </w:rPr>
              <w:t xml:space="preserve">convertion/build/ (generated)</w:t>
            </w:r>
          </w:p>
        </w:tc>
        <w:tc>
          <w:tcPr>
            <w:tcW w:type="dxa" w:w="6160"/>
            <w:tcMar>
              <w:top w:type="dxa" w:w="60"/>
              <w:left w:type="dxa" w:w="100"/>
              <w:bottom w:type="dxa" w:w="60"/>
              <w:right w:type="dxa" w:w="100"/>
            </w:tcMar>
          </w:tcPr>
          <w:p>
            <w:r>
              <w:rPr>
                <w:b w:val="false"/>
                <w:bCs w:val="false"/>
                <w:sz w:val="19"/>
                <w:szCs w:val="19"/>
              </w:rPr>
              <w:t xml:space="preserve">Agent definitions produced by the converter; never edited by hand</w:t>
            </w:r>
          </w:p>
        </w:tc>
      </w:tr>
      <w:tr>
        <w:tc>
          <w:tcPr>
            <w:tcW w:type="dxa" w:w="3200"/>
            <w:shd w:fill="E4F3F1" w:val="clear"/>
            <w:tcMar>
              <w:top w:type="dxa" w:w="60"/>
              <w:left w:type="dxa" w:w="100"/>
              <w:bottom w:type="dxa" w:w="60"/>
              <w:right w:type="dxa" w:w="100"/>
            </w:tcMar>
          </w:tcPr>
          <w:p>
            <w:r>
              <w:rPr>
                <w:b w:val="false"/>
                <w:bCs w:val="false"/>
                <w:sz w:val="19"/>
                <w:szCs w:val="19"/>
              </w:rPr>
              <w:t xml:space="preserve">project-dossier/</w:t>
            </w:r>
          </w:p>
        </w:tc>
        <w:tc>
          <w:tcPr>
            <w:tcW w:type="dxa" w:w="6160"/>
            <w:shd w:fill="E4F3F1" w:val="clear"/>
            <w:tcMar>
              <w:top w:type="dxa" w:w="60"/>
              <w:left w:type="dxa" w:w="100"/>
              <w:bottom w:type="dxa" w:w="60"/>
              <w:right w:type="dxa" w:w="100"/>
            </w:tcMar>
          </w:tcPr>
          <w:p>
            <w:r>
              <w:rPr>
                <w:b w:val="false"/>
                <w:bCs w:val="false"/>
                <w:sz w:val="19"/>
                <w:szCs w:val="19"/>
              </w:rPr>
              <w:t xml:space="preserve">This document, its infographics, and their generator</w:t>
            </w:r>
          </w:p>
        </w:tc>
      </w:tr>
    </w:tbl>
    <w:p>
      <w:pPr>
        <w:pStyle w:val="Heading1"/>
        <w:spacing w:after="160" w:before="360"/>
      </w:pPr>
      <w:r>
        <w:t xml:space="preserve">8. Conversion and Deployment Pipeline</w:t>
      </w:r>
    </w:p>
    <w:p>
      <w:pPr>
        <w:spacing w:after="140"/>
        <w:jc w:val="both"/>
      </w:pPr>
      <w:r>
        <w:t xml:space="preserve">Deployment is a single gated command (deploy.sh). Each step must succeed before the next runs, and the fidelity verification sits between conversion and deployment, so definitions that drift from the claude.ai source cannot reach Azure. The same command performs re-synchronisation after a fresh export.</w:t>
      </w:r>
    </w:p>
    <w:p>
      <w:pPr>
        <w:spacing w:after="60" w:before="20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67050"/>
                    </a:xfrm>
                    <a:prstGeom prst="rect">
                      <a:avLst/>
                    </a:prstGeom>
                  </pic:spPr>
                </pic:pic>
              </a:graphicData>
            </a:graphic>
          </wp:inline>
        </w:drawing>
      </w:r>
    </w:p>
    <w:p>
      <w:pPr>
        <w:spacing w:after="240"/>
        <w:jc w:val="center"/>
      </w:pPr>
      <w:r>
        <w:rPr>
          <w:i/>
          <w:iCs/>
          <w:color w:val="5B6B69"/>
          <w:sz w:val="18"/>
          <w:szCs w:val="18"/>
        </w:rPr>
        <w:t xml:space="preserve">Figure 2 — The six-step gated pipeline with its reliability substrate</w:t>
      </w:r>
    </w:p>
    <w:p>
      <w:pPr>
        <w:pStyle w:val="ListParagraph"/>
        <w:numPr>
          <w:ilvl w:val="0"/>
          <w:numId w:val="2"/>
        </w:numPr>
        <w:spacing w:after="80"/>
      </w:pPr>
      <w:r>
        <w:rPr>
          <w:b/>
          <w:bCs/>
        </w:rPr>
        <w:t xml:space="preserve">Verification (gate 2): </w:t>
      </w:r>
      <w:r>
        <w:t xml:space="preserve">coverage of every skill, SHA-256 match of all 252 knowledge/template/script files, instruction completeness (full SKILL.md rules + persona + approval gate), and freshness markers such as the corrected DORA Art. 30 section.</w:t>
      </w:r>
    </w:p>
    <w:p>
      <w:pPr>
        <w:pStyle w:val="ListParagraph"/>
        <w:numPr>
          <w:ilvl w:val="0"/>
          <w:numId w:val="2"/>
        </w:numPr>
        <w:spacing w:after="80"/>
      </w:pPr>
      <w:r>
        <w:rPr>
          <w:b/>
          <w:bCs/>
        </w:rPr>
        <w:t xml:space="preserve">Reliability: </w:t>
      </w:r>
      <w:r>
        <w:t xml:space="preserve">exponential-backoff retries on every Azure call, 8-way parallel uploads, a content-hash cache so byte-identical files upload once, and per-agent failure isolation with a non-zero exit if anything failed.</w:t>
      </w:r>
    </w:p>
    <w:p>
      <w:pPr>
        <w:pStyle w:val="Heading1"/>
        <w:spacing w:after="160" w:before="360"/>
      </w:pPr>
      <w:r>
        <w:t xml:space="preserve">9. Workflows</w:t>
      </w:r>
    </w:p>
    <w:p>
      <w:pPr>
        <w:spacing w:after="140"/>
        <w:jc w:val="both"/>
      </w:pPr>
      <w:r>
        <w:t xml:space="preserve">Four Logic Apps workflows replace the claude.ai Routines. Every submission of record inside them suspends on a human-approval webhook (3-day expiry): the draft goes to the approver, the workflow waits for an approved/rejected callback, and rejections are recorded without submitting.</w:t>
      </w:r>
    </w:p>
    <w:p>
      <w:pPr>
        <w:spacing w:after="60" w:before="20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33850"/>
                    </a:xfrm>
                    <a:prstGeom prst="rect">
                      <a:avLst/>
                    </a:prstGeom>
                  </pic:spPr>
                </pic:pic>
              </a:graphicData>
            </a:graphic>
          </wp:inline>
        </w:drawing>
      </w:r>
    </w:p>
    <w:p>
      <w:pPr>
        <w:spacing w:after="240"/>
        <w:jc w:val="center"/>
      </w:pPr>
      <w:r>
        <w:rPr>
          <w:i/>
          <w:iCs/>
          <w:color w:val="5B6B69"/>
          <w:sz w:val="18"/>
          <w:szCs w:val="18"/>
        </w:rPr>
        <w:t xml:space="preserve">Figure 4 — The four automated workflows with their human-approval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shd w:fill="008D7F" w:val="clear"/>
            <w:tcMar>
              <w:top w:type="dxa" w:w="60"/>
              <w:left w:type="dxa" w:w="100"/>
              <w:bottom w:type="dxa" w:w="60"/>
              <w:right w:type="dxa" w:w="100"/>
            </w:tcMar>
          </w:tcPr>
          <w:p>
            <w:r>
              <w:rPr>
                <w:b/>
                <w:bCs/>
                <w:color w:val="FFFFFF"/>
                <w:sz w:val="19"/>
                <w:szCs w:val="19"/>
              </w:rPr>
              <w:t xml:space="preserve">Workflow</w:t>
            </w:r>
          </w:p>
        </w:tc>
        <w:tc>
          <w:tcPr>
            <w:tcW w:type="dxa" w:w="1800"/>
            <w:shd w:fill="008D7F" w:val="clear"/>
            <w:tcMar>
              <w:top w:type="dxa" w:w="60"/>
              <w:left w:type="dxa" w:w="100"/>
              <w:bottom w:type="dxa" w:w="60"/>
              <w:right w:type="dxa" w:w="100"/>
            </w:tcMar>
          </w:tcPr>
          <w:p>
            <w:r>
              <w:rPr>
                <w:b/>
                <w:bCs/>
                <w:color w:val="FFFFFF"/>
                <w:sz w:val="19"/>
                <w:szCs w:val="19"/>
              </w:rPr>
              <w:t xml:space="preserve">Trigger</w:t>
            </w:r>
          </w:p>
        </w:tc>
        <w:tc>
          <w:tcPr>
            <w:tcW w:type="dxa" w:w="5160"/>
            <w:shd w:fill="008D7F" w:val="clear"/>
            <w:tcMar>
              <w:top w:type="dxa" w:w="60"/>
              <w:left w:type="dxa" w:w="100"/>
              <w:bottom w:type="dxa" w:w="60"/>
              <w:right w:type="dxa" w:w="100"/>
            </w:tcMar>
          </w:tcPr>
          <w:p>
            <w:r>
              <w:rPr>
                <w:b/>
                <w:bCs/>
                <w:color w:val="FFFFFF"/>
                <w:sz w:val="19"/>
                <w:szCs w:val="19"/>
              </w:rPr>
              <w:t xml:space="preserve">Path (approval gates in bold)</w:t>
            </w:r>
          </w:p>
        </w:tc>
      </w:tr>
      <w:tr>
        <w:tc>
          <w:tcPr>
            <w:tcW w:type="dxa" w:w="2400"/>
            <w:tcMar>
              <w:top w:type="dxa" w:w="60"/>
              <w:left w:type="dxa" w:w="100"/>
              <w:bottom w:type="dxa" w:w="60"/>
              <w:right w:type="dxa" w:w="100"/>
            </w:tcMar>
          </w:tcPr>
          <w:p>
            <w:r>
              <w:rPr>
                <w:b w:val="false"/>
                <w:bCs w:val="false"/>
                <w:sz w:val="19"/>
                <w:szCs w:val="19"/>
              </w:rPr>
              <w:t xml:space="preserve">onetrust-assessment-intake</w:t>
            </w:r>
          </w:p>
        </w:tc>
        <w:tc>
          <w:tcPr>
            <w:tcW w:type="dxa" w:w="1800"/>
            <w:tcMar>
              <w:top w:type="dxa" w:w="60"/>
              <w:left w:type="dxa" w:w="100"/>
              <w:bottom w:type="dxa" w:w="60"/>
              <w:right w:type="dxa" w:w="100"/>
            </w:tcMar>
          </w:tcPr>
          <w:p>
            <w:r>
              <w:rPr>
                <w:b w:val="false"/>
                <w:bCs w:val="false"/>
                <w:sz w:val="19"/>
                <w:szCs w:val="19"/>
              </w:rPr>
              <w:t xml:space="preserve">Daily</w:t>
            </w:r>
          </w:p>
        </w:tc>
        <w:tc>
          <w:tcPr>
            <w:tcW w:type="dxa" w:w="5160"/>
            <w:tcMar>
              <w:top w:type="dxa" w:w="60"/>
              <w:left w:type="dxa" w:w="100"/>
              <w:bottom w:type="dxa" w:w="60"/>
              <w:right w:type="dxa" w:w="100"/>
            </w:tcMar>
          </w:tcPr>
          <w:p>
            <w:r>
              <w:rPr>
                <w:b w:val="false"/>
                <w:bCs w:val="false"/>
                <w:sz w:val="19"/>
                <w:szCs w:val="19"/>
              </w:rPr>
              <w:t xml:space="preserve">Fetch completed OneTrust assessments → dpia agent report → APPROVAL → SharePoint upload → Teams summary</w:t>
            </w:r>
          </w:p>
        </w:tc>
      </w:tr>
      <w:tr>
        <w:tc>
          <w:tcPr>
            <w:tcW w:type="dxa" w:w="2400"/>
            <w:shd w:fill="E4F3F1" w:val="clear"/>
            <w:tcMar>
              <w:top w:type="dxa" w:w="60"/>
              <w:left w:type="dxa" w:w="100"/>
              <w:bottom w:type="dxa" w:w="60"/>
              <w:right w:type="dxa" w:w="100"/>
            </w:tcMar>
          </w:tcPr>
          <w:p>
            <w:r>
              <w:rPr>
                <w:b w:val="false"/>
                <w:bCs w:val="false"/>
                <w:sz w:val="19"/>
                <w:szCs w:val="19"/>
              </w:rPr>
              <w:t xml:space="preserve">defender-incident-brief</w:t>
            </w:r>
          </w:p>
        </w:tc>
        <w:tc>
          <w:tcPr>
            <w:tcW w:type="dxa" w:w="1800"/>
            <w:shd w:fill="E4F3F1" w:val="clear"/>
            <w:tcMar>
              <w:top w:type="dxa" w:w="60"/>
              <w:left w:type="dxa" w:w="100"/>
              <w:bottom w:type="dxa" w:w="60"/>
              <w:right w:type="dxa" w:w="100"/>
            </w:tcMar>
          </w:tcPr>
          <w:p>
            <w:r>
              <w:rPr>
                <w:b w:val="false"/>
                <w:bCs w:val="false"/>
                <w:sz w:val="19"/>
                <w:szCs w:val="19"/>
              </w:rPr>
              <w:t xml:space="preserve">Defender/Sentinel webhook</w:t>
            </w:r>
          </w:p>
        </w:tc>
        <w:tc>
          <w:tcPr>
            <w:tcW w:type="dxa" w:w="5160"/>
            <w:shd w:fill="E4F3F1" w:val="clear"/>
            <w:tcMar>
              <w:top w:type="dxa" w:w="60"/>
              <w:left w:type="dxa" w:w="100"/>
              <w:bottom w:type="dxa" w:w="60"/>
              <w:right w:type="dxa" w:w="100"/>
            </w:tcMar>
          </w:tcPr>
          <w:p>
            <w:r>
              <w:rPr>
                <w:b w:val="false"/>
                <w:bCs w:val="false"/>
                <w:sz w:val="19"/>
                <w:szCs w:val="19"/>
              </w:rPr>
              <w:t xml:space="preserve">cyber-forum brief (immediate 200 to caller) → APPROVAL → Jira issue</w:t>
            </w:r>
          </w:p>
        </w:tc>
      </w:tr>
      <w:tr>
        <w:tc>
          <w:tcPr>
            <w:tcW w:type="dxa" w:w="2400"/>
            <w:tcMar>
              <w:top w:type="dxa" w:w="60"/>
              <w:left w:type="dxa" w:w="100"/>
              <w:bottom w:type="dxa" w:w="60"/>
              <w:right w:type="dxa" w:w="100"/>
            </w:tcMar>
          </w:tcPr>
          <w:p>
            <w:r>
              <w:rPr>
                <w:b w:val="false"/>
                <w:bCs w:val="false"/>
                <w:sz w:val="19"/>
                <w:szCs w:val="19"/>
              </w:rPr>
              <w:t xml:space="preserve">scheduled-deepsearch</w:t>
            </w:r>
          </w:p>
        </w:tc>
        <w:tc>
          <w:tcPr>
            <w:tcW w:type="dxa" w:w="1800"/>
            <w:tcMar>
              <w:top w:type="dxa" w:w="60"/>
              <w:left w:type="dxa" w:w="100"/>
              <w:bottom w:type="dxa" w:w="60"/>
              <w:right w:type="dxa" w:w="100"/>
            </w:tcMar>
          </w:tcPr>
          <w:p>
            <w:r>
              <w:rPr>
                <w:b w:val="false"/>
                <w:bCs w:val="false"/>
                <w:sz w:val="19"/>
                <w:szCs w:val="19"/>
              </w:rPr>
              <w:t xml:space="preserve">Weekly</w:t>
            </w:r>
          </w:p>
        </w:tc>
        <w:tc>
          <w:tcPr>
            <w:tcW w:type="dxa" w:w="5160"/>
            <w:tcMar>
              <w:top w:type="dxa" w:w="60"/>
              <w:left w:type="dxa" w:w="100"/>
              <w:bottom w:type="dxa" w:w="60"/>
              <w:right w:type="dxa" w:w="100"/>
            </w:tcMar>
          </w:tcPr>
          <w:p>
            <w:r>
              <w:rPr>
                <w:b w:val="false"/>
                <w:bCs w:val="false"/>
                <w:sz w:val="19"/>
                <w:szCs w:val="19"/>
              </w:rPr>
              <w:t xml:space="preserve">Supplier watchlist (SharePoint) → deepsearch agent per supplier → APPROVAL → dashboard to SharePoint → low score? → APPROVAL → Jira ticket</w:t>
            </w:r>
          </w:p>
        </w:tc>
      </w:tr>
      <w:tr>
        <w:tc>
          <w:tcPr>
            <w:tcW w:type="dxa" w:w="2400"/>
            <w:shd w:fill="E4F3F1" w:val="clear"/>
            <w:tcMar>
              <w:top w:type="dxa" w:w="60"/>
              <w:left w:type="dxa" w:w="100"/>
              <w:bottom w:type="dxa" w:w="60"/>
              <w:right w:type="dxa" w:w="100"/>
            </w:tcMar>
          </w:tcPr>
          <w:p>
            <w:r>
              <w:rPr>
                <w:b w:val="false"/>
                <w:bCs w:val="false"/>
                <w:sz w:val="19"/>
                <w:szCs w:val="19"/>
              </w:rPr>
              <w:t xml:space="preserve">jira-finding-sync</w:t>
            </w:r>
          </w:p>
        </w:tc>
        <w:tc>
          <w:tcPr>
            <w:tcW w:type="dxa" w:w="1800"/>
            <w:shd w:fill="E4F3F1" w:val="clear"/>
            <w:tcMar>
              <w:top w:type="dxa" w:w="60"/>
              <w:left w:type="dxa" w:w="100"/>
              <w:bottom w:type="dxa" w:w="60"/>
              <w:right w:type="dxa" w:w="100"/>
            </w:tcMar>
          </w:tcPr>
          <w:p>
            <w:r>
              <w:rPr>
                <w:b w:val="false"/>
                <w:bCs w:val="false"/>
                <w:sz w:val="19"/>
                <w:szCs w:val="19"/>
              </w:rPr>
              <w:t xml:space="preserve">Hourly</w:t>
            </w:r>
          </w:p>
        </w:tc>
        <w:tc>
          <w:tcPr>
            <w:tcW w:type="dxa" w:w="5160"/>
            <w:shd w:fill="E4F3F1" w:val="clear"/>
            <w:tcMar>
              <w:top w:type="dxa" w:w="60"/>
              <w:left w:type="dxa" w:w="100"/>
              <w:bottom w:type="dxa" w:w="60"/>
              <w:right w:type="dxa" w:w="100"/>
            </w:tcMar>
          </w:tcPr>
          <w:p>
            <w:r>
              <w:rPr>
                <w:b w:val="false"/>
                <w:bCs w:val="false"/>
                <w:sz w:val="19"/>
                <w:szCs w:val="19"/>
              </w:rPr>
              <w:t xml:space="preserve">JQL updated TPRM findings → APPROVAL → submit status to IAF API → Jira comment on failure</w:t>
            </w:r>
          </w:p>
        </w:tc>
      </w:tr>
    </w:tbl>
    <w:p>
      <w:pPr>
        <w:spacing w:after="200"/>
      </w:pPr>
    </w:p>
    <w:p>
      <w:pPr>
        <w:spacing w:after="140"/>
        <w:jc w:val="both"/>
      </w:pPr>
      <w:r>
        <w:t xml:space="preserve">The complete release path for any deliverable, in or out of the workflows, is:</w:t>
      </w:r>
    </w:p>
    <w:p>
      <w:pPr>
        <w:spacing w:after="60" w:before="20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90875"/>
                    </a:xfrm>
                    <a:prstGeom prst="rect">
                      <a:avLst/>
                    </a:prstGeom>
                  </pic:spPr>
                </pic:pic>
              </a:graphicData>
            </a:graphic>
          </wp:inline>
        </w:drawing>
      </w:r>
    </w:p>
    <w:p>
      <w:pPr>
        <w:spacing w:after="240"/>
        <w:jc w:val="center"/>
      </w:pPr>
      <w:r>
        <w:rPr>
          <w:i/>
          <w:iCs/>
          <w:color w:val="5B6B69"/>
          <w:sz w:val="18"/>
          <w:szCs w:val="18"/>
        </w:rPr>
        <w:t xml:space="preserve">Figure 3 — Release path: reflexive self-check → independent verifier → human approval → gated submission</w:t>
      </w:r>
    </w:p>
    <w:p>
      <w:pPr>
        <w:pStyle w:val="Heading1"/>
        <w:spacing w:after="160" w:before="360"/>
      </w:pPr>
      <w:r>
        <w:t xml:space="preserve">10. Interconnections and Integrations</w:t>
      </w:r>
    </w:p>
    <w:p>
      <w:pPr>
        <w:spacing w:after="140"/>
        <w:jc w:val="both"/>
      </w:pPr>
      <w:r>
        <w:t xml:space="preserve">Integrations are declared once in integrations/registry.json and attached per agent. Reads are broad within least-privilege scopes; writes are stripped from every agent tool and exist only inside the approval-gated workflows. Credentials live in Foundry connections backed by Key Vault; Graph integrations use dedicated Entra app registrations with admin-consented application permissions.</w:t>
      </w:r>
    </w:p>
    <w:p>
      <w:pPr>
        <w:spacing w:after="60" w:before="200"/>
        <w:jc w:val="center"/>
      </w:pPr>
      <w:r>
        <w:drawing>
          <wp:inline distT="0" distB="0" distL="0" distR="0">
            <wp:extent cx="5905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81475"/>
                    </a:xfrm>
                    <a:prstGeom prst="rect">
                      <a:avLst/>
                    </a:prstGeom>
                  </pic:spPr>
                </pic:pic>
              </a:graphicData>
            </a:graphic>
          </wp:inline>
        </w:drawing>
      </w:r>
    </w:p>
    <w:p>
      <w:pPr>
        <w:spacing w:after="240"/>
        <w:jc w:val="center"/>
      </w:pPr>
      <w:r>
        <w:rPr>
          <w:i/>
          <w:iCs/>
          <w:color w:val="5B6B69"/>
          <w:sz w:val="18"/>
          <w:szCs w:val="18"/>
        </w:rPr>
        <w:t xml:space="preserve">Figure 4 — Interconnection map across the Euronext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260"/>
      </w:tblGrid>
      <w:tr>
        <w:trPr>
          <w:tblHeader/>
        </w:trPr>
        <w:tc>
          <w:tcPr>
            <w:tcW w:type="dxa" w:w="2300"/>
            <w:shd w:fill="008D7F" w:val="clear"/>
            <w:tcMar>
              <w:top w:type="dxa" w:w="60"/>
              <w:left w:type="dxa" w:w="100"/>
              <w:bottom w:type="dxa" w:w="60"/>
              <w:right w:type="dxa" w:w="100"/>
            </w:tcMar>
          </w:tcPr>
          <w:p>
            <w:r>
              <w:rPr>
                <w:b/>
                <w:bCs/>
                <w:color w:val="FFFFFF"/>
                <w:sz w:val="19"/>
                <w:szCs w:val="19"/>
              </w:rPr>
              <w:t xml:space="preserve">System</w:t>
            </w:r>
          </w:p>
        </w:tc>
        <w:tc>
          <w:tcPr>
            <w:tcW w:type="dxa" w:w="2800"/>
            <w:shd w:fill="008D7F" w:val="clear"/>
            <w:tcMar>
              <w:top w:type="dxa" w:w="60"/>
              <w:left w:type="dxa" w:w="100"/>
              <w:bottom w:type="dxa" w:w="60"/>
              <w:right w:type="dxa" w:w="100"/>
            </w:tcMar>
          </w:tcPr>
          <w:p>
            <w:r>
              <w:rPr>
                <w:b/>
                <w:bCs/>
                <w:color w:val="FFFFFF"/>
                <w:sz w:val="19"/>
                <w:szCs w:val="19"/>
              </w:rPr>
              <w:t xml:space="preserve">Used by</w:t>
            </w:r>
          </w:p>
        </w:tc>
        <w:tc>
          <w:tcPr>
            <w:tcW w:type="dxa" w:w="4260"/>
            <w:shd w:fill="008D7F" w:val="clear"/>
            <w:tcMar>
              <w:top w:type="dxa" w:w="60"/>
              <w:left w:type="dxa" w:w="100"/>
              <w:bottom w:type="dxa" w:w="60"/>
              <w:right w:type="dxa" w:w="100"/>
            </w:tcMar>
          </w:tcPr>
          <w:p>
            <w:r>
              <w:rPr>
                <w:b/>
                <w:bCs/>
                <w:color w:val="FFFFFF"/>
                <w:sz w:val="19"/>
                <w:szCs w:val="19"/>
              </w:rPr>
              <w:t xml:space="preserve">Purpose</w:t>
            </w:r>
          </w:p>
        </w:tc>
      </w:tr>
      <w:tr>
        <w:tc>
          <w:tcPr>
            <w:tcW w:type="dxa" w:w="2300"/>
            <w:tcMar>
              <w:top w:type="dxa" w:w="60"/>
              <w:left w:type="dxa" w:w="100"/>
              <w:bottom w:type="dxa" w:w="60"/>
              <w:right w:type="dxa" w:w="100"/>
            </w:tcMar>
          </w:tcPr>
          <w:p>
            <w:r>
              <w:rPr>
                <w:b w:val="false"/>
                <w:bCs w:val="false"/>
                <w:sz w:val="19"/>
                <w:szCs w:val="19"/>
              </w:rPr>
              <w:t xml:space="preserve">Jira Cloud</w:t>
            </w:r>
          </w:p>
        </w:tc>
        <w:tc>
          <w:tcPr>
            <w:tcW w:type="dxa" w:w="2800"/>
            <w:tcMar>
              <w:top w:type="dxa" w:w="60"/>
              <w:left w:type="dxa" w:w="100"/>
              <w:bottom w:type="dxa" w:w="60"/>
              <w:right w:type="dxa" w:w="100"/>
            </w:tcMar>
          </w:tcPr>
          <w:p>
            <w:r>
              <w:rPr>
                <w:b w:val="false"/>
                <w:bCs w:val="false"/>
                <w:sz w:val="19"/>
                <w:szCs w:val="19"/>
              </w:rPr>
              <w:t xml:space="preserve">cyber-forum, ciso-reporting</w:t>
            </w:r>
          </w:p>
        </w:tc>
        <w:tc>
          <w:tcPr>
            <w:tcW w:type="dxa" w:w="4260"/>
            <w:tcMar>
              <w:top w:type="dxa" w:w="60"/>
              <w:left w:type="dxa" w:w="100"/>
              <w:bottom w:type="dxa" w:w="60"/>
              <w:right w:type="dxa" w:w="100"/>
            </w:tcMar>
          </w:tcPr>
          <w:p>
            <w:r>
              <w:rPr>
                <w:b w:val="false"/>
                <w:bCs w:val="false"/>
                <w:sz w:val="19"/>
                <w:szCs w:val="19"/>
              </w:rPr>
              <w:t xml:space="preserve">Remediation and finding tickets; JQL queries</w:t>
            </w:r>
          </w:p>
        </w:tc>
      </w:tr>
      <w:tr>
        <w:tc>
          <w:tcPr>
            <w:tcW w:type="dxa" w:w="2300"/>
            <w:shd w:fill="E4F3F1" w:val="clear"/>
            <w:tcMar>
              <w:top w:type="dxa" w:w="60"/>
              <w:left w:type="dxa" w:w="100"/>
              <w:bottom w:type="dxa" w:w="60"/>
              <w:right w:type="dxa" w:w="100"/>
            </w:tcMar>
          </w:tcPr>
          <w:p>
            <w:r>
              <w:rPr>
                <w:b w:val="false"/>
                <w:bCs w:val="false"/>
                <w:sz w:val="19"/>
                <w:szCs w:val="19"/>
              </w:rPr>
              <w:t xml:space="preserve">Jira Assets (CMDB)</w:t>
            </w:r>
          </w:p>
        </w:tc>
        <w:tc>
          <w:tcPr>
            <w:tcW w:type="dxa" w:w="2800"/>
            <w:shd w:fill="E4F3F1" w:val="clear"/>
            <w:tcMar>
              <w:top w:type="dxa" w:w="60"/>
              <w:left w:type="dxa" w:w="100"/>
              <w:bottom w:type="dxa" w:w="60"/>
              <w:right w:type="dxa" w:w="100"/>
            </w:tcMar>
          </w:tcPr>
          <w:p>
            <w:r>
              <w:rPr>
                <w:b w:val="false"/>
                <w:bCs w:val="false"/>
                <w:sz w:val="19"/>
                <w:szCs w:val="19"/>
              </w:rPr>
              <w:t xml:space="preserve">dora, tpsrca-engine</w:t>
            </w:r>
          </w:p>
        </w:tc>
        <w:tc>
          <w:tcPr>
            <w:tcW w:type="dxa" w:w="4260"/>
            <w:shd w:fill="E4F3F1" w:val="clear"/>
            <w:tcMar>
              <w:top w:type="dxa" w:w="60"/>
              <w:left w:type="dxa" w:w="100"/>
              <w:bottom w:type="dxa" w:w="60"/>
              <w:right w:type="dxa" w:w="100"/>
            </w:tcMar>
          </w:tcPr>
          <w:p>
            <w:r>
              <w:rPr>
                <w:b w:val="false"/>
                <w:bCs w:val="false"/>
                <w:sz w:val="19"/>
                <w:szCs w:val="19"/>
              </w:rPr>
              <w:t xml:space="preserve">CI/supplier/service records for the DORA Register of Information and concentration risk</w:t>
            </w:r>
          </w:p>
        </w:tc>
      </w:tr>
      <w:tr>
        <w:tc>
          <w:tcPr>
            <w:tcW w:type="dxa" w:w="2300"/>
            <w:tcMar>
              <w:top w:type="dxa" w:w="60"/>
              <w:left w:type="dxa" w:w="100"/>
              <w:bottom w:type="dxa" w:w="60"/>
              <w:right w:type="dxa" w:w="100"/>
            </w:tcMar>
          </w:tcPr>
          <w:p>
            <w:r>
              <w:rPr>
                <w:b w:val="false"/>
                <w:bCs w:val="false"/>
                <w:sz w:val="19"/>
                <w:szCs w:val="19"/>
              </w:rPr>
              <w:t xml:space="preserve">OneTrust</w:t>
            </w:r>
          </w:p>
        </w:tc>
        <w:tc>
          <w:tcPr>
            <w:tcW w:type="dxa" w:w="2800"/>
            <w:tcMar>
              <w:top w:type="dxa" w:w="60"/>
              <w:left w:type="dxa" w:w="100"/>
              <w:bottom w:type="dxa" w:w="60"/>
              <w:right w:type="dxa" w:w="100"/>
            </w:tcMar>
          </w:tcPr>
          <w:p>
            <w:r>
              <w:rPr>
                <w:b w:val="false"/>
                <w:bCs w:val="false"/>
                <w:sz w:val="19"/>
                <w:szCs w:val="19"/>
              </w:rPr>
              <w:t xml:space="preserve">dpia, form-b, ciso-reporting/summary</w:t>
            </w:r>
          </w:p>
        </w:tc>
        <w:tc>
          <w:tcPr>
            <w:tcW w:type="dxa" w:w="4260"/>
            <w:tcMar>
              <w:top w:type="dxa" w:w="60"/>
              <w:left w:type="dxa" w:w="100"/>
              <w:bottom w:type="dxa" w:w="60"/>
              <w:right w:type="dxa" w:w="100"/>
            </w:tcMar>
          </w:tcPr>
          <w:p>
            <w:r>
              <w:rPr>
                <w:b w:val="false"/>
                <w:bCs w:val="false"/>
                <w:sz w:val="19"/>
                <w:szCs w:val="19"/>
              </w:rPr>
              <w:t xml:space="preserve">Assessment and vendor-inventory retrieval, replacing manual PDF hand-off</w:t>
            </w:r>
          </w:p>
        </w:tc>
      </w:tr>
      <w:tr>
        <w:tc>
          <w:tcPr>
            <w:tcW w:type="dxa" w:w="2300"/>
            <w:shd w:fill="E4F3F1" w:val="clear"/>
            <w:tcMar>
              <w:top w:type="dxa" w:w="60"/>
              <w:left w:type="dxa" w:w="100"/>
              <w:bottom w:type="dxa" w:w="60"/>
              <w:right w:type="dxa" w:w="100"/>
            </w:tcMar>
          </w:tcPr>
          <w:p>
            <w:r>
              <w:rPr>
                <w:b w:val="false"/>
                <w:bCs w:val="false"/>
                <w:sz w:val="19"/>
                <w:szCs w:val="19"/>
              </w:rPr>
              <w:t xml:space="preserve">SecurityScorecard</w:t>
            </w:r>
          </w:p>
        </w:tc>
        <w:tc>
          <w:tcPr>
            <w:tcW w:type="dxa" w:w="2800"/>
            <w:shd w:fill="E4F3F1" w:val="clear"/>
            <w:tcMar>
              <w:top w:type="dxa" w:w="60"/>
              <w:left w:type="dxa" w:w="100"/>
              <w:bottom w:type="dxa" w:w="60"/>
              <w:right w:type="dxa" w:w="100"/>
            </w:tcMar>
          </w:tcPr>
          <w:p>
            <w:r>
              <w:rPr>
                <w:b w:val="false"/>
                <w:bCs w:val="false"/>
                <w:sz w:val="19"/>
                <w:szCs w:val="19"/>
              </w:rPr>
              <w:t xml:space="preserve">deepsearch agents, tpsrca</w:t>
            </w:r>
          </w:p>
        </w:tc>
        <w:tc>
          <w:tcPr>
            <w:tcW w:type="dxa" w:w="4260"/>
            <w:shd w:fill="E4F3F1" w:val="clear"/>
            <w:tcMar>
              <w:top w:type="dxa" w:w="60"/>
              <w:left w:type="dxa" w:w="100"/>
              <w:bottom w:type="dxa" w:w="60"/>
              <w:right w:type="dxa" w:w="100"/>
            </w:tcMar>
          </w:tcPr>
          <w:p>
            <w:r>
              <w:rPr>
                <w:b w:val="false"/>
                <w:bCs w:val="false"/>
                <w:sz w:val="19"/>
                <w:szCs w:val="19"/>
              </w:rPr>
              <w:t xml:space="preserve">External security-rating evidence</w:t>
            </w:r>
          </w:p>
        </w:tc>
      </w:tr>
      <w:tr>
        <w:tc>
          <w:tcPr>
            <w:tcW w:type="dxa" w:w="2300"/>
            <w:tcMar>
              <w:top w:type="dxa" w:w="60"/>
              <w:left w:type="dxa" w:w="100"/>
              <w:bottom w:type="dxa" w:w="60"/>
              <w:right w:type="dxa" w:w="100"/>
            </w:tcMar>
          </w:tcPr>
          <w:p>
            <w:r>
              <w:rPr>
                <w:b w:val="false"/>
                <w:bCs w:val="false"/>
                <w:sz w:val="19"/>
                <w:szCs w:val="19"/>
              </w:rPr>
              <w:t xml:space="preserve">Microsoft Defender (Graph)</w:t>
            </w:r>
          </w:p>
        </w:tc>
        <w:tc>
          <w:tcPr>
            <w:tcW w:type="dxa" w:w="2800"/>
            <w:tcMar>
              <w:top w:type="dxa" w:w="60"/>
              <w:left w:type="dxa" w:w="100"/>
              <w:bottom w:type="dxa" w:w="60"/>
              <w:right w:type="dxa" w:w="100"/>
            </w:tcMar>
          </w:tcPr>
          <w:p>
            <w:r>
              <w:rPr>
                <w:b w:val="false"/>
                <w:bCs w:val="false"/>
                <w:sz w:val="19"/>
                <w:szCs w:val="19"/>
              </w:rPr>
              <w:t xml:space="preserve">cyber-forum</w:t>
            </w:r>
          </w:p>
        </w:tc>
        <w:tc>
          <w:tcPr>
            <w:tcW w:type="dxa" w:w="4260"/>
            <w:tcMar>
              <w:top w:type="dxa" w:w="60"/>
              <w:left w:type="dxa" w:w="100"/>
              <w:bottom w:type="dxa" w:w="60"/>
              <w:right w:type="dxa" w:w="100"/>
            </w:tcMar>
          </w:tcPr>
          <w:p>
            <w:r>
              <w:rPr>
                <w:b w:val="false"/>
                <w:bCs w:val="false"/>
                <w:sz w:val="19"/>
                <w:szCs w:val="19"/>
              </w:rPr>
              <w:t xml:space="preserve">Incidents, alerts, KQL hunting, Secure Score for threat briefs</w:t>
            </w:r>
          </w:p>
        </w:tc>
      </w:tr>
      <w:tr>
        <w:tc>
          <w:tcPr>
            <w:tcW w:type="dxa" w:w="2300"/>
            <w:shd w:fill="E4F3F1" w:val="clear"/>
            <w:tcMar>
              <w:top w:type="dxa" w:w="60"/>
              <w:left w:type="dxa" w:w="100"/>
              <w:bottom w:type="dxa" w:w="60"/>
              <w:right w:type="dxa" w:w="100"/>
            </w:tcMar>
          </w:tcPr>
          <w:p>
            <w:r>
              <w:rPr>
                <w:b w:val="false"/>
                <w:bCs w:val="false"/>
                <w:sz w:val="19"/>
                <w:szCs w:val="19"/>
              </w:rPr>
              <w:t xml:space="preserve">SharePoint (Graph)</w:t>
            </w:r>
          </w:p>
        </w:tc>
        <w:tc>
          <w:tcPr>
            <w:tcW w:type="dxa" w:w="2800"/>
            <w:shd w:fill="E4F3F1" w:val="clear"/>
            <w:tcMar>
              <w:top w:type="dxa" w:w="60"/>
              <w:left w:type="dxa" w:w="100"/>
              <w:bottom w:type="dxa" w:w="60"/>
              <w:right w:type="dxa" w:w="100"/>
            </w:tcMar>
          </w:tcPr>
          <w:p>
            <w:r>
              <w:rPr>
                <w:b w:val="false"/>
                <w:bCs w:val="false"/>
                <w:sz w:val="19"/>
                <w:szCs w:val="19"/>
              </w:rPr>
              <w:t xml:space="preserve">document and reporting agents</w:t>
            </w:r>
          </w:p>
        </w:tc>
        <w:tc>
          <w:tcPr>
            <w:tcW w:type="dxa" w:w="4260"/>
            <w:shd w:fill="E4F3F1" w:val="clear"/>
            <w:tcMar>
              <w:top w:type="dxa" w:w="60"/>
              <w:left w:type="dxa" w:w="100"/>
              <w:bottom w:type="dxa" w:w="60"/>
              <w:right w:type="dxa" w:w="100"/>
            </w:tcMar>
          </w:tcPr>
          <w:p>
            <w:r>
              <w:rPr>
                <w:b w:val="false"/>
                <w:bCs w:val="false"/>
                <w:sz w:val="19"/>
                <w:szCs w:val="19"/>
              </w:rPr>
              <w:t xml:space="preserve">Evidence repository reads; publishing generated deliverables</w:t>
            </w:r>
          </w:p>
        </w:tc>
      </w:tr>
      <w:tr>
        <w:tc>
          <w:tcPr>
            <w:tcW w:type="dxa" w:w="2300"/>
            <w:tcMar>
              <w:top w:type="dxa" w:w="60"/>
              <w:left w:type="dxa" w:w="100"/>
              <w:bottom w:type="dxa" w:w="60"/>
              <w:right w:type="dxa" w:w="100"/>
            </w:tcMar>
          </w:tcPr>
          <w:p>
            <w:r>
              <w:rPr>
                <w:b w:val="false"/>
                <w:bCs w:val="false"/>
                <w:sz w:val="19"/>
                <w:szCs w:val="19"/>
              </w:rPr>
              <w:t xml:space="preserve">IAF API (template)</w:t>
            </w:r>
          </w:p>
        </w:tc>
        <w:tc>
          <w:tcPr>
            <w:tcW w:type="dxa" w:w="2800"/>
            <w:tcMar>
              <w:top w:type="dxa" w:w="60"/>
              <w:left w:type="dxa" w:w="100"/>
              <w:bottom w:type="dxa" w:w="60"/>
              <w:right w:type="dxa" w:w="100"/>
            </w:tcMar>
          </w:tcPr>
          <w:p>
            <w:r>
              <w:rPr>
                <w:b w:val="false"/>
                <w:bCs w:val="false"/>
                <w:sz w:val="19"/>
                <w:szCs w:val="19"/>
              </w:rPr>
              <w:t xml:space="preserve">dpia, dora, deepsearch, tpsrca</w:t>
            </w:r>
          </w:p>
        </w:tc>
        <w:tc>
          <w:tcPr>
            <w:tcW w:type="dxa" w:w="4260"/>
            <w:tcMar>
              <w:top w:type="dxa" w:w="60"/>
              <w:left w:type="dxa" w:w="100"/>
              <w:bottom w:type="dxa" w:w="60"/>
              <w:right w:type="dxa" w:w="100"/>
            </w:tcMar>
          </w:tcPr>
          <w:p>
            <w:r>
              <w:rPr>
                <w:b w:val="false"/>
                <w:bCs w:val="false"/>
                <w:sz w:val="19"/>
                <w:szCs w:val="19"/>
              </w:rPr>
              <w:t xml:space="preserve">Internal assurance framework; align template to the internal spec before use</w:t>
            </w:r>
          </w:p>
        </w:tc>
      </w:tr>
      <w:tr>
        <w:tc>
          <w:tcPr>
            <w:tcW w:type="dxa" w:w="2300"/>
            <w:shd w:fill="E4F3F1" w:val="clear"/>
            <w:tcMar>
              <w:top w:type="dxa" w:w="60"/>
              <w:left w:type="dxa" w:w="100"/>
              <w:bottom w:type="dxa" w:w="60"/>
              <w:right w:type="dxa" w:w="100"/>
            </w:tcMar>
          </w:tcPr>
          <w:p>
            <w:r>
              <w:rPr>
                <w:b w:val="false"/>
                <w:bCs w:val="false"/>
                <w:sz w:val="19"/>
                <w:szCs w:val="19"/>
              </w:rPr>
              <w:t xml:space="preserve">ENX Gateway MCP (template)</w:t>
            </w:r>
          </w:p>
        </w:tc>
        <w:tc>
          <w:tcPr>
            <w:tcW w:type="dxa" w:w="2800"/>
            <w:shd w:fill="E4F3F1" w:val="clear"/>
            <w:tcMar>
              <w:top w:type="dxa" w:w="60"/>
              <w:left w:type="dxa" w:w="100"/>
              <w:bottom w:type="dxa" w:w="60"/>
              <w:right w:type="dxa" w:w="100"/>
            </w:tcMar>
          </w:tcPr>
          <w:p>
            <w:r>
              <w:rPr>
                <w:b w:val="false"/>
                <w:bCs w:val="false"/>
                <w:sz w:val="19"/>
                <w:szCs w:val="19"/>
              </w:rPr>
              <w:t xml:space="preserve">control-center, deepsearch, cyber-forum</w:t>
            </w:r>
          </w:p>
        </w:tc>
        <w:tc>
          <w:tcPr>
            <w:tcW w:type="dxa" w:w="4260"/>
            <w:shd w:fill="E4F3F1" w:val="clear"/>
            <w:tcMar>
              <w:top w:type="dxa" w:w="60"/>
              <w:left w:type="dxa" w:w="100"/>
              <w:bottom w:type="dxa" w:w="60"/>
              <w:right w:type="dxa" w:w="100"/>
            </w:tcMar>
          </w:tcPr>
          <w:p>
            <w:r>
              <w:rPr>
                <w:b w:val="false"/>
                <w:bCs w:val="false"/>
                <w:sz w:val="19"/>
                <w:szCs w:val="19"/>
              </w:rPr>
              <w:t xml:space="preserve">Internal gateway tools; fill server URL and allowlist from the gateway listing</w:t>
            </w:r>
          </w:p>
        </w:tc>
      </w:tr>
      <w:tr>
        <w:tc>
          <w:tcPr>
            <w:tcW w:type="dxa" w:w="2300"/>
            <w:tcMar>
              <w:top w:type="dxa" w:w="60"/>
              <w:left w:type="dxa" w:w="100"/>
              <w:bottom w:type="dxa" w:w="60"/>
              <w:right w:type="dxa" w:w="100"/>
            </w:tcMar>
          </w:tcPr>
          <w:p>
            <w:r>
              <w:rPr>
                <w:b w:val="false"/>
                <w:bCs w:val="false"/>
                <w:sz w:val="19"/>
                <w:szCs w:val="19"/>
              </w:rPr>
              <w:t xml:space="preserve">Bing web search</w:t>
            </w:r>
          </w:p>
        </w:tc>
        <w:tc>
          <w:tcPr>
            <w:tcW w:type="dxa" w:w="2800"/>
            <w:tcMar>
              <w:top w:type="dxa" w:w="60"/>
              <w:left w:type="dxa" w:w="100"/>
              <w:bottom w:type="dxa" w:w="60"/>
              <w:right w:type="dxa" w:w="100"/>
            </w:tcMar>
          </w:tcPr>
          <w:p>
            <w:r>
              <w:rPr>
                <w:b w:val="false"/>
                <w:bCs w:val="false"/>
                <w:sz w:val="19"/>
                <w:szCs w:val="19"/>
              </w:rPr>
              <w:t xml:space="preserve">research and regulatory agents</w:t>
            </w:r>
          </w:p>
        </w:tc>
        <w:tc>
          <w:tcPr>
            <w:tcW w:type="dxa" w:w="4260"/>
            <w:tcMar>
              <w:top w:type="dxa" w:w="60"/>
              <w:left w:type="dxa" w:w="100"/>
              <w:bottom w:type="dxa" w:w="60"/>
              <w:right w:type="dxa" w:w="100"/>
            </w:tcMar>
          </w:tcPr>
          <w:p>
            <w:r>
              <w:rPr>
                <w:b w:val="false"/>
                <w:bCs w:val="false"/>
                <w:sz w:val="19"/>
                <w:szCs w:val="19"/>
              </w:rPr>
              <w:t xml:space="preserve">Grounded, cited web research</w:t>
            </w:r>
          </w:p>
        </w:tc>
      </w:tr>
      <w:tr>
        <w:tc>
          <w:tcPr>
            <w:tcW w:type="dxa" w:w="2300"/>
            <w:shd w:fill="E4F3F1" w:val="clear"/>
            <w:tcMar>
              <w:top w:type="dxa" w:w="60"/>
              <w:left w:type="dxa" w:w="100"/>
              <w:bottom w:type="dxa" w:w="60"/>
              <w:right w:type="dxa" w:w="100"/>
            </w:tcMar>
          </w:tcPr>
          <w:p>
            <w:r>
              <w:rPr>
                <w:b w:val="false"/>
                <w:bCs w:val="false"/>
                <w:sz w:val="19"/>
                <w:szCs w:val="19"/>
              </w:rPr>
              <w:t xml:space="preserve">Microsoft 365 Copilot</w:t>
            </w:r>
          </w:p>
        </w:tc>
        <w:tc>
          <w:tcPr>
            <w:tcW w:type="dxa" w:w="2800"/>
            <w:shd w:fill="E4F3F1" w:val="clear"/>
            <w:tcMar>
              <w:top w:type="dxa" w:w="60"/>
              <w:left w:type="dxa" w:w="100"/>
              <w:bottom w:type="dxa" w:w="60"/>
              <w:right w:type="dxa" w:w="100"/>
            </w:tcMar>
          </w:tcPr>
          <w:p>
            <w:r>
              <w:rPr>
                <w:b w:val="false"/>
                <w:bCs w:val="false"/>
                <w:sz w:val="19"/>
                <w:szCs w:val="19"/>
              </w:rPr>
              <w:t xml:space="preserve">Q&amp;A agents</w:t>
            </w:r>
          </w:p>
        </w:tc>
        <w:tc>
          <w:tcPr>
            <w:tcW w:type="dxa" w:w="4260"/>
            <w:shd w:fill="E4F3F1" w:val="clear"/>
            <w:tcMar>
              <w:top w:type="dxa" w:w="60"/>
              <w:left w:type="dxa" w:w="100"/>
              <w:bottom w:type="dxa" w:w="60"/>
              <w:right w:type="dxa" w:w="100"/>
            </w:tcMar>
          </w:tcPr>
          <w:p>
            <w:r>
              <w:rPr>
                <w:b w:val="false"/>
                <w:bCs w:val="false"/>
                <w:sz w:val="19"/>
                <w:szCs w:val="19"/>
              </w:rPr>
              <w:t xml:space="preserve">Team-member access from Teams/Copilot chat</w:t>
            </w:r>
          </w:p>
        </w:tc>
      </w:tr>
    </w:tbl>
    <w:p>
      <w:pPr>
        <w:pStyle w:val="Heading1"/>
        <w:spacing w:after="160" w:before="360"/>
      </w:pPr>
      <w:r>
        <w:t xml:space="preserve">11. Security and Governance</w:t>
      </w:r>
    </w:p>
    <w:p>
      <w:pPr>
        <w:pStyle w:val="Heading2"/>
        <w:spacing w:after="120" w:before="260"/>
      </w:pPr>
      <w:r>
        <w:t xml:space="preserve">11.1 Human approval — three enforced layers</w:t>
      </w:r>
    </w:p>
    <w:p>
      <w:pPr>
        <w:pStyle w:val="ListParagraph"/>
        <w:numPr>
          <w:ilvl w:val="0"/>
          <w:numId w:val="2"/>
        </w:numPr>
        <w:spacing w:after="80"/>
      </w:pPr>
      <w:r>
        <w:rPr>
          <w:b/>
          <w:bCs/>
        </w:rPr>
        <w:t xml:space="preserve">Layer 1 (technical): </w:t>
      </w:r>
      <w:r>
        <w:t xml:space="preserve">agents hold read-only tools — non-GET operations are stripped before attachment; write grants default to zero and any grant is a reviewable repository diff.</w:t>
      </w:r>
    </w:p>
    <w:p>
      <w:pPr>
        <w:pStyle w:val="ListParagraph"/>
        <w:numPr>
          <w:ilvl w:val="0"/>
          <w:numId w:val="2"/>
        </w:numPr>
        <w:spacing w:after="80"/>
      </w:pPr>
      <w:r>
        <w:rPr>
          <w:b/>
          <w:bCs/>
        </w:rPr>
        <w:t xml:space="preserve">Layer 2 (behavioural): </w:t>
      </w:r>
      <w:r>
        <w:t xml:space="preserve">every agent's instructions end with an injection-resistant APPROVAL GATE: complete draft, explicit 'approved' in-conversation, edit requests restart the cycle; nothing in retrieved documents or tool output can waive it.</w:t>
      </w:r>
    </w:p>
    <w:p>
      <w:pPr>
        <w:pStyle w:val="ListParagraph"/>
        <w:numPr>
          <w:ilvl w:val="0"/>
          <w:numId w:val="2"/>
        </w:numPr>
        <w:spacing w:after="80"/>
      </w:pPr>
      <w:r>
        <w:rPr>
          <w:b/>
          <w:bCs/>
        </w:rPr>
        <w:t xml:space="preserve">Layer 3 (procedural): </w:t>
      </w:r>
      <w:r>
        <w:t xml:space="preserve">workflow submissions suspend on approval webhooks with 3-day expiry; rejections are recorded, never submitted.</w:t>
      </w:r>
    </w:p>
    <w:p>
      <w:pPr>
        <w:pStyle w:val="Heading2"/>
        <w:spacing w:after="120" w:before="260"/>
      </w:pPr>
      <w:r>
        <w:t xml:space="preserve">11.2 Verification before approval</w:t>
      </w:r>
    </w:p>
    <w:p>
      <w:pPr>
        <w:spacing w:after="140"/>
        <w:jc w:val="both"/>
      </w:pPr>
      <w:r>
        <w:t xml:space="preserve">The output-verifier checks each deliverable draft against deterministic rules — section completeness per deliverable type, score/threshold consistency (TPRM High ≥ 7.0 / Medium ≥ 4.0; slide colour bands red ≥ 5.5 / amber ≥ 4.0), citation presence for regulatory claims, no residual placeholders, data minimisation, and approval-gate integrity — returning a strict PASS/FAIL with findings. A FAIL returns the draft to the producing agent (at most twice) before escalation.</w:t>
      </w:r>
    </w:p>
    <w:p>
      <w:pPr>
        <w:pStyle w:val="Heading2"/>
        <w:spacing w:after="120" w:before="260"/>
      </w:pPr>
      <w:r>
        <w:t xml:space="preserve">11.3 Platform security</w:t>
      </w:r>
    </w:p>
    <w:p>
      <w:pPr>
        <w:pStyle w:val="ListParagraph"/>
        <w:numPr>
          <w:ilvl w:val="0"/>
          <w:numId w:val="2"/>
        </w:numPr>
        <w:spacing w:after="80"/>
      </w:pPr>
      <w:r>
        <w:t xml:space="preserve">Entra-only authentication (local auth disabled on the Foundry account); RBAC via the Azure AI User role; managed identities for workflows and hosted MCP.</w:t>
      </w:r>
    </w:p>
    <w:p>
      <w:pPr>
        <w:pStyle w:val="ListParagraph"/>
        <w:numPr>
          <w:ilvl w:val="0"/>
          <w:numId w:val="2"/>
        </w:numPr>
        <w:spacing w:after="80"/>
      </w:pPr>
      <w:r>
        <w:t xml:space="preserve">Secrets exclusively in Key Vault-backed connections; the repository contains placeholders only (verified by secret scan).</w:t>
      </w:r>
    </w:p>
    <w:p>
      <w:pPr>
        <w:pStyle w:val="ListParagraph"/>
        <w:numPr>
          <w:ilvl w:val="0"/>
          <w:numId w:val="2"/>
        </w:numPr>
        <w:spacing w:after="80"/>
      </w:pPr>
      <w:r>
        <w:t xml:space="preserve">Azure AI content filtering applies to both model deployments; App Insights traces every run for audit; Log Analytics retention aligned to the ISMS (90 days, adjustable).</w:t>
      </w:r>
    </w:p>
    <w:p>
      <w:pPr>
        <w:pStyle w:val="ListParagraph"/>
        <w:numPr>
          <w:ilvl w:val="0"/>
          <w:numId w:val="2"/>
        </w:numPr>
        <w:spacing w:after="80"/>
      </w:pPr>
      <w:r>
        <w:t xml:space="preserve">Public network access is enabled for the pilot and should move to private endpoints for production (parameterised in the Bicep).</w:t>
      </w:r>
    </w:p>
    <w:p>
      <w:pPr>
        <w:pStyle w:val="Heading2"/>
        <w:spacing w:after="120" w:before="260"/>
      </w:pPr>
      <w:r>
        <w:t xml:space="preserve">11.4 Compliance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008D7F" w:val="clear"/>
            <w:tcMar>
              <w:top w:type="dxa" w:w="60"/>
              <w:left w:type="dxa" w:w="100"/>
              <w:bottom w:type="dxa" w:w="60"/>
              <w:right w:type="dxa" w:w="100"/>
            </w:tcMar>
          </w:tcPr>
          <w:p>
            <w:r>
              <w:rPr>
                <w:b/>
                <w:bCs/>
                <w:color w:val="FFFFFF"/>
                <w:sz w:val="19"/>
                <w:szCs w:val="19"/>
              </w:rPr>
              <w:t xml:space="preserve">Obligation</w:t>
            </w:r>
          </w:p>
        </w:tc>
        <w:tc>
          <w:tcPr>
            <w:tcW w:type="dxa" w:w="5960"/>
            <w:shd w:fill="008D7F" w:val="clear"/>
            <w:tcMar>
              <w:top w:type="dxa" w:w="60"/>
              <w:left w:type="dxa" w:w="100"/>
              <w:bottom w:type="dxa" w:w="60"/>
              <w:right w:type="dxa" w:w="100"/>
            </w:tcMar>
          </w:tcPr>
          <w:p>
            <w:r>
              <w:rPr>
                <w:b/>
                <w:bCs/>
                <w:color w:val="FFFFFF"/>
                <w:sz w:val="19"/>
                <w:szCs w:val="19"/>
              </w:rPr>
              <w:t xml:space="preserve">How it is met</w:t>
            </w:r>
          </w:p>
        </w:tc>
      </w:tr>
      <w:tr>
        <w:tc>
          <w:tcPr>
            <w:tcW w:type="dxa" w:w="3400"/>
            <w:tcMar>
              <w:top w:type="dxa" w:w="60"/>
              <w:left w:type="dxa" w:w="100"/>
              <w:bottom w:type="dxa" w:w="60"/>
              <w:right w:type="dxa" w:w="100"/>
            </w:tcMar>
          </w:tcPr>
          <w:p>
            <w:r>
              <w:rPr>
                <w:b w:val="false"/>
                <w:bCs w:val="false"/>
                <w:sz w:val="19"/>
                <w:szCs w:val="19"/>
              </w:rPr>
              <w:t xml:space="preserve">EU AI Act Art. 14 (human oversight)</w:t>
            </w:r>
          </w:p>
        </w:tc>
        <w:tc>
          <w:tcPr>
            <w:tcW w:type="dxa" w:w="5960"/>
            <w:tcMar>
              <w:top w:type="dxa" w:w="60"/>
              <w:left w:type="dxa" w:w="100"/>
              <w:bottom w:type="dxa" w:w="60"/>
              <w:right w:type="dxa" w:w="100"/>
            </w:tcMar>
          </w:tcPr>
          <w:p>
            <w:r>
              <w:rPr>
                <w:b w:val="false"/>
                <w:bCs w:val="false"/>
                <w:sz w:val="19"/>
                <w:szCs w:val="19"/>
              </w:rPr>
              <w:t xml:space="preserve">The three-layer approval control: outputs take effect only after natural-person review; workflow run history is the evidence</w:t>
            </w:r>
          </w:p>
        </w:tc>
      </w:tr>
      <w:tr>
        <w:tc>
          <w:tcPr>
            <w:tcW w:type="dxa" w:w="3400"/>
            <w:shd w:fill="E4F3F1" w:val="clear"/>
            <w:tcMar>
              <w:top w:type="dxa" w:w="60"/>
              <w:left w:type="dxa" w:w="100"/>
              <w:bottom w:type="dxa" w:w="60"/>
              <w:right w:type="dxa" w:w="100"/>
            </w:tcMar>
          </w:tcPr>
          <w:p>
            <w:r>
              <w:rPr>
                <w:b w:val="false"/>
                <w:bCs w:val="false"/>
                <w:sz w:val="19"/>
                <w:szCs w:val="19"/>
              </w:rPr>
              <w:t xml:space="preserve">EU AI Act deployer duties</w:t>
            </w:r>
          </w:p>
        </w:tc>
        <w:tc>
          <w:tcPr>
            <w:tcW w:type="dxa" w:w="5960"/>
            <w:shd w:fill="E4F3F1" w:val="clear"/>
            <w:tcMar>
              <w:top w:type="dxa" w:w="60"/>
              <w:left w:type="dxa" w:w="100"/>
              <w:bottom w:type="dxa" w:w="60"/>
              <w:right w:type="dxa" w:w="100"/>
            </w:tcMar>
          </w:tcPr>
          <w:p>
            <w:r>
              <w:rPr>
                <w:b w:val="false"/>
                <w:bCs w:val="false"/>
                <w:sz w:val="19"/>
                <w:szCs w:val="19"/>
              </w:rPr>
              <w:t xml:space="preserve">Deploying these agents makes the organisation the deployer; run the (included) eu-ai-act agent's assessment before production and record it in the AIMS</w:t>
            </w:r>
          </w:p>
        </w:tc>
      </w:tr>
      <w:tr>
        <w:tc>
          <w:tcPr>
            <w:tcW w:type="dxa" w:w="3400"/>
            <w:tcMar>
              <w:top w:type="dxa" w:w="60"/>
              <w:left w:type="dxa" w:w="100"/>
              <w:bottom w:type="dxa" w:w="60"/>
              <w:right w:type="dxa" w:w="100"/>
            </w:tcMar>
          </w:tcPr>
          <w:p>
            <w:r>
              <w:rPr>
                <w:b w:val="false"/>
                <w:bCs w:val="false"/>
                <w:sz w:val="19"/>
                <w:szCs w:val="19"/>
              </w:rPr>
              <w:t xml:space="preserve">ISO/IEC 42001 (AIMS)</w:t>
            </w:r>
          </w:p>
        </w:tc>
        <w:tc>
          <w:tcPr>
            <w:tcW w:type="dxa" w:w="5960"/>
            <w:tcMar>
              <w:top w:type="dxa" w:w="60"/>
              <w:left w:type="dxa" w:w="100"/>
              <w:bottom w:type="dxa" w:w="60"/>
              <w:right w:type="dxa" w:w="100"/>
            </w:tcMar>
          </w:tcPr>
          <w:p>
            <w:r>
              <w:rPr>
                <w:b w:val="false"/>
                <w:bCs w:val="false"/>
                <w:sz w:val="19"/>
                <w:szCs w:val="19"/>
              </w:rPr>
              <w:t xml:space="preserve">This platform enters the AIMS scope; the approval policy, verifier rules and observability are the documented Annex A controls (A.6, A.9)</w:t>
            </w:r>
          </w:p>
        </w:tc>
      </w:tr>
      <w:tr>
        <w:tc>
          <w:tcPr>
            <w:tcW w:type="dxa" w:w="3400"/>
            <w:shd w:fill="E4F3F1" w:val="clear"/>
            <w:tcMar>
              <w:top w:type="dxa" w:w="60"/>
              <w:left w:type="dxa" w:w="100"/>
              <w:bottom w:type="dxa" w:w="60"/>
              <w:right w:type="dxa" w:w="100"/>
            </w:tcMar>
          </w:tcPr>
          <w:p>
            <w:r>
              <w:rPr>
                <w:b w:val="false"/>
                <w:bCs w:val="false"/>
                <w:sz w:val="19"/>
                <w:szCs w:val="19"/>
              </w:rPr>
              <w:t xml:space="preserve">GDPR minimisation</w:t>
            </w:r>
          </w:p>
        </w:tc>
        <w:tc>
          <w:tcPr>
            <w:tcW w:type="dxa" w:w="5960"/>
            <w:shd w:fill="E4F3F1" w:val="clear"/>
            <w:tcMar>
              <w:top w:type="dxa" w:w="60"/>
              <w:left w:type="dxa" w:w="100"/>
              <w:bottom w:type="dxa" w:w="60"/>
              <w:right w:type="dxa" w:w="100"/>
            </w:tcMar>
          </w:tcPr>
          <w:p>
            <w:r>
              <w:rPr>
                <w:b w:val="false"/>
                <w:bCs w:val="false"/>
                <w:sz w:val="19"/>
                <w:szCs w:val="19"/>
              </w:rPr>
              <w:t xml:space="preserve">Durable memory holds timestamped, individually deletable notes; verifier rule 5 blocks excess personal data in deliverables; memory store in RoPA/retention schedule</w:t>
            </w:r>
          </w:p>
        </w:tc>
      </w:tr>
      <w:tr>
        <w:tc>
          <w:tcPr>
            <w:tcW w:type="dxa" w:w="3400"/>
            <w:tcMar>
              <w:top w:type="dxa" w:w="60"/>
              <w:left w:type="dxa" w:w="100"/>
              <w:bottom w:type="dxa" w:w="60"/>
              <w:right w:type="dxa" w:w="100"/>
            </w:tcMar>
          </w:tcPr>
          <w:p>
            <w:r>
              <w:rPr>
                <w:b w:val="false"/>
                <w:bCs w:val="false"/>
                <w:sz w:val="19"/>
                <w:szCs w:val="19"/>
              </w:rPr>
              <w:t xml:space="preserve">Model substitution risk</w:t>
            </w:r>
          </w:p>
        </w:tc>
        <w:tc>
          <w:tcPr>
            <w:tcW w:type="dxa" w:w="5960"/>
            <w:tcMar>
              <w:top w:type="dxa" w:w="60"/>
              <w:left w:type="dxa" w:w="100"/>
              <w:bottom w:type="dxa" w:w="60"/>
              <w:right w:type="dxa" w:w="100"/>
            </w:tcMar>
          </w:tcPr>
          <w:p>
            <w:r>
              <w:rPr>
                <w:b w:val="false"/>
                <w:bCs w:val="false"/>
                <w:sz w:val="19"/>
                <w:szCs w:val="19"/>
              </w:rPr>
              <w:t xml:space="preserve">Claude models are not available on Azure; agents run on gpt-4o/o3-mini. UAT against claude.ai baselines is the acceptance control (Phase 4); report agents carry self-check + verifier as compensating controls</w:t>
            </w:r>
          </w:p>
        </w:tc>
      </w:tr>
    </w:tbl>
    <w:p>
      <w:r>
        <w:br w:type="page"/>
      </w:r>
    </w:p>
    <w:p>
      <w:pPr>
        <w:pStyle w:val="Heading1"/>
        <w:spacing w:after="160" w:before="360"/>
      </w:pPr>
      <w:r>
        <w:t xml:space="preserve">12. Implementation Plan</w:t>
      </w:r>
    </w:p>
    <w:p>
      <w:pPr>
        <w:spacing w:after="60" w:before="200"/>
        <w:jc w:val="center"/>
      </w:pPr>
      <w:r>
        <w:drawing>
          <wp:inline distT="0" distB="0" distL="0" distR="0">
            <wp:extent cx="5905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05200"/>
                    </a:xfrm>
                    <a:prstGeom prst="rect">
                      <a:avLst/>
                    </a:prstGeom>
                  </pic:spPr>
                </pic:pic>
              </a:graphicData>
            </a:graphic>
          </wp:inline>
        </w:drawing>
      </w:r>
    </w:p>
    <w:p>
      <w:pPr>
        <w:spacing w:after="240"/>
        <w:jc w:val="center"/>
      </w:pPr>
      <w:r>
        <w:rPr>
          <w:i/>
          <w:iCs/>
          <w:color w:val="5B6B69"/>
          <w:sz w:val="18"/>
          <w:szCs w:val="18"/>
        </w:rPr>
        <w:t xml:space="preserve">Figure 5 — Five-phase roadmap with exit criteria</w:t>
      </w:r>
    </w:p>
    <w:p>
      <w:pPr>
        <w:pStyle w:val="Heading2"/>
        <w:spacing w:after="120" w:before="260"/>
      </w:pPr>
      <w:r>
        <w:t xml:space="preserve">12.1 Phases and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shd w:fill="008D7F" w:val="clear"/>
            <w:tcMar>
              <w:top w:type="dxa" w:w="60"/>
              <w:left w:type="dxa" w:w="100"/>
              <w:bottom w:type="dxa" w:w="60"/>
              <w:right w:type="dxa" w:w="100"/>
            </w:tcMar>
          </w:tcPr>
          <w:p>
            <w:r>
              <w:rPr>
                <w:b/>
                <w:bCs/>
                <w:color w:val="FFFFFF"/>
                <w:sz w:val="19"/>
                <w:szCs w:val="19"/>
              </w:rPr>
              <w:t xml:space="preserve">Phase</w:t>
            </w:r>
          </w:p>
        </w:tc>
        <w:tc>
          <w:tcPr>
            <w:tcW w:type="dxa" w:w="4260"/>
            <w:shd w:fill="008D7F" w:val="clear"/>
            <w:tcMar>
              <w:top w:type="dxa" w:w="60"/>
              <w:left w:type="dxa" w:w="100"/>
              <w:bottom w:type="dxa" w:w="60"/>
              <w:right w:type="dxa" w:w="100"/>
            </w:tcMar>
          </w:tcPr>
          <w:p>
            <w:r>
              <w:rPr>
                <w:b/>
                <w:bCs/>
                <w:color w:val="FFFFFF"/>
                <w:sz w:val="19"/>
                <w:szCs w:val="19"/>
              </w:rPr>
              <w:t xml:space="preserve">Activities</w:t>
            </w:r>
          </w:p>
        </w:tc>
        <w:tc>
          <w:tcPr>
            <w:tcW w:type="dxa" w:w="3000"/>
            <w:shd w:fill="008D7F" w:val="clear"/>
            <w:tcMar>
              <w:top w:type="dxa" w:w="60"/>
              <w:left w:type="dxa" w:w="100"/>
              <w:bottom w:type="dxa" w:w="60"/>
              <w:right w:type="dxa" w:w="100"/>
            </w:tcMar>
          </w:tcPr>
          <w:p>
            <w:r>
              <w:rPr>
                <w:b/>
                <w:bCs/>
                <w:color w:val="FFFFFF"/>
                <w:sz w:val="19"/>
                <w:szCs w:val="19"/>
              </w:rPr>
              <w:t xml:space="preserve">Exit criteria</w:t>
            </w:r>
          </w:p>
        </w:tc>
      </w:tr>
      <w:tr>
        <w:tc>
          <w:tcPr>
            <w:tcW w:type="dxa" w:w="2100"/>
            <w:tcMar>
              <w:top w:type="dxa" w:w="60"/>
              <w:left w:type="dxa" w:w="100"/>
              <w:bottom w:type="dxa" w:w="60"/>
              <w:right w:type="dxa" w:w="100"/>
            </w:tcMar>
          </w:tcPr>
          <w:p>
            <w:r>
              <w:rPr>
                <w:b w:val="false"/>
                <w:bCs w:val="false"/>
                <w:sz w:val="19"/>
                <w:szCs w:val="19"/>
              </w:rPr>
              <w:t xml:space="preserve">1 — Foundation (wk 1)</w:t>
            </w:r>
          </w:p>
        </w:tc>
        <w:tc>
          <w:tcPr>
            <w:tcW w:type="dxa" w:w="4260"/>
            <w:tcMar>
              <w:top w:type="dxa" w:w="60"/>
              <w:left w:type="dxa" w:w="100"/>
              <w:bottom w:type="dxa" w:w="60"/>
              <w:right w:type="dxa" w:w="100"/>
            </w:tcMar>
          </w:tcPr>
          <w:p>
            <w:r>
              <w:rPr>
                <w:b w:val="false"/>
                <w:bCs w:val="false"/>
                <w:sz w:val="19"/>
                <w:szCs w:val="19"/>
              </w:rPr>
              <w:t xml:space="preserve">az deployment of infra/main.bicep; Entra app registrations and admin consent; Azure AI User role grants; Key Vault population</w:t>
            </w:r>
          </w:p>
        </w:tc>
        <w:tc>
          <w:tcPr>
            <w:tcW w:type="dxa" w:w="3000"/>
            <w:tcMar>
              <w:top w:type="dxa" w:w="60"/>
              <w:left w:type="dxa" w:w="100"/>
              <w:bottom w:type="dxa" w:w="60"/>
              <w:right w:type="dxa" w:w="100"/>
            </w:tcMar>
          </w:tcPr>
          <w:p>
            <w:r>
              <w:rPr>
                <w:b w:val="false"/>
                <w:bCs w:val="false"/>
                <w:sz w:val="19"/>
                <w:szCs w:val="19"/>
              </w:rPr>
              <w:t xml:space="preserve">Infra deployed; roles effective; connections created empty</w:t>
            </w:r>
          </w:p>
        </w:tc>
      </w:tr>
      <w:tr>
        <w:tc>
          <w:tcPr>
            <w:tcW w:type="dxa" w:w="2100"/>
            <w:shd w:fill="E4F3F1" w:val="clear"/>
            <w:tcMar>
              <w:top w:type="dxa" w:w="60"/>
              <w:left w:type="dxa" w:w="100"/>
              <w:bottom w:type="dxa" w:w="60"/>
              <w:right w:type="dxa" w:w="100"/>
            </w:tcMar>
          </w:tcPr>
          <w:p>
            <w:r>
              <w:rPr>
                <w:b w:val="false"/>
                <w:bCs w:val="false"/>
                <w:sz w:val="19"/>
                <w:szCs w:val="19"/>
              </w:rPr>
              <w:t xml:space="preserve">2 — Agents (wk 2)</w:t>
            </w:r>
          </w:p>
        </w:tc>
        <w:tc>
          <w:tcPr>
            <w:tcW w:type="dxa" w:w="4260"/>
            <w:shd w:fill="E4F3F1" w:val="clear"/>
            <w:tcMar>
              <w:top w:type="dxa" w:w="60"/>
              <w:left w:type="dxa" w:w="100"/>
              <w:bottom w:type="dxa" w:w="60"/>
              <w:right w:type="dxa" w:w="100"/>
            </w:tcMar>
          </w:tcPr>
          <w:p>
            <w:r>
              <w:rPr>
                <w:b w:val="false"/>
                <w:bCs w:val="false"/>
                <w:sz w:val="19"/>
                <w:szCs w:val="19"/>
              </w:rPr>
              <w:t xml:space="preserve">deploy.sh through step 5 (agents, integrations read-only, advisor, verifier, orchestrator); smoke tests</w:t>
            </w:r>
          </w:p>
        </w:tc>
        <w:tc>
          <w:tcPr>
            <w:tcW w:type="dxa" w:w="3000"/>
            <w:shd w:fill="E4F3F1" w:val="clear"/>
            <w:tcMar>
              <w:top w:type="dxa" w:w="60"/>
              <w:left w:type="dxa" w:w="100"/>
              <w:bottom w:type="dxa" w:w="60"/>
              <w:right w:type="dxa" w:w="100"/>
            </w:tcMar>
          </w:tcPr>
          <w:p>
            <w:r>
              <w:rPr>
                <w:b w:val="false"/>
                <w:bCs w:val="false"/>
                <w:sz w:val="19"/>
                <w:szCs w:val="19"/>
              </w:rPr>
              <w:t xml:space="preserve">Verification green; 22+3 agents live; 0 write grants</w:t>
            </w:r>
          </w:p>
        </w:tc>
      </w:tr>
      <w:tr>
        <w:tc>
          <w:tcPr>
            <w:tcW w:type="dxa" w:w="2100"/>
            <w:tcMar>
              <w:top w:type="dxa" w:w="60"/>
              <w:left w:type="dxa" w:w="100"/>
              <w:bottom w:type="dxa" w:w="60"/>
              <w:right w:type="dxa" w:w="100"/>
            </w:tcMar>
          </w:tcPr>
          <w:p>
            <w:r>
              <w:rPr>
                <w:b w:val="false"/>
                <w:bCs w:val="false"/>
                <w:sz w:val="19"/>
                <w:szCs w:val="19"/>
              </w:rPr>
              <w:t xml:space="preserve">3 — Integrations (wk 3–4)</w:t>
            </w:r>
          </w:p>
        </w:tc>
        <w:tc>
          <w:tcPr>
            <w:tcW w:type="dxa" w:w="4260"/>
            <w:tcMar>
              <w:top w:type="dxa" w:w="60"/>
              <w:left w:type="dxa" w:w="100"/>
              <w:bottom w:type="dxa" w:w="60"/>
              <w:right w:type="dxa" w:w="100"/>
            </w:tcMar>
          </w:tcPr>
          <w:p>
            <w:r>
              <w:rPr>
                <w:b w:val="false"/>
                <w:bCs w:val="false"/>
                <w:sz w:val="19"/>
                <w:szCs w:val="19"/>
              </w:rPr>
              <w:t xml:space="preserve">conn-* credentials; align IAF and ENX gateway templates to internal specs; per-integration read tests</w:t>
            </w:r>
          </w:p>
        </w:tc>
        <w:tc>
          <w:tcPr>
            <w:tcW w:type="dxa" w:w="3000"/>
            <w:tcMar>
              <w:top w:type="dxa" w:w="60"/>
              <w:left w:type="dxa" w:w="100"/>
              <w:bottom w:type="dxa" w:w="60"/>
              <w:right w:type="dxa" w:w="100"/>
            </w:tcMar>
          </w:tcPr>
          <w:p>
            <w:r>
              <w:rPr>
                <w:b w:val="false"/>
                <w:bCs w:val="false"/>
                <w:sz w:val="19"/>
                <w:szCs w:val="19"/>
              </w:rPr>
              <w:t xml:space="preserve">Each integration returns live data in an agent run</w:t>
            </w:r>
          </w:p>
        </w:tc>
      </w:tr>
      <w:tr>
        <w:tc>
          <w:tcPr>
            <w:tcW w:type="dxa" w:w="2100"/>
            <w:shd w:fill="E4F3F1" w:val="clear"/>
            <w:tcMar>
              <w:top w:type="dxa" w:w="60"/>
              <w:left w:type="dxa" w:w="100"/>
              <w:bottom w:type="dxa" w:w="60"/>
              <w:right w:type="dxa" w:w="100"/>
            </w:tcMar>
          </w:tcPr>
          <w:p>
            <w:r>
              <w:rPr>
                <w:b w:val="false"/>
                <w:bCs w:val="false"/>
                <w:sz w:val="19"/>
                <w:szCs w:val="19"/>
              </w:rPr>
              <w:t xml:space="preserve">4 — Workflows &amp; UAT (wk 5)</w:t>
            </w:r>
          </w:p>
        </w:tc>
        <w:tc>
          <w:tcPr>
            <w:tcW w:type="dxa" w:w="4260"/>
            <w:shd w:fill="E4F3F1" w:val="clear"/>
            <w:tcMar>
              <w:top w:type="dxa" w:w="60"/>
              <w:left w:type="dxa" w:w="100"/>
              <w:bottom w:type="dxa" w:w="60"/>
              <w:right w:type="dxa" w:w="100"/>
            </w:tcMar>
          </w:tcPr>
          <w:p>
            <w:r>
              <w:rPr>
                <w:b w:val="false"/>
                <w:bCs w:val="false"/>
                <w:sz w:val="19"/>
                <w:szCs w:val="19"/>
              </w:rPr>
              <w:t xml:space="preserve">Deploy Logic Apps; wire approval webhooks (Teams); Copilot pilot; team UAT comparing outputs to claude.ai baselines</w:t>
            </w:r>
          </w:p>
        </w:tc>
        <w:tc>
          <w:tcPr>
            <w:tcW w:type="dxa" w:w="3000"/>
            <w:shd w:fill="E4F3F1" w:val="clear"/>
            <w:tcMar>
              <w:top w:type="dxa" w:w="60"/>
              <w:left w:type="dxa" w:w="100"/>
              <w:bottom w:type="dxa" w:w="60"/>
              <w:right w:type="dxa" w:w="100"/>
            </w:tcMar>
          </w:tcPr>
          <w:p>
            <w:r>
              <w:rPr>
                <w:b w:val="false"/>
                <w:bCs w:val="false"/>
                <w:sz w:val="19"/>
                <w:szCs w:val="19"/>
              </w:rPr>
              <w:t xml:space="preserve">Approval gates proven end-to-end; UAT sign-off</w:t>
            </w:r>
          </w:p>
        </w:tc>
      </w:tr>
      <w:tr>
        <w:tc>
          <w:tcPr>
            <w:tcW w:type="dxa" w:w="2100"/>
            <w:tcMar>
              <w:top w:type="dxa" w:w="60"/>
              <w:left w:type="dxa" w:w="100"/>
              <w:bottom w:type="dxa" w:w="60"/>
              <w:right w:type="dxa" w:w="100"/>
            </w:tcMar>
          </w:tcPr>
          <w:p>
            <w:r>
              <w:rPr>
                <w:b w:val="false"/>
                <w:bCs w:val="false"/>
                <w:sz w:val="19"/>
                <w:szCs w:val="19"/>
              </w:rPr>
              <w:t xml:space="preserve">5 — Go-live (wk 6)</w:t>
            </w:r>
          </w:p>
        </w:tc>
        <w:tc>
          <w:tcPr>
            <w:tcW w:type="dxa" w:w="4260"/>
            <w:tcMar>
              <w:top w:type="dxa" w:w="60"/>
              <w:left w:type="dxa" w:w="100"/>
              <w:bottom w:type="dxa" w:w="60"/>
              <w:right w:type="dxa" w:w="100"/>
            </w:tcMar>
          </w:tcPr>
          <w:p>
            <w:r>
              <w:rPr>
                <w:b w:val="false"/>
                <w:bCs w:val="false"/>
                <w:sz w:val="19"/>
                <w:szCs w:val="19"/>
              </w:rPr>
              <w:t xml:space="preserve">Hypercare; metrics baseline (verifier pass rate, cost, latency); ISO 42001/AI Act deployer assessment recorded</w:t>
            </w:r>
          </w:p>
        </w:tc>
        <w:tc>
          <w:tcPr>
            <w:tcW w:type="dxa" w:w="3000"/>
            <w:tcMar>
              <w:top w:type="dxa" w:w="60"/>
              <w:left w:type="dxa" w:w="100"/>
              <w:bottom w:type="dxa" w:w="60"/>
              <w:right w:type="dxa" w:w="100"/>
            </w:tcMar>
          </w:tcPr>
          <w:p>
            <w:r>
              <w:rPr>
                <w:b w:val="false"/>
                <w:bCs w:val="false"/>
                <w:sz w:val="19"/>
                <w:szCs w:val="19"/>
              </w:rPr>
              <w:t xml:space="preserve">Steering acceptance; assessment filed in AIMS</w:t>
            </w:r>
          </w:p>
        </w:tc>
      </w:tr>
    </w:tbl>
    <w:p>
      <w:pPr>
        <w:spacing w:after="200"/>
      </w:pPr>
    </w:p>
    <w:p>
      <w:pPr>
        <w:pStyle w:val="Heading2"/>
        <w:spacing w:after="120" w:before="260"/>
      </w:pPr>
      <w:r>
        <w:t xml:space="preserve">12.2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08D7F" w:val="clear"/>
            <w:tcMar>
              <w:top w:type="dxa" w:w="60"/>
              <w:left w:type="dxa" w:w="100"/>
              <w:bottom w:type="dxa" w:w="60"/>
              <w:right w:type="dxa" w:w="100"/>
            </w:tcMar>
          </w:tcPr>
          <w:p>
            <w:r>
              <w:rPr>
                <w:b/>
                <w:bCs/>
                <w:color w:val="FFFFFF"/>
                <w:sz w:val="19"/>
                <w:szCs w:val="19"/>
              </w:rPr>
              <w:t xml:space="preserve">Role</w:t>
            </w:r>
          </w:p>
        </w:tc>
        <w:tc>
          <w:tcPr>
            <w:tcW w:type="dxa" w:w="6160"/>
            <w:shd w:fill="008D7F" w:val="clear"/>
            <w:tcMar>
              <w:top w:type="dxa" w:w="60"/>
              <w:left w:type="dxa" w:w="100"/>
              <w:bottom w:type="dxa" w:w="60"/>
              <w:right w:type="dxa" w:w="100"/>
            </w:tcMar>
          </w:tcPr>
          <w:p>
            <w:r>
              <w:rPr>
                <w:b/>
                <w:bCs/>
                <w:color w:val="FFFFFF"/>
                <w:sz w:val="19"/>
                <w:szCs w:val="19"/>
              </w:rPr>
              <w:t xml:space="preserve">Responsibility</w:t>
            </w:r>
          </w:p>
        </w:tc>
      </w:tr>
      <w:tr>
        <w:tc>
          <w:tcPr>
            <w:tcW w:type="dxa" w:w="3200"/>
            <w:tcMar>
              <w:top w:type="dxa" w:w="60"/>
              <w:left w:type="dxa" w:w="100"/>
              <w:bottom w:type="dxa" w:w="60"/>
              <w:right w:type="dxa" w:w="100"/>
            </w:tcMar>
          </w:tcPr>
          <w:p>
            <w:r>
              <w:rPr>
                <w:b w:val="false"/>
                <w:bCs w:val="false"/>
                <w:sz w:val="19"/>
                <w:szCs w:val="19"/>
              </w:rPr>
              <w:t xml:space="preserve">Project owner (TPRM Lead)</w:t>
            </w:r>
          </w:p>
        </w:tc>
        <w:tc>
          <w:tcPr>
            <w:tcW w:type="dxa" w:w="6160"/>
            <w:tcMar>
              <w:top w:type="dxa" w:w="60"/>
              <w:left w:type="dxa" w:w="100"/>
              <w:bottom w:type="dxa" w:w="60"/>
              <w:right w:type="dxa" w:w="100"/>
            </w:tcMar>
          </w:tcPr>
          <w:p>
            <w:r>
              <w:rPr>
                <w:b w:val="false"/>
                <w:bCs w:val="false"/>
                <w:sz w:val="19"/>
                <w:szCs w:val="19"/>
              </w:rPr>
              <w:t xml:space="preserve">Scope, priorities, UAT acceptance, approval-policy ownership</w:t>
            </w:r>
          </w:p>
        </w:tc>
      </w:tr>
      <w:tr>
        <w:tc>
          <w:tcPr>
            <w:tcW w:type="dxa" w:w="3200"/>
            <w:shd w:fill="E4F3F1" w:val="clear"/>
            <w:tcMar>
              <w:top w:type="dxa" w:w="60"/>
              <w:left w:type="dxa" w:w="100"/>
              <w:bottom w:type="dxa" w:w="60"/>
              <w:right w:type="dxa" w:w="100"/>
            </w:tcMar>
          </w:tcPr>
          <w:p>
            <w:r>
              <w:rPr>
                <w:b w:val="false"/>
                <w:bCs w:val="false"/>
                <w:sz w:val="19"/>
                <w:szCs w:val="19"/>
              </w:rPr>
              <w:t xml:space="preserve">Azure platform engineer</w:t>
            </w:r>
          </w:p>
        </w:tc>
        <w:tc>
          <w:tcPr>
            <w:tcW w:type="dxa" w:w="6160"/>
            <w:shd w:fill="E4F3F1" w:val="clear"/>
            <w:tcMar>
              <w:top w:type="dxa" w:w="60"/>
              <w:left w:type="dxa" w:w="100"/>
              <w:bottom w:type="dxa" w:w="60"/>
              <w:right w:type="dxa" w:w="100"/>
            </w:tcMar>
          </w:tcPr>
          <w:p>
            <w:r>
              <w:rPr>
                <w:b w:val="false"/>
                <w:bCs w:val="false"/>
                <w:sz w:val="19"/>
                <w:szCs w:val="19"/>
              </w:rPr>
              <w:t xml:space="preserve">Bicep deployment, Entra/Key Vault, networking hardening</w:t>
            </w:r>
          </w:p>
        </w:tc>
      </w:tr>
      <w:tr>
        <w:tc>
          <w:tcPr>
            <w:tcW w:type="dxa" w:w="3200"/>
            <w:tcMar>
              <w:top w:type="dxa" w:w="60"/>
              <w:left w:type="dxa" w:w="100"/>
              <w:bottom w:type="dxa" w:w="60"/>
              <w:right w:type="dxa" w:w="100"/>
            </w:tcMar>
          </w:tcPr>
          <w:p>
            <w:r>
              <w:rPr>
                <w:b w:val="false"/>
                <w:bCs w:val="false"/>
                <w:sz w:val="19"/>
                <w:szCs w:val="19"/>
              </w:rPr>
              <w:t xml:space="preserve">Assurance SMEs</w:t>
            </w:r>
          </w:p>
        </w:tc>
        <w:tc>
          <w:tcPr>
            <w:tcW w:type="dxa" w:w="6160"/>
            <w:tcMar>
              <w:top w:type="dxa" w:w="60"/>
              <w:left w:type="dxa" w:w="100"/>
              <w:bottom w:type="dxa" w:w="60"/>
              <w:right w:type="dxa" w:w="100"/>
            </w:tcMar>
          </w:tcPr>
          <w:p>
            <w:r>
              <w:rPr>
                <w:b w:val="false"/>
                <w:bCs w:val="false"/>
                <w:sz w:val="19"/>
                <w:szCs w:val="19"/>
              </w:rPr>
              <w:t xml:space="preserve">UAT baselines, verifier rule tuning, memory curation</w:t>
            </w:r>
          </w:p>
        </w:tc>
      </w:tr>
      <w:tr>
        <w:tc>
          <w:tcPr>
            <w:tcW w:type="dxa" w:w="3200"/>
            <w:shd w:fill="E4F3F1" w:val="clear"/>
            <w:tcMar>
              <w:top w:type="dxa" w:w="60"/>
              <w:left w:type="dxa" w:w="100"/>
              <w:bottom w:type="dxa" w:w="60"/>
              <w:right w:type="dxa" w:w="100"/>
            </w:tcMar>
          </w:tcPr>
          <w:p>
            <w:r>
              <w:rPr>
                <w:b w:val="false"/>
                <w:bCs w:val="false"/>
                <w:sz w:val="19"/>
                <w:szCs w:val="19"/>
              </w:rPr>
              <w:t xml:space="preserve">Security architect</w:t>
            </w:r>
          </w:p>
        </w:tc>
        <w:tc>
          <w:tcPr>
            <w:tcW w:type="dxa" w:w="6160"/>
            <w:shd w:fill="E4F3F1" w:val="clear"/>
            <w:tcMar>
              <w:top w:type="dxa" w:w="60"/>
              <w:left w:type="dxa" w:w="100"/>
              <w:bottom w:type="dxa" w:w="60"/>
              <w:right w:type="dxa" w:w="100"/>
            </w:tcMar>
          </w:tcPr>
          <w:p>
            <w:r>
              <w:rPr>
                <w:b w:val="false"/>
                <w:bCs w:val="false"/>
                <w:sz w:val="19"/>
                <w:szCs w:val="19"/>
              </w:rPr>
              <w:t xml:space="preserve">Integration permission review, AI Act/ISO 42001 assessment</w:t>
            </w:r>
          </w:p>
        </w:tc>
      </w:tr>
      <w:tr>
        <w:tc>
          <w:tcPr>
            <w:tcW w:type="dxa" w:w="3200"/>
            <w:tcMar>
              <w:top w:type="dxa" w:w="60"/>
              <w:left w:type="dxa" w:w="100"/>
              <w:bottom w:type="dxa" w:w="60"/>
              <w:right w:type="dxa" w:w="100"/>
            </w:tcMar>
          </w:tcPr>
          <w:p>
            <w:r>
              <w:rPr>
                <w:b w:val="false"/>
                <w:bCs w:val="false"/>
                <w:sz w:val="19"/>
                <w:szCs w:val="19"/>
              </w:rPr>
              <w:t xml:space="preserve">Service owner (post go-live)</w:t>
            </w:r>
          </w:p>
        </w:tc>
        <w:tc>
          <w:tcPr>
            <w:tcW w:type="dxa" w:w="6160"/>
            <w:tcMar>
              <w:top w:type="dxa" w:w="60"/>
              <w:left w:type="dxa" w:w="100"/>
              <w:bottom w:type="dxa" w:w="60"/>
              <w:right w:type="dxa" w:w="100"/>
            </w:tcMar>
          </w:tcPr>
          <w:p>
            <w:r>
              <w:rPr>
                <w:b w:val="false"/>
                <w:bCs w:val="false"/>
                <w:sz w:val="19"/>
                <w:szCs w:val="19"/>
              </w:rPr>
              <w:t xml:space="preserve">Pipeline re-runs, metrics review, incident handling</w:t>
            </w:r>
          </w:p>
        </w:tc>
      </w:tr>
    </w:tbl>
    <w:p>
      <w:pPr>
        <w:spacing w:after="200"/>
      </w:pPr>
    </w:p>
    <w:p>
      <w:pPr>
        <w:pStyle w:val="Heading2"/>
        <w:spacing w:after="120" w:before="260"/>
      </w:pPr>
      <w:r>
        <w:t xml:space="preserve">12.3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shd w:fill="008D7F" w:val="clear"/>
            <w:tcMar>
              <w:top w:type="dxa" w:w="60"/>
              <w:left w:type="dxa" w:w="100"/>
              <w:bottom w:type="dxa" w:w="60"/>
              <w:right w:type="dxa" w:w="100"/>
            </w:tcMar>
          </w:tcPr>
          <w:p>
            <w:r>
              <w:rPr>
                <w:b/>
                <w:bCs/>
                <w:color w:val="FFFFFF"/>
                <w:sz w:val="19"/>
                <w:szCs w:val="19"/>
              </w:rPr>
              <w:t xml:space="preserve">Risk</w:t>
            </w:r>
          </w:p>
        </w:tc>
        <w:tc>
          <w:tcPr>
            <w:tcW w:type="dxa" w:w="1900"/>
            <w:shd w:fill="008D7F" w:val="clear"/>
            <w:tcMar>
              <w:top w:type="dxa" w:w="60"/>
              <w:left w:type="dxa" w:w="100"/>
              <w:bottom w:type="dxa" w:w="60"/>
              <w:right w:type="dxa" w:w="100"/>
            </w:tcMar>
          </w:tcPr>
          <w:p>
            <w:r>
              <w:rPr>
                <w:b/>
                <w:bCs/>
                <w:color w:val="FFFFFF"/>
                <w:sz w:val="19"/>
                <w:szCs w:val="19"/>
              </w:rPr>
              <w:t xml:space="preserve">Impact</w:t>
            </w:r>
          </w:p>
        </w:tc>
        <w:tc>
          <w:tcPr>
            <w:tcW w:type="dxa" w:w="4560"/>
            <w:shd w:fill="008D7F" w:val="clear"/>
            <w:tcMar>
              <w:top w:type="dxa" w:w="60"/>
              <w:left w:type="dxa" w:w="100"/>
              <w:bottom w:type="dxa" w:w="60"/>
              <w:right w:type="dxa" w:w="100"/>
            </w:tcMar>
          </w:tcPr>
          <w:p>
            <w:r>
              <w:rPr>
                <w:b/>
                <w:bCs/>
                <w:color w:val="FFFFFF"/>
                <w:sz w:val="19"/>
                <w:szCs w:val="19"/>
              </w:rPr>
              <w:t xml:space="preserve">Mitigation</w:t>
            </w:r>
          </w:p>
        </w:tc>
      </w:tr>
      <w:tr>
        <w:tc>
          <w:tcPr>
            <w:tcW w:type="dxa" w:w="2900"/>
            <w:tcMar>
              <w:top w:type="dxa" w:w="60"/>
              <w:left w:type="dxa" w:w="100"/>
              <w:bottom w:type="dxa" w:w="60"/>
              <w:right w:type="dxa" w:w="100"/>
            </w:tcMar>
          </w:tcPr>
          <w:p>
            <w:r>
              <w:rPr>
                <w:b w:val="false"/>
                <w:bCs w:val="false"/>
                <w:sz w:val="19"/>
                <w:szCs w:val="19"/>
              </w:rPr>
              <w:t xml:space="preserve">Model behaviour differs from Claude on report agents</w:t>
            </w:r>
          </w:p>
        </w:tc>
        <w:tc>
          <w:tcPr>
            <w:tcW w:type="dxa" w:w="1900"/>
            <w:tcMar>
              <w:top w:type="dxa" w:w="60"/>
              <w:left w:type="dxa" w:w="100"/>
              <w:bottom w:type="dxa" w:w="60"/>
              <w:right w:type="dxa" w:w="100"/>
            </w:tcMar>
          </w:tcPr>
          <w:p>
            <w:r>
              <w:rPr>
                <w:b w:val="false"/>
                <w:bCs w:val="false"/>
                <w:sz w:val="19"/>
                <w:szCs w:val="19"/>
              </w:rPr>
              <w:t xml:space="preserve">Deliverable quality</w:t>
            </w:r>
          </w:p>
        </w:tc>
        <w:tc>
          <w:tcPr>
            <w:tcW w:type="dxa" w:w="4560"/>
            <w:tcMar>
              <w:top w:type="dxa" w:w="60"/>
              <w:left w:type="dxa" w:w="100"/>
              <w:bottom w:type="dxa" w:w="60"/>
              <w:right w:type="dxa" w:w="100"/>
            </w:tcMar>
          </w:tcPr>
          <w:p>
            <w:r>
              <w:rPr>
                <w:b w:val="false"/>
                <w:bCs w:val="false"/>
                <w:sz w:val="19"/>
                <w:szCs w:val="19"/>
              </w:rPr>
              <w:t xml:space="preserve">UAT vs baselines; reflexive self-check + verifier; keep claude.ai path for affected workloads until parity is accepted</w:t>
            </w:r>
          </w:p>
        </w:tc>
      </w:tr>
      <w:tr>
        <w:tc>
          <w:tcPr>
            <w:tcW w:type="dxa" w:w="2900"/>
            <w:shd w:fill="E4F3F1" w:val="clear"/>
            <w:tcMar>
              <w:top w:type="dxa" w:w="60"/>
              <w:left w:type="dxa" w:w="100"/>
              <w:bottom w:type="dxa" w:w="60"/>
              <w:right w:type="dxa" w:w="100"/>
            </w:tcMar>
          </w:tcPr>
          <w:p>
            <w:r>
              <w:rPr>
                <w:b w:val="false"/>
                <w:bCs w:val="false"/>
                <w:sz w:val="19"/>
                <w:szCs w:val="19"/>
              </w:rPr>
              <w:t xml:space="preserve">IAF/ENX specs diverge from templates</w:t>
            </w:r>
          </w:p>
        </w:tc>
        <w:tc>
          <w:tcPr>
            <w:tcW w:type="dxa" w:w="1900"/>
            <w:shd w:fill="E4F3F1" w:val="clear"/>
            <w:tcMar>
              <w:top w:type="dxa" w:w="60"/>
              <w:left w:type="dxa" w:w="100"/>
              <w:bottom w:type="dxa" w:w="60"/>
              <w:right w:type="dxa" w:w="100"/>
            </w:tcMar>
          </w:tcPr>
          <w:p>
            <w:r>
              <w:rPr>
                <w:b w:val="false"/>
                <w:bCs w:val="false"/>
                <w:sz w:val="19"/>
                <w:szCs w:val="19"/>
              </w:rPr>
              <w:t xml:space="preserve">Integration failure</w:t>
            </w:r>
          </w:p>
        </w:tc>
        <w:tc>
          <w:tcPr>
            <w:tcW w:type="dxa" w:w="4560"/>
            <w:shd w:fill="E4F3F1" w:val="clear"/>
            <w:tcMar>
              <w:top w:type="dxa" w:w="60"/>
              <w:left w:type="dxa" w:w="100"/>
              <w:bottom w:type="dxa" w:w="60"/>
              <w:right w:type="dxa" w:w="100"/>
            </w:tcMar>
          </w:tcPr>
          <w:p>
            <w:r>
              <w:rPr>
                <w:b w:val="false"/>
                <w:bCs w:val="false"/>
                <w:sz w:val="19"/>
                <w:szCs w:val="19"/>
              </w:rPr>
              <w:t xml:space="preserve">Phase 3 alignment task with internal owners before wiring</w:t>
            </w:r>
          </w:p>
        </w:tc>
      </w:tr>
      <w:tr>
        <w:tc>
          <w:tcPr>
            <w:tcW w:type="dxa" w:w="2900"/>
            <w:tcMar>
              <w:top w:type="dxa" w:w="60"/>
              <w:left w:type="dxa" w:w="100"/>
              <w:bottom w:type="dxa" w:w="60"/>
              <w:right w:type="dxa" w:w="100"/>
            </w:tcMar>
          </w:tcPr>
          <w:p>
            <w:r>
              <w:rPr>
                <w:b w:val="false"/>
                <w:bCs w:val="false"/>
                <w:sz w:val="19"/>
                <w:szCs w:val="19"/>
              </w:rPr>
              <w:t xml:space="preserve">Approval fatigue weakens the human gate</w:t>
            </w:r>
          </w:p>
        </w:tc>
        <w:tc>
          <w:tcPr>
            <w:tcW w:type="dxa" w:w="1900"/>
            <w:tcMar>
              <w:top w:type="dxa" w:w="60"/>
              <w:left w:type="dxa" w:w="100"/>
              <w:bottom w:type="dxa" w:w="60"/>
              <w:right w:type="dxa" w:w="100"/>
            </w:tcMar>
          </w:tcPr>
          <w:p>
            <w:r>
              <w:rPr>
                <w:b w:val="false"/>
                <w:bCs w:val="false"/>
                <w:sz w:val="19"/>
                <w:szCs w:val="19"/>
              </w:rPr>
              <w:t xml:space="preserve">Control erosion</w:t>
            </w:r>
          </w:p>
        </w:tc>
        <w:tc>
          <w:tcPr>
            <w:tcW w:type="dxa" w:w="4560"/>
            <w:tcMar>
              <w:top w:type="dxa" w:w="60"/>
              <w:left w:type="dxa" w:w="100"/>
              <w:bottom w:type="dxa" w:w="60"/>
              <w:right w:type="dxa" w:w="100"/>
            </w:tcMar>
          </w:tcPr>
          <w:p>
            <w:r>
              <w:rPr>
                <w:b w:val="false"/>
                <w:bCs w:val="false"/>
                <w:sz w:val="19"/>
                <w:szCs w:val="19"/>
              </w:rPr>
              <w:t xml:space="preserve">Verifier reduces noise reaching approvers; monthly metric review of approval/rework rates</w:t>
            </w:r>
          </w:p>
        </w:tc>
      </w:tr>
      <w:tr>
        <w:tc>
          <w:tcPr>
            <w:tcW w:type="dxa" w:w="2900"/>
            <w:shd w:fill="E4F3F1" w:val="clear"/>
            <w:tcMar>
              <w:top w:type="dxa" w:w="60"/>
              <w:left w:type="dxa" w:w="100"/>
              <w:bottom w:type="dxa" w:w="60"/>
              <w:right w:type="dxa" w:w="100"/>
            </w:tcMar>
          </w:tcPr>
          <w:p>
            <w:r>
              <w:rPr>
                <w:b w:val="false"/>
                <w:bCs w:val="false"/>
                <w:sz w:val="19"/>
                <w:szCs w:val="19"/>
              </w:rPr>
              <w:t xml:space="preserve">azure-ai-projects SDK drift</w:t>
            </w:r>
          </w:p>
        </w:tc>
        <w:tc>
          <w:tcPr>
            <w:tcW w:type="dxa" w:w="1900"/>
            <w:shd w:fill="E4F3F1" w:val="clear"/>
            <w:tcMar>
              <w:top w:type="dxa" w:w="60"/>
              <w:left w:type="dxa" w:w="100"/>
              <w:bottom w:type="dxa" w:w="60"/>
              <w:right w:type="dxa" w:w="100"/>
            </w:tcMar>
          </w:tcPr>
          <w:p>
            <w:r>
              <w:rPr>
                <w:b w:val="false"/>
                <w:bCs w:val="false"/>
                <w:sz w:val="19"/>
                <w:szCs w:val="19"/>
              </w:rPr>
              <w:t xml:space="preserve">Pipeline breakage</w:t>
            </w:r>
          </w:p>
        </w:tc>
        <w:tc>
          <w:tcPr>
            <w:tcW w:type="dxa" w:w="4560"/>
            <w:shd w:fill="E4F3F1" w:val="clear"/>
            <w:tcMar>
              <w:top w:type="dxa" w:w="60"/>
              <w:left w:type="dxa" w:w="100"/>
              <w:bottom w:type="dxa" w:w="60"/>
              <w:right w:type="dxa" w:w="100"/>
            </w:tcMar>
          </w:tcPr>
          <w:p>
            <w:r>
              <w:rPr>
                <w:b w:val="false"/>
                <w:bCs w:val="false"/>
                <w:sz w:val="19"/>
                <w:szCs w:val="19"/>
              </w:rPr>
              <w:t xml:space="preserve">Pinned versions; dry-run rehearsal before every deployment</w:t>
            </w:r>
          </w:p>
        </w:tc>
      </w:tr>
      <w:tr>
        <w:tc>
          <w:tcPr>
            <w:tcW w:type="dxa" w:w="2900"/>
            <w:tcMar>
              <w:top w:type="dxa" w:w="60"/>
              <w:left w:type="dxa" w:w="100"/>
              <w:bottom w:type="dxa" w:w="60"/>
              <w:right w:type="dxa" w:w="100"/>
            </w:tcMar>
          </w:tcPr>
          <w:p>
            <w:r>
              <w:rPr>
                <w:b w:val="false"/>
                <w:bCs w:val="false"/>
                <w:sz w:val="19"/>
                <w:szCs w:val="19"/>
              </w:rPr>
              <w:t xml:space="preserve">Knowledge drift after claude.ai edits</w:t>
            </w:r>
          </w:p>
        </w:tc>
        <w:tc>
          <w:tcPr>
            <w:tcW w:type="dxa" w:w="1900"/>
            <w:tcMar>
              <w:top w:type="dxa" w:w="60"/>
              <w:left w:type="dxa" w:w="100"/>
              <w:bottom w:type="dxa" w:w="60"/>
              <w:right w:type="dxa" w:w="100"/>
            </w:tcMar>
          </w:tcPr>
          <w:p>
            <w:r>
              <w:rPr>
                <w:b w:val="false"/>
                <w:bCs w:val="false"/>
                <w:sz w:val="19"/>
                <w:szCs w:val="19"/>
              </w:rPr>
              <w:t xml:space="preserve">Stale agents</w:t>
            </w:r>
          </w:p>
        </w:tc>
        <w:tc>
          <w:tcPr>
            <w:tcW w:type="dxa" w:w="4560"/>
            <w:tcMar>
              <w:top w:type="dxa" w:w="60"/>
              <w:left w:type="dxa" w:w="100"/>
              <w:bottom w:type="dxa" w:w="60"/>
              <w:right w:type="dxa" w:w="100"/>
            </w:tcMar>
          </w:tcPr>
          <w:p>
            <w:r>
              <w:rPr>
                <w:b w:val="false"/>
                <w:bCs w:val="false"/>
                <w:sz w:val="19"/>
                <w:szCs w:val="19"/>
              </w:rPr>
              <w:t xml:space="preserve">Re-export → deploy.sh; verification fails loudly on drift</w:t>
            </w:r>
          </w:p>
        </w:tc>
      </w:tr>
    </w:tbl>
    <w:p>
      <w:pPr>
        <w:pStyle w:val="Heading1"/>
        <w:spacing w:after="160" w:before="360"/>
      </w:pPr>
      <w:r>
        <w:t xml:space="preserve">13. Operations and Maintenance</w:t>
      </w:r>
    </w:p>
    <w:p>
      <w:pPr>
        <w:pStyle w:val="ListParagraph"/>
        <w:numPr>
          <w:ilvl w:val="0"/>
          <w:numId w:val="2"/>
        </w:numPr>
        <w:spacing w:after="80"/>
      </w:pPr>
      <w:r>
        <w:t xml:space="preserve">Re-synchronisation: refresh claude-account-export/ from a new claude.ai export, run ./deploy.sh — verification gates everything.</w:t>
      </w:r>
    </w:p>
    <w:p>
      <w:pPr>
        <w:pStyle w:val="ListParagraph"/>
        <w:numPr>
          <w:ilvl w:val="0"/>
          <w:numId w:val="2"/>
        </w:numPr>
        <w:spacing w:after="80"/>
      </w:pPr>
      <w:r>
        <w:t xml:space="preserve">Memory hygiene: review vs-assurance-memory monthly; delete stale or over-scoped notes (memory_store.py list / delete).</w:t>
      </w:r>
    </w:p>
    <w:p>
      <w:pPr>
        <w:pStyle w:val="ListParagraph"/>
        <w:numPr>
          <w:ilvl w:val="0"/>
          <w:numId w:val="2"/>
        </w:numPr>
        <w:spacing w:after="80"/>
      </w:pPr>
      <w:r>
        <w:t xml:space="preserve">Metrics: verifier first-pass rate, approval vs rework, cost and latency per deliverable — reviewed in the ISMS operating rhythm.</w:t>
      </w:r>
    </w:p>
    <w:p>
      <w:pPr>
        <w:pStyle w:val="ListParagraph"/>
        <w:numPr>
          <w:ilvl w:val="0"/>
          <w:numId w:val="2"/>
        </w:numPr>
        <w:spacing w:after="80"/>
      </w:pPr>
      <w:r>
        <w:t xml:space="preserve">Access: joiners/leavers via Entra role assignment only; MCP local access follows az login identity automatically.</w:t>
      </w:r>
    </w:p>
    <w:p>
      <w:pPr>
        <w:pStyle w:val="ListParagraph"/>
        <w:numPr>
          <w:ilvl w:val="0"/>
          <w:numId w:val="2"/>
        </w:numPr>
        <w:spacing w:after="80"/>
      </w:pPr>
      <w:r>
        <w:t xml:space="preserve">Change control: every behavioural change is a repository diff (instructions, registry, workflows) — reviewable, revertible, auditable.</w:t>
      </w:r>
    </w:p>
    <w:p>
      <w:pPr>
        <w:pStyle w:val="Heading1"/>
        <w:spacing w:after="160" w:before="360"/>
      </w:pPr>
      <w:r>
        <w:t xml:space="preserve">Appendix A — References</w:t>
      </w:r>
    </w:p>
    <w:p>
      <w:pPr>
        <w:pStyle w:val="ListParagraph"/>
        <w:numPr>
          <w:ilvl w:val="0"/>
          <w:numId w:val="2"/>
        </w:numPr>
        <w:spacing w:after="80"/>
      </w:pPr>
      <w:r>
        <w:t xml:space="preserve">convertion/README.md — conversion guide and deployment steps</w:t>
      </w:r>
    </w:p>
    <w:p>
      <w:pPr>
        <w:pStyle w:val="ListParagraph"/>
        <w:numPr>
          <w:ilvl w:val="0"/>
          <w:numId w:val="2"/>
        </w:numPr>
        <w:spacing w:after="80"/>
      </w:pPr>
      <w:r>
        <w:t xml:space="preserve">convertion/ARCHITECTURE.md — design-pattern mapping and guardrails</w:t>
      </w:r>
    </w:p>
    <w:p>
      <w:pPr>
        <w:pStyle w:val="ListParagraph"/>
        <w:numPr>
          <w:ilvl w:val="0"/>
          <w:numId w:val="2"/>
        </w:numPr>
        <w:spacing w:after="80"/>
      </w:pPr>
      <w:r>
        <w:t xml:space="preserve">convertion/MAPPING.md — per-skill conversion table (all 35 skills)</w:t>
      </w:r>
    </w:p>
    <w:p>
      <w:pPr>
        <w:pStyle w:val="ListParagraph"/>
        <w:numPr>
          <w:ilvl w:val="0"/>
          <w:numId w:val="2"/>
        </w:numPr>
        <w:spacing w:after="80"/>
      </w:pPr>
      <w:r>
        <w:t xml:space="preserve">convertion/governance/HUMAN_APPROVAL.md — the approval policy and compliance mapping</w:t>
      </w:r>
    </w:p>
    <w:p>
      <w:pPr>
        <w:pStyle w:val="ListParagraph"/>
        <w:numPr>
          <w:ilvl w:val="0"/>
          <w:numId w:val="2"/>
        </w:numPr>
        <w:spacing w:after="80"/>
      </w:pPr>
      <w:r>
        <w:t xml:space="preserve">convertion/integrations/README.md and registry.json — integration layer</w:t>
      </w:r>
    </w:p>
    <w:p>
      <w:pPr>
        <w:pStyle w:val="ListParagraph"/>
        <w:numPr>
          <w:ilvl w:val="0"/>
          <w:numId w:val="2"/>
        </w:numPr>
        <w:spacing w:after="80"/>
      </w:pPr>
      <w:r>
        <w:t xml:space="preserve">convertion/workflows/README.md — workflow deployment and approval wiring</w:t>
      </w:r>
    </w:p>
    <w:p>
      <w:pPr>
        <w:pStyle w:val="ListParagraph"/>
        <w:numPr>
          <w:ilvl w:val="0"/>
          <w:numId w:val="2"/>
        </w:numPr>
        <w:spacing w:after="80"/>
      </w:pPr>
      <w:r>
        <w:t xml:space="preserve">convertion/mcp-server/README.md — MCP access for team members</w:t>
      </w:r>
    </w:p>
    <w:p>
      <w:pPr>
        <w:pStyle w:val="ListParagraph"/>
        <w:numPr>
          <w:ilvl w:val="0"/>
          <w:numId w:val="2"/>
        </w:numPr>
        <w:spacing w:after="80"/>
      </w:pPr>
      <w:r>
        <w:t xml:space="preserve">claude-account-export/README.md — the source-of-truth export inventory</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69"/>
        <w:sz w:val="16"/>
        <w:szCs w:val="16"/>
      </w:rPr>
      <w:t xml:space="preserve">InfoSec Assurance Agent Platform — Project Dossier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008D7F"/>
      <w:sz w:val="30"/>
      <w:szCs w:val="30"/>
    </w:rPr>
  </w:style>
  <w:style w:type="paragraph" w:styleId="Heading2">
    <w:name w:val="Heading 2"/>
    <w:basedOn w:val="Normal"/>
    <w:next w:val="Normal"/>
    <w:qFormat/>
    <w:pPr>
      <w:spacing w:after="120" w:before="260"/>
    </w:pPr>
    <w:rPr>
      <w:rFonts w:ascii="Calibri" w:cs="Calibri" w:eastAsia="Calibri" w:hAnsi="Calibri"/>
      <w:b/>
      <w:bCs/>
      <w:color w:val="0B3B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4ad37dc4f335408688a0603bb8d7fb3d38691c.png"/><Relationship Id="rId10" Type="http://schemas.openxmlformats.org/officeDocument/2006/relationships/image" Target="media/765fc8bcf4d5ed4b91b7c22c7ac89e5ffd562c8b.png"/><Relationship Id="rId11" Type="http://schemas.openxmlformats.org/officeDocument/2006/relationships/image" Target="media/01e74aca9ea77dd2beef0ed1e57c2e21bd8f388a.png"/><Relationship Id="rId12" Type="http://schemas.openxmlformats.org/officeDocument/2006/relationships/image" Target="media/28ecdde397d6b37f22f1fdc546778a7b5feaa36d.png"/><Relationship Id="rId13" Type="http://schemas.openxmlformats.org/officeDocument/2006/relationships/image" Target="media/57bb0a59447b9a3cf838619eefa900cfc321206d.png"/><Relationship Id="rId14" Type="http://schemas.openxmlformats.org/officeDocument/2006/relationships/image" Target="media/9b0ddcefe757753c55875d6ba120033791fcb6c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2026-09-11T22:33:57.872Z</dcterms:created>
  <dcterms:modified xsi:type="dcterms:W3CDTF">2026-09-11T22:33:57.872Z</dcterms:modified>
</cp:coreProperties>
</file>

<file path=docProps/custom.xml><?xml version="1.0" encoding="utf-8"?>
<Properties xmlns="http://schemas.openxmlformats.org/officeDocument/2006/custom-properties" xmlns:vt="http://schemas.openxmlformats.org/officeDocument/2006/docPropsVTypes"/>
</file>