
<file path=[Content_Types].xml><?xml version="1.0" encoding="utf-8"?>
<Types xmlns="http://schemas.openxmlformats.org/package/2006/content-types">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E52B349" w14:textId="77777777" w:rsidR="001438C7" w:rsidRDefault="00E2360A">
      <w:pPr>
        <w:pStyle w:val="Heading1"/>
      </w:pPr>
      <w:bookmarkStart w:id="0" w:name="charting-plugin"/>
      <w:r>
        <w:t>Charting Plugin</w:t>
      </w:r>
    </w:p>
    <w:p w14:paraId="45B4E417" w14:textId="11ABE4F0" w:rsidR="001438C7" w:rsidRDefault="00E2360A">
      <w:pPr>
        <w:pStyle w:val="FirstParagraph"/>
      </w:pPr>
      <w:r>
        <w:t>The Chart plugin provides extra visualization options for the analysis of data rich datasets. The plugin provides three primary options for dynamic data visualization each with different customizations available. Optionally,</w:t>
      </w:r>
      <w:r w:rsidR="004C5A8A">
        <w:t xml:space="preserve"> </w:t>
      </w:r>
      <w:r w:rsidR="00FF6C9B">
        <w:t xml:space="preserve">a </w:t>
      </w:r>
      <w:r>
        <w:t>customized detail panel</w:t>
      </w:r>
      <w:r w:rsidR="004C5A8A">
        <w:t xml:space="preserve"> can be used</w:t>
      </w:r>
      <w:r>
        <w:t xml:space="preserve"> to show useful data. It can take links, images and data from the feature. It is based on the Markdown notation and uses Showdown library to parse the markdown from the configuration file to the details panel.</w:t>
      </w:r>
    </w:p>
    <w:p w14:paraId="479F27D6" w14:textId="77777777" w:rsidR="001438C7" w:rsidRDefault="00E2360A">
      <w:pPr>
        <w:pStyle w:val="BodyText"/>
      </w:pPr>
      <w:r>
        <w:t>The charting options are:</w:t>
      </w:r>
    </w:p>
    <w:p w14:paraId="3FC822A5" w14:textId="77777777" w:rsidR="001438C7" w:rsidRDefault="0077128D">
      <w:pPr>
        <w:pStyle w:val="Compact"/>
        <w:numPr>
          <w:ilvl w:val="0"/>
          <w:numId w:val="2"/>
        </w:numPr>
      </w:pPr>
      <w:hyperlink r:id="rId7">
        <w:r w:rsidR="00E2360A">
          <w:rPr>
            <w:rStyle w:val="Hyperlink"/>
          </w:rPr>
          <w:t>Pie Chart</w:t>
        </w:r>
      </w:hyperlink>
    </w:p>
    <w:p w14:paraId="7BE5EEFA" w14:textId="77777777" w:rsidR="001438C7" w:rsidRDefault="0077128D">
      <w:pPr>
        <w:pStyle w:val="Compact"/>
        <w:numPr>
          <w:ilvl w:val="0"/>
          <w:numId w:val="2"/>
        </w:numPr>
      </w:pPr>
      <w:hyperlink r:id="rId8">
        <w:r w:rsidR="00E2360A">
          <w:rPr>
            <w:rStyle w:val="Hyperlink"/>
          </w:rPr>
          <w:t>Bar Chart</w:t>
        </w:r>
      </w:hyperlink>
    </w:p>
    <w:p w14:paraId="3F0DE142" w14:textId="77777777" w:rsidR="001438C7" w:rsidRDefault="0077128D">
      <w:pPr>
        <w:pStyle w:val="Compact"/>
        <w:numPr>
          <w:ilvl w:val="0"/>
          <w:numId w:val="2"/>
        </w:numPr>
      </w:pPr>
      <w:hyperlink r:id="rId9">
        <w:r w:rsidR="00E2360A">
          <w:rPr>
            <w:rStyle w:val="Hyperlink"/>
          </w:rPr>
          <w:t>Line Chart</w:t>
        </w:r>
      </w:hyperlink>
    </w:p>
    <w:p w14:paraId="1287854F" w14:textId="77777777" w:rsidR="001438C7" w:rsidRDefault="00E2360A">
      <w:pPr>
        <w:pStyle w:val="FirstParagraph"/>
      </w:pPr>
      <w:r>
        <w:t>Data rich datasets can be overwhelming to view in the standard table view. Having a clean and concise way to communicate the data allows for more interactivity with users. The Charting plugin gives the ability to do just that, however, each chart is used for specific circumstances to ensure a straightforward and clean representation.</w:t>
      </w:r>
    </w:p>
    <w:p w14:paraId="7411E37D" w14:textId="77777777" w:rsidR="001438C7" w:rsidRDefault="00E2360A">
      <w:pPr>
        <w:pStyle w:val="BodyText"/>
      </w:pPr>
      <w:r>
        <w:t>The plugin works with the following mapping services:</w:t>
      </w:r>
    </w:p>
    <w:p w14:paraId="6D5130A9" w14:textId="77777777" w:rsidR="001438C7" w:rsidRDefault="00E2360A">
      <w:pPr>
        <w:pStyle w:val="Compact"/>
        <w:numPr>
          <w:ilvl w:val="0"/>
          <w:numId w:val="3"/>
        </w:numPr>
      </w:pPr>
      <w:r>
        <w:t>ESRI Feature</w:t>
      </w:r>
    </w:p>
    <w:p w14:paraId="5EC4C625" w14:textId="77777777" w:rsidR="001438C7" w:rsidRDefault="00E2360A">
      <w:pPr>
        <w:pStyle w:val="Compact"/>
        <w:numPr>
          <w:ilvl w:val="0"/>
          <w:numId w:val="3"/>
        </w:numPr>
      </w:pPr>
      <w:r>
        <w:t>ESRI Dynamic</w:t>
      </w:r>
    </w:p>
    <w:p w14:paraId="3DF251EF" w14:textId="77777777" w:rsidR="001438C7" w:rsidRDefault="00E2360A">
      <w:pPr>
        <w:pStyle w:val="FirstParagraph"/>
      </w:pPr>
      <w:r>
        <w:t xml:space="preserve">More information on Web map services can be found </w:t>
      </w:r>
      <w:hyperlink r:id="rId10">
        <w:r>
          <w:rPr>
            <w:rStyle w:val="Hyperlink"/>
          </w:rPr>
          <w:t>here.</w:t>
        </w:r>
      </w:hyperlink>
    </w:p>
    <w:p w14:paraId="143E0529" w14:textId="1BE29CF2" w:rsidR="001438C7" w:rsidRDefault="009C182C" w:rsidP="009C182C">
      <w:pPr>
        <w:pStyle w:val="Heading2"/>
      </w:pPr>
      <w:r>
        <w:t>Charting Large Datasets</w:t>
      </w:r>
      <w:r w:rsidR="006D12C9">
        <w:t xml:space="preserve"> Using Linked Tables</w:t>
      </w:r>
    </w:p>
    <w:p w14:paraId="07E784C8" w14:textId="7F7B13B8" w:rsidR="009C182C" w:rsidRDefault="009C182C">
      <w:pPr>
        <w:pStyle w:val="BodyText"/>
        <w:rPr>
          <w:b/>
        </w:rPr>
      </w:pPr>
      <w:r>
        <w:rPr>
          <w:b/>
        </w:rPr>
        <w:t>The Challenge</w:t>
      </w:r>
    </w:p>
    <w:p w14:paraId="5514866A" w14:textId="6C5A2CAB" w:rsidR="00F51CC5" w:rsidRDefault="00F51CC5">
      <w:pPr>
        <w:pStyle w:val="BodyText"/>
        <w:rPr>
          <w:bCs/>
        </w:rPr>
      </w:pPr>
      <w:r>
        <w:rPr>
          <w:bCs/>
        </w:rPr>
        <w:t>Being able to display data as points (called a location map) can be useful for many situations, for example, mapping data collection stations along a river</w:t>
      </w:r>
      <w:r w:rsidR="00FF6C9B">
        <w:rPr>
          <w:bCs/>
        </w:rPr>
        <w:t xml:space="preserve"> bank</w:t>
      </w:r>
      <w:r>
        <w:rPr>
          <w:bCs/>
        </w:rPr>
        <w:t xml:space="preserve">. However, as your dataset grows </w:t>
      </w:r>
      <w:r w:rsidR="00FF6C9B">
        <w:rPr>
          <w:bCs/>
        </w:rPr>
        <w:t>larger spanning multiple years</w:t>
      </w:r>
      <w:r>
        <w:rPr>
          <w:bCs/>
        </w:rPr>
        <w:t xml:space="preserve">, </w:t>
      </w:r>
      <w:r w:rsidR="00FF6C9B">
        <w:rPr>
          <w:bCs/>
        </w:rPr>
        <w:t>the</w:t>
      </w:r>
      <w:r>
        <w:rPr>
          <w:bCs/>
        </w:rPr>
        <w:t xml:space="preserve"> ability to display </w:t>
      </w:r>
      <w:r w:rsidR="00FF6C9B">
        <w:rPr>
          <w:bCs/>
        </w:rPr>
        <w:t>the</w:t>
      </w:r>
      <w:r>
        <w:rPr>
          <w:bCs/>
        </w:rPr>
        <w:t xml:space="preserve"> data effectively to the user </w:t>
      </w:r>
      <w:r w:rsidR="009D3951">
        <w:rPr>
          <w:bCs/>
        </w:rPr>
        <w:t>can be a challenge</w:t>
      </w:r>
      <w:r>
        <w:rPr>
          <w:bCs/>
        </w:rPr>
        <w:t>.</w:t>
      </w:r>
    </w:p>
    <w:p w14:paraId="449D5179" w14:textId="2D6C0F62" w:rsidR="009D3951" w:rsidRDefault="00F51CC5">
      <w:pPr>
        <w:pStyle w:val="BodyText"/>
      </w:pPr>
      <w:r>
        <w:rPr>
          <w:bCs/>
        </w:rPr>
        <w:t xml:space="preserve">Representing large amounts of multi-variable data collected </w:t>
      </w:r>
      <w:r w:rsidR="00FF6C9B">
        <w:rPr>
          <w:bCs/>
        </w:rPr>
        <w:t>at varying intervals on a map</w:t>
      </w:r>
      <w:r>
        <w:rPr>
          <w:bCs/>
        </w:rPr>
        <w:t xml:space="preserve"> has been a long-standing challenge.</w:t>
      </w:r>
      <w:r w:rsidRPr="00F51CC5">
        <w:t xml:space="preserve"> </w:t>
      </w:r>
      <w:r w:rsidR="009D3951">
        <w:t xml:space="preserve">Take for instance, having multiple stations at one location collecting different variables. Translating that onto a map presents the issue of having multiple overlapping points at a single location. </w:t>
      </w:r>
    </w:p>
    <w:p w14:paraId="1AD909EE" w14:textId="2AD8C53A" w:rsidR="00F51CC5" w:rsidRDefault="00F51CC5">
      <w:pPr>
        <w:pStyle w:val="BodyText"/>
        <w:rPr>
          <w:bCs/>
        </w:rPr>
      </w:pPr>
      <w:r w:rsidRPr="00F51CC5">
        <w:rPr>
          <w:bCs/>
        </w:rPr>
        <w:t xml:space="preserve">Although there is a need to share this data, if it is not represented in a convenient way as on a map it becomes overwhelming to the user. Being able to visualize the data in a way that can translate to meaningful information that the user can interpret from a map can prove to be challenging. </w:t>
      </w:r>
    </w:p>
    <w:p w14:paraId="59130488" w14:textId="77777777" w:rsidR="00FF6C9B" w:rsidRDefault="00FF6C9B">
      <w:pPr>
        <w:pStyle w:val="BodyText"/>
        <w:rPr>
          <w:bCs/>
        </w:rPr>
      </w:pPr>
    </w:p>
    <w:p w14:paraId="7CD8372A" w14:textId="77777777" w:rsidR="009D3951" w:rsidRPr="00F51CC5" w:rsidRDefault="009D3951" w:rsidP="009D3951">
      <w:pPr>
        <w:pStyle w:val="BodyText"/>
        <w:rPr>
          <w:b/>
        </w:rPr>
      </w:pPr>
      <w:r w:rsidRPr="00F51CC5">
        <w:rPr>
          <w:b/>
        </w:rPr>
        <w:lastRenderedPageBreak/>
        <w:t>How best to Leverage the data?</w:t>
      </w:r>
    </w:p>
    <w:p w14:paraId="7ADDCE6D" w14:textId="2C04C6D4" w:rsidR="009D3951" w:rsidRDefault="009D3951" w:rsidP="009D3951">
      <w:pPr>
        <w:pStyle w:val="BodyText"/>
        <w:rPr>
          <w:bCs/>
        </w:rPr>
      </w:pPr>
      <w:r>
        <w:rPr>
          <w:bCs/>
        </w:rPr>
        <w:t>The charting plugin provides an option that allows the data to be presented in a visually pleasing manner. Using either the Line Chart or Bar Chart you are able to dynamically chart large complex datasets over time.</w:t>
      </w:r>
    </w:p>
    <w:p w14:paraId="4E4C812A" w14:textId="669E75BB" w:rsidR="009C2185" w:rsidRDefault="009C2185" w:rsidP="009D3951">
      <w:pPr>
        <w:pStyle w:val="BodyText"/>
        <w:rPr>
          <w:bCs/>
        </w:rPr>
      </w:pPr>
      <w:r>
        <w:rPr>
          <w:bCs/>
        </w:rPr>
        <w:t>Take for example this sample dataset.</w:t>
      </w:r>
    </w:p>
    <w:p w14:paraId="68176CAF" w14:textId="32B2F685" w:rsidR="009C2185" w:rsidRDefault="009C2185" w:rsidP="009D3951">
      <w:pPr>
        <w:pStyle w:val="BodyText"/>
        <w:rPr>
          <w:bCs/>
        </w:rPr>
      </w:pPr>
      <w:r w:rsidRPr="009C2185">
        <w:drawing>
          <wp:inline distT="0" distB="0" distL="0" distR="0" wp14:anchorId="66E388B3" wp14:editId="19C2BFD7">
            <wp:extent cx="5943600" cy="23882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388235"/>
                    </a:xfrm>
                    <a:prstGeom prst="rect">
                      <a:avLst/>
                    </a:prstGeom>
                    <a:noFill/>
                    <a:ln>
                      <a:noFill/>
                    </a:ln>
                  </pic:spPr>
                </pic:pic>
              </a:graphicData>
            </a:graphic>
          </wp:inline>
        </w:drawing>
      </w:r>
    </w:p>
    <w:p w14:paraId="40FFF71A" w14:textId="11B83B3D" w:rsidR="00A92FCF" w:rsidRDefault="009C2185">
      <w:pPr>
        <w:pStyle w:val="BodyText"/>
        <w:rPr>
          <w:bCs/>
        </w:rPr>
      </w:pPr>
      <w:r>
        <w:rPr>
          <w:bCs/>
        </w:rPr>
        <w:t xml:space="preserve">This dataset represents data collected from logging stations A-D at different intervals. If this was to be displayed on a map each record would be represented as a single point. This will result in having multiple points for each station, at the same time, it will be difficult for the user to analyze the data. </w:t>
      </w:r>
    </w:p>
    <w:p w14:paraId="234C507D" w14:textId="5D3988C6" w:rsidR="009C2185" w:rsidRDefault="009C2185">
      <w:pPr>
        <w:pStyle w:val="BodyText"/>
        <w:rPr>
          <w:bCs/>
        </w:rPr>
      </w:pPr>
    </w:p>
    <w:p w14:paraId="03410886" w14:textId="2470E2A4" w:rsidR="00805DB4" w:rsidRDefault="00805DB4">
      <w:pPr>
        <w:pStyle w:val="BodyText"/>
        <w:rPr>
          <w:bCs/>
        </w:rPr>
      </w:pPr>
    </w:p>
    <w:p w14:paraId="19B363D4" w14:textId="77777777" w:rsidR="00805DB4" w:rsidRDefault="00805DB4">
      <w:pPr>
        <w:pStyle w:val="BodyText"/>
        <w:rPr>
          <w:bCs/>
        </w:rPr>
      </w:pPr>
    </w:p>
    <w:p w14:paraId="5A865884" w14:textId="6EFEB7E9" w:rsidR="00805DB4" w:rsidRDefault="00805DB4">
      <w:pPr>
        <w:pStyle w:val="BodyText"/>
        <w:rPr>
          <w:bCs/>
        </w:rPr>
      </w:pPr>
    </w:p>
    <w:p w14:paraId="534D744E" w14:textId="77777777" w:rsidR="00805DB4" w:rsidRPr="00805DB4" w:rsidRDefault="00805DB4" w:rsidP="00805DB4">
      <w:pPr>
        <w:pStyle w:val="BodyText"/>
        <w:rPr>
          <w:b/>
        </w:rPr>
      </w:pPr>
      <w:r w:rsidRPr="00805DB4">
        <w:rPr>
          <w:b/>
        </w:rPr>
        <w:t>Linked Tables</w:t>
      </w:r>
    </w:p>
    <w:p w14:paraId="5D73C613" w14:textId="77777777" w:rsidR="00805DB4" w:rsidRDefault="00805DB4" w:rsidP="00805DB4">
      <w:pPr>
        <w:pStyle w:val="BodyText"/>
        <w:rPr>
          <w:bCs/>
        </w:rPr>
      </w:pPr>
      <w:r>
        <w:rPr>
          <w:bCs/>
        </w:rPr>
        <w:t>To accomplish this the use of linked tables was used. Linked Tables refers to using two or more tables that share a similar field. This takes advantage of having a relationship between the datasets. Single table containing all the parameters and values is related to the reference data. The charting plugin automatically access this related table and pulls the required information to generate the appropriate chart.</w:t>
      </w:r>
    </w:p>
    <w:p w14:paraId="6AE25312" w14:textId="36FAFB25" w:rsidR="00805DB4" w:rsidRDefault="00805DB4" w:rsidP="00805DB4">
      <w:pPr>
        <w:pStyle w:val="BodyText"/>
        <w:rPr>
          <w:bCs/>
        </w:rPr>
      </w:pPr>
      <w:r w:rsidRPr="006D12C9">
        <w:rPr>
          <w:bCs/>
        </w:rPr>
        <w:t>A table relationship works by matching data in key fields — often a field with the same name in both tables. In most cases, these matching fields are the primary key from one table, which provides a unique identifier for each record, and a foreign key in the other table</w:t>
      </w:r>
      <w:r>
        <w:rPr>
          <w:bCs/>
        </w:rPr>
        <w:t xml:space="preserve">. </w:t>
      </w:r>
    </w:p>
    <w:p w14:paraId="55819C39" w14:textId="458BEF87" w:rsidR="00805DB4" w:rsidRDefault="00805DB4" w:rsidP="00805DB4">
      <w:pPr>
        <w:pStyle w:val="BodyText"/>
        <w:rPr>
          <w:bCs/>
        </w:rPr>
      </w:pPr>
      <w:r>
        <w:rPr>
          <w:bCs/>
        </w:rPr>
        <w:t>Tip: Maintain naming consistency when linking tables using Fields.</w:t>
      </w:r>
    </w:p>
    <w:p w14:paraId="5B907A53" w14:textId="77777777" w:rsidR="00805DB4" w:rsidRDefault="00805DB4" w:rsidP="00805DB4">
      <w:pPr>
        <w:pStyle w:val="BodyText"/>
        <w:rPr>
          <w:bCs/>
        </w:rPr>
      </w:pPr>
      <w:r>
        <w:rPr>
          <w:bCs/>
        </w:rPr>
        <w:lastRenderedPageBreak/>
        <w:t xml:space="preserve">Note: </w:t>
      </w:r>
      <w:bookmarkStart w:id="1" w:name="_Hlk64885032"/>
      <w:r>
        <w:rPr>
          <w:bCs/>
        </w:rPr>
        <w:t>The linked data is not appended to the layer’s attribute table. As a result, this extra information will not be displayed in the data table in the FGP Viewer. The user is not overwhelmed with the vast amount of collected data</w:t>
      </w:r>
      <w:bookmarkEnd w:id="1"/>
      <w:r>
        <w:rPr>
          <w:bCs/>
        </w:rPr>
        <w:t>.</w:t>
      </w:r>
    </w:p>
    <w:p w14:paraId="50B1BB29" w14:textId="77777777" w:rsidR="00805DB4" w:rsidRDefault="00805DB4" w:rsidP="00805DB4">
      <w:pPr>
        <w:pStyle w:val="BodyText"/>
        <w:rPr>
          <w:bCs/>
        </w:rPr>
      </w:pPr>
      <w:r>
        <w:rPr>
          <w:bCs/>
        </w:rPr>
        <w:t xml:space="preserve">To accomplish this using Arcgis: </w:t>
      </w:r>
      <w:hyperlink r:id="rId12" w:history="1">
        <w:r w:rsidRPr="00610605">
          <w:rPr>
            <w:rStyle w:val="Hyperlink"/>
            <w:bCs/>
          </w:rPr>
          <w:t>https://desktop.arcgis.com/en/arcmap/latest/manage-data/tables/essentials-of-relating-tables.htm</w:t>
        </w:r>
      </w:hyperlink>
    </w:p>
    <w:p w14:paraId="4D65FB25" w14:textId="77777777" w:rsidR="00805DB4" w:rsidRDefault="00805DB4" w:rsidP="00805DB4">
      <w:pPr>
        <w:pStyle w:val="BodyText"/>
        <w:rPr>
          <w:bCs/>
        </w:rPr>
      </w:pPr>
    </w:p>
    <w:p w14:paraId="5C609FD1" w14:textId="77777777" w:rsidR="00805DB4" w:rsidRDefault="00805DB4" w:rsidP="00805DB4">
      <w:pPr>
        <w:pStyle w:val="BodyText"/>
        <w:rPr>
          <w:bCs/>
        </w:rPr>
      </w:pPr>
      <w:r>
        <w:rPr>
          <w:bCs/>
        </w:rPr>
        <w:t>Advantages</w:t>
      </w:r>
    </w:p>
    <w:p w14:paraId="01E00BEB" w14:textId="77777777" w:rsidR="00805DB4" w:rsidRDefault="00805DB4" w:rsidP="00805DB4">
      <w:pPr>
        <w:pStyle w:val="BodyText"/>
        <w:rPr>
          <w:bCs/>
        </w:rPr>
      </w:pPr>
      <w:r>
        <w:rPr>
          <w:bCs/>
        </w:rPr>
        <w:t>Not much editing is required. -  If you have external data table that would benefit from using the charting plugin. All that is required is to link the two tables together using GIS software.</w:t>
      </w:r>
    </w:p>
    <w:p w14:paraId="0B35D492" w14:textId="77777777" w:rsidR="00805DB4" w:rsidRDefault="00805DB4" w:rsidP="00805DB4">
      <w:pPr>
        <w:rPr>
          <w:bCs/>
        </w:rPr>
      </w:pPr>
      <w:r>
        <w:rPr>
          <w:bCs/>
        </w:rPr>
        <w:t xml:space="preserve">Data Table can be easily updated with new data – </w:t>
      </w:r>
    </w:p>
    <w:p w14:paraId="3CE25E6E" w14:textId="77777777" w:rsidR="00805DB4" w:rsidRDefault="00805DB4">
      <w:pPr>
        <w:pStyle w:val="BodyText"/>
        <w:rPr>
          <w:bCs/>
        </w:rPr>
      </w:pPr>
    </w:p>
    <w:p w14:paraId="198ECCA2" w14:textId="501744A9" w:rsidR="001D0038" w:rsidRDefault="001D0038" w:rsidP="001D0038">
      <w:pPr>
        <w:pStyle w:val="BodyText"/>
        <w:rPr>
          <w:bCs/>
        </w:rPr>
      </w:pPr>
      <w:r w:rsidRPr="009D3951">
        <w:rPr>
          <w:bCs/>
        </w:rPr>
        <w:t xml:space="preserve">Note: </w:t>
      </w:r>
      <w:r>
        <w:rPr>
          <w:bCs/>
        </w:rPr>
        <w:t>“</w:t>
      </w:r>
      <w:r w:rsidRPr="009D3951">
        <w:rPr>
          <w:bCs/>
        </w:rPr>
        <w:t xml:space="preserve">In </w:t>
      </w:r>
      <w:hyperlink r:id="rId13" w:anchor=":~:text=In%20ArcGIS%2C%20rows%20are%20known,map%20or%20stand%2Dalone%20table." w:history="1">
        <w:r w:rsidRPr="009D3951">
          <w:rPr>
            <w:rStyle w:val="Hyperlink"/>
            <w:bCs/>
          </w:rPr>
          <w:t xml:space="preserve">ArcGIS, </w:t>
        </w:r>
      </w:hyperlink>
      <w:r w:rsidRPr="009D3951">
        <w:rPr>
          <w:bCs/>
        </w:rPr>
        <w:t>rows are known as records and columns are referred to as fields. Each field in a table can store a specific type of data, such as a number, date, or piece of text. So, fields form the attribute information for any given layer in the map or stand-alone table</w:t>
      </w:r>
      <w:r>
        <w:rPr>
          <w:bCs/>
        </w:rPr>
        <w:t>.”</w:t>
      </w:r>
    </w:p>
    <w:p w14:paraId="27B1F983" w14:textId="77777777" w:rsidR="00805DB4" w:rsidRDefault="00805DB4" w:rsidP="001D0038">
      <w:pPr>
        <w:pStyle w:val="BodyText"/>
        <w:rPr>
          <w:bCs/>
        </w:rPr>
      </w:pPr>
    </w:p>
    <w:p w14:paraId="76BF077A" w14:textId="327302FB" w:rsidR="001D0038" w:rsidRPr="00805DB4" w:rsidRDefault="00805DB4">
      <w:pPr>
        <w:pStyle w:val="BodyText"/>
        <w:rPr>
          <w:b/>
        </w:rPr>
      </w:pPr>
      <w:r w:rsidRPr="00805DB4">
        <w:rPr>
          <w:b/>
        </w:rPr>
        <w:t>Data Structure</w:t>
      </w:r>
    </w:p>
    <w:p w14:paraId="0146239D" w14:textId="75B74DA5" w:rsidR="00805DB4" w:rsidRDefault="00805DB4">
      <w:pPr>
        <w:pStyle w:val="BodyText"/>
        <w:rPr>
          <w:bCs/>
        </w:rPr>
      </w:pPr>
      <w:r>
        <w:rPr>
          <w:bCs/>
        </w:rPr>
        <w:t>According to Wikipedia, data structure is the organization, management and storage format that enables efficient access and modifications of data. It also refers to the collection of data values and the relationships between them.</w:t>
      </w:r>
    </w:p>
    <w:p w14:paraId="142AA822" w14:textId="71BDE290" w:rsidR="00805DB4" w:rsidRDefault="00805DB4">
      <w:pPr>
        <w:pStyle w:val="BodyText"/>
        <w:rPr>
          <w:bCs/>
        </w:rPr>
      </w:pPr>
      <w:r>
        <w:rPr>
          <w:bCs/>
        </w:rPr>
        <w:t>There are three (3) different types of data structures that are currently supported for the Charting Plugin.</w:t>
      </w:r>
    </w:p>
    <w:p w14:paraId="1CA9B590" w14:textId="77777777" w:rsidR="00805DB4" w:rsidRDefault="00805DB4">
      <w:pPr>
        <w:pStyle w:val="BodyText"/>
        <w:rPr>
          <w:bCs/>
        </w:rPr>
      </w:pPr>
    </w:p>
    <w:p w14:paraId="4D817CF2" w14:textId="518D2ED7" w:rsidR="00805DB4" w:rsidRDefault="00A92FCF">
      <w:pPr>
        <w:pStyle w:val="BodyText"/>
        <w:rPr>
          <w:bCs/>
        </w:rPr>
      </w:pPr>
      <w:r>
        <w:rPr>
          <w:bCs/>
        </w:rPr>
        <w:t xml:space="preserve">1. </w:t>
      </w:r>
      <w:r w:rsidR="00805DB4">
        <w:rPr>
          <w:bCs/>
        </w:rPr>
        <w:t xml:space="preserve"> Organizing the data where fields are created by concatenating the data to be used for charting.</w:t>
      </w:r>
      <w:r w:rsidR="00551DD7">
        <w:rPr>
          <w:bCs/>
        </w:rPr>
        <w:t xml:space="preserve"> This structure requires that the data be formatted in a specific way. Each Field to be charted is required to have the data listed and separated using parenthesis and commas. (See Below).</w:t>
      </w:r>
    </w:p>
    <w:p w14:paraId="304AD01D" w14:textId="473F9D12" w:rsidR="00551DD7" w:rsidRDefault="00551DD7">
      <w:pPr>
        <w:pStyle w:val="BodyText"/>
        <w:rPr>
          <w:bCs/>
        </w:rPr>
      </w:pPr>
      <w:r>
        <w:rPr>
          <w:bCs/>
        </w:rPr>
        <w:t>This method is not the ideal method to be used as it requires extra effort to get the data structured in this format. This method is recommended where options 2 and 3 are not applicable.</w:t>
      </w:r>
    </w:p>
    <w:p w14:paraId="5C9FFBEF" w14:textId="5E0F1E74" w:rsidR="009C2185" w:rsidRDefault="009C2185">
      <w:pPr>
        <w:pStyle w:val="BodyText"/>
        <w:rPr>
          <w:bCs/>
        </w:rPr>
      </w:pPr>
      <w:r w:rsidRPr="009C2185">
        <w:drawing>
          <wp:anchor distT="0" distB="0" distL="114300" distR="114300" simplePos="0" relativeHeight="251620864" behindDoc="0" locked="0" layoutInCell="1" allowOverlap="1" wp14:anchorId="70B4D522" wp14:editId="4107E715">
            <wp:simplePos x="0" y="0"/>
            <wp:positionH relativeFrom="column">
              <wp:posOffset>-752476</wp:posOffset>
            </wp:positionH>
            <wp:positionV relativeFrom="paragraph">
              <wp:posOffset>347345</wp:posOffset>
            </wp:positionV>
            <wp:extent cx="7635875" cy="140970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635875" cy="1409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C2185">
        <w:rPr>
          <w:bCs/>
        </w:rPr>
        <w:t>Using the example above.</w:t>
      </w:r>
      <w:r>
        <w:rPr>
          <w:bCs/>
        </w:rPr>
        <w:t xml:space="preserve"> A new table would need to be created to support this option.</w:t>
      </w:r>
    </w:p>
    <w:p w14:paraId="71E087C1" w14:textId="6D841163" w:rsidR="00A92FCF" w:rsidRDefault="00A92FCF">
      <w:pPr>
        <w:pStyle w:val="BodyText"/>
        <w:rPr>
          <w:bCs/>
        </w:rPr>
      </w:pPr>
      <w:r>
        <w:rPr>
          <w:bCs/>
        </w:rPr>
        <w:lastRenderedPageBreak/>
        <w:t>2.</w:t>
      </w:r>
      <w:r w:rsidR="00551DD7">
        <w:rPr>
          <w:bCs/>
        </w:rPr>
        <w:t xml:space="preserve"> Organizing the data where each field represents an individual </w:t>
      </w:r>
      <w:r>
        <w:rPr>
          <w:bCs/>
        </w:rPr>
        <w:t>variable/parameter and each record will represent the recorded</w:t>
      </w:r>
      <w:r w:rsidR="00551DD7">
        <w:rPr>
          <w:bCs/>
        </w:rPr>
        <w:t xml:space="preserve"> corresponding</w:t>
      </w:r>
      <w:r>
        <w:rPr>
          <w:bCs/>
        </w:rPr>
        <w:t xml:space="preserve"> values.</w:t>
      </w:r>
      <w:r w:rsidR="009D3951">
        <w:rPr>
          <w:bCs/>
        </w:rPr>
        <w:t xml:space="preserve"> -  This is the simplest way to organize your data. </w:t>
      </w:r>
      <w:r w:rsidR="00894E90">
        <w:rPr>
          <w:bCs/>
        </w:rPr>
        <w:t xml:space="preserve">However, depending on the </w:t>
      </w:r>
      <w:r w:rsidR="00B6139C">
        <w:rPr>
          <w:bCs/>
        </w:rPr>
        <w:t>number</w:t>
      </w:r>
      <w:r w:rsidR="00894E90">
        <w:rPr>
          <w:bCs/>
        </w:rPr>
        <w:t xml:space="preserve"> of variables that are required to be represented it can get congested</w:t>
      </w:r>
      <w:r w:rsidR="00551DD7">
        <w:rPr>
          <w:bCs/>
        </w:rPr>
        <w:t xml:space="preserve"> and may require the use of linked tables</w:t>
      </w:r>
      <w:r w:rsidR="00894E90">
        <w:rPr>
          <w:bCs/>
        </w:rPr>
        <w:t>.</w:t>
      </w:r>
    </w:p>
    <w:p w14:paraId="09B37EAB" w14:textId="5201C96B" w:rsidR="00894E90" w:rsidRDefault="001D0038">
      <w:pPr>
        <w:pStyle w:val="BodyText"/>
      </w:pPr>
      <w:r>
        <w:rPr>
          <w:noProof/>
        </w:rPr>
        <w:pict w14:anchorId="0F253673">
          <v:group id="_x0000_s1031" style="position:absolute;margin-left:.75pt;margin-top:12.7pt;width:230.25pt;height:18.75pt;z-index:251664384" coordorigin="1455,9345" coordsize="4605,375">
            <v:shapetype id="_x0000_t32" coordsize="21600,21600" o:spt="32" o:oned="t" path="m,l21600,21600e" filled="f">
              <v:path arrowok="t" fillok="f" o:connecttype="none"/>
              <o:lock v:ext="edit" shapetype="t"/>
            </v:shapetype>
            <v:shape id="_x0000_s1028" type="#_x0000_t32" style="position:absolute;left:1455;top:9345;width:4605;height:0" o:connectortype="straight" strokeweight="2.25pt"/>
            <v:shape id="_x0000_s1029" type="#_x0000_t32" style="position:absolute;left:1455;top:9345;width:0;height:375" o:connectortype="straight" strokeweight="2.25pt">
              <v:stroke endarrow="block"/>
            </v:shape>
            <v:shape id="_x0000_s1030" type="#_x0000_t32" style="position:absolute;left:6060;top:9345;width:0;height:375" o:connectortype="straight" strokeweight="2.25pt">
              <v:stroke endarrow="block"/>
            </v:shape>
          </v:group>
        </w:pict>
      </w:r>
      <w:r w:rsidRPr="001D0038">
        <w:drawing>
          <wp:anchor distT="0" distB="0" distL="114300" distR="114300" simplePos="0" relativeHeight="251623936" behindDoc="0" locked="0" layoutInCell="1" allowOverlap="1" wp14:anchorId="61612CBB" wp14:editId="1EC4152C">
            <wp:simplePos x="0" y="0"/>
            <wp:positionH relativeFrom="column">
              <wp:posOffset>2447925</wp:posOffset>
            </wp:positionH>
            <wp:positionV relativeFrom="paragraph">
              <wp:posOffset>394335</wp:posOffset>
            </wp:positionV>
            <wp:extent cx="4095750" cy="2328111"/>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95750" cy="2328111"/>
                    </a:xfrm>
                    <a:prstGeom prst="rect">
                      <a:avLst/>
                    </a:prstGeom>
                    <a:noFill/>
                    <a:ln>
                      <a:noFill/>
                    </a:ln>
                  </pic:spPr>
                </pic:pic>
              </a:graphicData>
            </a:graphic>
          </wp:anchor>
        </w:drawing>
      </w:r>
      <w:r w:rsidRPr="001D0038">
        <w:drawing>
          <wp:anchor distT="0" distB="0" distL="114300" distR="114300" simplePos="0" relativeHeight="251631104" behindDoc="0" locked="0" layoutInCell="1" allowOverlap="1" wp14:anchorId="6CB85513" wp14:editId="25411C41">
            <wp:simplePos x="0" y="0"/>
            <wp:positionH relativeFrom="column">
              <wp:posOffset>-409575</wp:posOffset>
            </wp:positionH>
            <wp:positionV relativeFrom="paragraph">
              <wp:posOffset>387350</wp:posOffset>
            </wp:positionV>
            <wp:extent cx="2743200" cy="1000125"/>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743200" cy="1000125"/>
                    </a:xfrm>
                    <a:prstGeom prst="rect">
                      <a:avLst/>
                    </a:prstGeom>
                    <a:noFill/>
                    <a:ln>
                      <a:noFill/>
                    </a:ln>
                  </pic:spPr>
                </pic:pic>
              </a:graphicData>
            </a:graphic>
          </wp:anchor>
        </w:drawing>
      </w:r>
    </w:p>
    <w:p w14:paraId="330EB501" w14:textId="41C5B7A5" w:rsidR="001D0038" w:rsidRDefault="001D0038">
      <w:pPr>
        <w:pStyle w:val="BodyText"/>
        <w:rPr>
          <w:bCs/>
        </w:rPr>
      </w:pPr>
    </w:p>
    <w:p w14:paraId="1514996C" w14:textId="77777777" w:rsidR="001D0038" w:rsidRDefault="001D0038">
      <w:pPr>
        <w:pStyle w:val="BodyText"/>
        <w:rPr>
          <w:bCs/>
        </w:rPr>
      </w:pPr>
    </w:p>
    <w:p w14:paraId="27A6AF0A" w14:textId="77777777" w:rsidR="001D0038" w:rsidRDefault="001D0038">
      <w:pPr>
        <w:pStyle w:val="BodyText"/>
        <w:rPr>
          <w:bCs/>
        </w:rPr>
      </w:pPr>
    </w:p>
    <w:p w14:paraId="75D8A2CC" w14:textId="2B28A03D" w:rsidR="001D0038" w:rsidRDefault="001D0038">
      <w:pPr>
        <w:pStyle w:val="BodyText"/>
      </w:pPr>
    </w:p>
    <w:p w14:paraId="5097FB4C" w14:textId="71907793" w:rsidR="00805DB4" w:rsidRDefault="00805DB4">
      <w:pPr>
        <w:pStyle w:val="BodyText"/>
      </w:pPr>
    </w:p>
    <w:p w14:paraId="4E482635" w14:textId="40EE96FF" w:rsidR="00805DB4" w:rsidRDefault="00805DB4">
      <w:pPr>
        <w:pStyle w:val="BodyText"/>
      </w:pPr>
    </w:p>
    <w:p w14:paraId="1C238304" w14:textId="1965E3C8" w:rsidR="00805DB4" w:rsidRDefault="00805DB4">
      <w:pPr>
        <w:pStyle w:val="BodyText"/>
      </w:pPr>
    </w:p>
    <w:p w14:paraId="0A63D038" w14:textId="77777777" w:rsidR="00805DB4" w:rsidRDefault="00805DB4">
      <w:pPr>
        <w:pStyle w:val="BodyText"/>
      </w:pPr>
    </w:p>
    <w:p w14:paraId="4AAE499C" w14:textId="1FAEB764" w:rsidR="00551DD7" w:rsidRDefault="00A92FCF">
      <w:pPr>
        <w:pStyle w:val="BodyText"/>
        <w:rPr>
          <w:bCs/>
        </w:rPr>
      </w:pPr>
      <w:r>
        <w:rPr>
          <w:bCs/>
        </w:rPr>
        <w:t xml:space="preserve">3. </w:t>
      </w:r>
      <w:r w:rsidR="00551DD7">
        <w:rPr>
          <w:bCs/>
        </w:rPr>
        <w:t xml:space="preserve">Organizing the data where there is </w:t>
      </w:r>
      <w:r>
        <w:rPr>
          <w:bCs/>
        </w:rPr>
        <w:t>one field where each record corresponds to the variable/parameter</w:t>
      </w:r>
      <w:r w:rsidR="009D3951">
        <w:rPr>
          <w:bCs/>
        </w:rPr>
        <w:t xml:space="preserve"> and another field for each corresponding value. </w:t>
      </w:r>
      <w:r w:rsidR="00551DD7">
        <w:rPr>
          <w:bCs/>
        </w:rPr>
        <w:t>Using this structure will require the use of linked tables.</w:t>
      </w:r>
    </w:p>
    <w:p w14:paraId="669D57BD" w14:textId="0CBE3213" w:rsidR="00480332" w:rsidRDefault="00551DD7">
      <w:pPr>
        <w:pStyle w:val="BodyText"/>
        <w:rPr>
          <w:bCs/>
        </w:rPr>
      </w:pPr>
      <w:r w:rsidRPr="001D0038">
        <w:lastRenderedPageBreak/>
        <w:drawing>
          <wp:anchor distT="0" distB="0" distL="114300" distR="114300" simplePos="0" relativeHeight="251647488" behindDoc="0" locked="0" layoutInCell="1" allowOverlap="1" wp14:anchorId="3D177709" wp14:editId="3F42970F">
            <wp:simplePos x="0" y="0"/>
            <wp:positionH relativeFrom="column">
              <wp:posOffset>-247650</wp:posOffset>
            </wp:positionH>
            <wp:positionV relativeFrom="paragraph">
              <wp:posOffset>334645</wp:posOffset>
            </wp:positionV>
            <wp:extent cx="2476500" cy="902891"/>
            <wp:effectExtent l="0" t="0" r="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76500" cy="902891"/>
                    </a:xfrm>
                    <a:prstGeom prst="rect">
                      <a:avLst/>
                    </a:prstGeom>
                    <a:noFill/>
                    <a:ln>
                      <a:noFill/>
                    </a:ln>
                  </pic:spPr>
                </pic:pic>
              </a:graphicData>
            </a:graphic>
          </wp:anchor>
        </w:drawing>
      </w:r>
      <w:r w:rsidR="001D0038">
        <w:rPr>
          <w:noProof/>
        </w:rPr>
        <w:pict w14:anchorId="0F253673">
          <v:group id="_x0000_s1032" style="position:absolute;margin-left:12pt;margin-top:6.9pt;width:230.25pt;height:18.75pt;z-index:251667456;mso-position-horizontal-relative:text;mso-position-vertical-relative:text" coordorigin="1455,9345" coordsize="4605,375">
            <v:shape id="_x0000_s1033" type="#_x0000_t32" style="position:absolute;left:1455;top:9345;width:4605;height:0" o:connectortype="straight" strokeweight="2.25pt"/>
            <v:shape id="_x0000_s1034" type="#_x0000_t32" style="position:absolute;left:1455;top:9345;width:0;height:375" o:connectortype="straight" strokeweight="2.25pt">
              <v:stroke endarrow="block"/>
            </v:shape>
            <v:shape id="_x0000_s1035" type="#_x0000_t32" style="position:absolute;left:6060;top:9345;width:0;height:375" o:connectortype="straight" strokeweight="2.25pt">
              <v:stroke endarrow="block"/>
            </v:shape>
          </v:group>
        </w:pict>
      </w:r>
      <w:r w:rsidR="001D0038" w:rsidRPr="001D0038">
        <w:drawing>
          <wp:anchor distT="0" distB="0" distL="114300" distR="114300" simplePos="0" relativeHeight="251639296" behindDoc="0" locked="0" layoutInCell="1" allowOverlap="1" wp14:anchorId="7A3B1482" wp14:editId="72E7E155">
            <wp:simplePos x="0" y="0"/>
            <wp:positionH relativeFrom="column">
              <wp:posOffset>2562225</wp:posOffset>
            </wp:positionH>
            <wp:positionV relativeFrom="paragraph">
              <wp:posOffset>325755</wp:posOffset>
            </wp:positionV>
            <wp:extent cx="2485390" cy="5438775"/>
            <wp:effectExtent l="0" t="0" r="0" b="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8">
                      <a:extLst>
                        <a:ext uri="{28A0092B-C50C-407E-A947-70E740481C1C}">
                          <a14:useLocalDpi xmlns:a14="http://schemas.microsoft.com/office/drawing/2010/main" val="0"/>
                        </a:ext>
                      </a:extLst>
                    </a:blip>
                    <a:srcRect b="30856"/>
                    <a:stretch/>
                  </pic:blipFill>
                  <pic:spPr bwMode="auto">
                    <a:xfrm>
                      <a:off x="0" y="0"/>
                      <a:ext cx="2485390" cy="543877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7C0F47A2" w14:textId="673E42A8" w:rsidR="00480332" w:rsidRDefault="00480332">
      <w:pPr>
        <w:pStyle w:val="BodyText"/>
        <w:rPr>
          <w:bCs/>
        </w:rPr>
      </w:pPr>
    </w:p>
    <w:p w14:paraId="07333505" w14:textId="362EEE38" w:rsidR="00A92FCF" w:rsidRDefault="00A92FCF">
      <w:pPr>
        <w:pStyle w:val="BodyText"/>
        <w:rPr>
          <w:bCs/>
        </w:rPr>
      </w:pPr>
    </w:p>
    <w:p w14:paraId="4175B8E7" w14:textId="5C435899" w:rsidR="001D0038" w:rsidRDefault="001D0038">
      <w:pPr>
        <w:pStyle w:val="BodyText"/>
        <w:rPr>
          <w:bCs/>
        </w:rPr>
      </w:pPr>
    </w:p>
    <w:p w14:paraId="1EAAC7E4" w14:textId="6CDF2EFC" w:rsidR="001D0038" w:rsidRDefault="00551DD7">
      <w:pPr>
        <w:pStyle w:val="BodyText"/>
        <w:rPr>
          <w:bCs/>
        </w:rPr>
      </w:pPr>
      <w:r>
        <w:rPr>
          <w:bCs/>
        </w:rPr>
        <w:t xml:space="preserve">Ultimately, the intended implementation of linked tables is ease of adaptability with the data. As mentioned earlier, </w:t>
      </w:r>
      <w:r w:rsidR="00925925">
        <w:rPr>
          <w:bCs/>
        </w:rPr>
        <w:t>The linked data is not appended to the layer’s attribute table. As a result, this extra information will not be displayed in the data table in the FGP Viewer. The user is not overwhelmed with the vast amount of collected data</w:t>
      </w:r>
      <w:r w:rsidR="00925925">
        <w:rPr>
          <w:bCs/>
        </w:rPr>
        <w:t>. It will however allow the charting plugin to display enhanced visualization options.</w:t>
      </w:r>
    </w:p>
    <w:p w14:paraId="6C574A74" w14:textId="6BD032A8" w:rsidR="00A92FCF" w:rsidRDefault="00A92FCF">
      <w:pPr>
        <w:pStyle w:val="BodyText"/>
        <w:rPr>
          <w:bCs/>
        </w:rPr>
      </w:pPr>
    </w:p>
    <w:p w14:paraId="47793374" w14:textId="2C251A05" w:rsidR="0068046A" w:rsidRDefault="0068046A">
      <w:pPr>
        <w:rPr>
          <w:bCs/>
        </w:rPr>
      </w:pPr>
      <w:r>
        <w:rPr>
          <w:bCs/>
        </w:rPr>
        <w:br w:type="page"/>
      </w:r>
    </w:p>
    <w:p w14:paraId="19095E37" w14:textId="77777777" w:rsidR="0068046A" w:rsidRDefault="0068046A" w:rsidP="0068046A">
      <w:pPr>
        <w:pStyle w:val="Heading1"/>
      </w:pPr>
      <w:bookmarkStart w:id="2" w:name="overview"/>
      <w:r>
        <w:lastRenderedPageBreak/>
        <w:t>Pie Chart Overview</w:t>
      </w:r>
    </w:p>
    <w:p w14:paraId="17701D27" w14:textId="77777777" w:rsidR="0068046A" w:rsidRDefault="0068046A" w:rsidP="0068046A">
      <w:pPr>
        <w:pStyle w:val="FirstParagraph"/>
      </w:pPr>
      <w:r>
        <w:t>A pie chart is a circular chart divided into sections. Each section is proportional to the quantity it represents. A pie chart contains a single series of data points. The pie charts are used to show part-to-whole relationships or for data composition.</w:t>
      </w:r>
    </w:p>
    <w:p w14:paraId="431B2B59" w14:textId="77777777" w:rsidR="0068046A" w:rsidRDefault="0068046A" w:rsidP="0068046A">
      <w:pPr>
        <w:pStyle w:val="BodyText"/>
      </w:pPr>
      <w:r>
        <w:t>Pie charts are not intended for comparing individual sections with each other or representing exact values ( it is recommended that a serial chart should be used instead). Pie charts are also not meant to show more than five to eight data points.</w:t>
      </w:r>
    </w:p>
    <w:p w14:paraId="045AC86E" w14:textId="77777777" w:rsidR="0068046A" w:rsidRDefault="0068046A" w:rsidP="0068046A">
      <w:pPr>
        <w:pStyle w:val="BodyText"/>
      </w:pPr>
      <w:r>
        <w:rPr>
          <w:b/>
        </w:rPr>
        <w:t>Doughnut plot</w:t>
      </w:r>
    </w:p>
    <w:p w14:paraId="29C7E84C" w14:textId="77777777" w:rsidR="0068046A" w:rsidRDefault="0068046A" w:rsidP="0068046A">
      <w:pPr>
        <w:pStyle w:val="BodyText"/>
      </w:pPr>
      <w:r>
        <w:t>The Plugin is capable of using implementing an alternative representation of the common pie chart commonly known as the doughnut plot.</w:t>
      </w:r>
    </w:p>
    <w:p w14:paraId="063D7537" w14:textId="77777777" w:rsidR="0068046A" w:rsidRDefault="0068046A" w:rsidP="0068046A">
      <w:pPr>
        <w:pStyle w:val="BodyText"/>
      </w:pPr>
      <w:r>
        <w:t>A doughnut plot (aka donut plot) is simply a pie chart with a central circle removed. For the most part, there aren’t significant differences in readability between a pie chart and donut chart, so the choice of a doughnut over a standard circle is mostly that of aesthetic. One small boon for the ring shape is that the central area can be used for additional information or to report statistics.</w:t>
      </w:r>
    </w:p>
    <w:p w14:paraId="7EC66E8E" w14:textId="77777777" w:rsidR="0068046A" w:rsidRDefault="0068046A" w:rsidP="0068046A">
      <w:pPr>
        <w:pStyle w:val="Heading2"/>
      </w:pPr>
      <w:bookmarkStart w:id="3" w:name="best-practices"/>
      <w:r>
        <w:t>Best Practices</w:t>
      </w:r>
    </w:p>
    <w:p w14:paraId="1D8C4AE7" w14:textId="59A81B23" w:rsidR="0068046A" w:rsidRDefault="0068046A" w:rsidP="0068046A">
      <w:pPr>
        <w:pStyle w:val="FirstParagraph"/>
      </w:pPr>
      <w:r>
        <w:rPr>
          <w:b/>
        </w:rPr>
        <w:t>Tips for interacting with Pie Charts</w:t>
      </w:r>
    </w:p>
    <w:p w14:paraId="2A224993" w14:textId="77777777" w:rsidR="0068046A" w:rsidRDefault="0068046A" w:rsidP="0068046A">
      <w:pPr>
        <w:pStyle w:val="BodyText"/>
      </w:pPr>
      <w:r>
        <w:t>Keep the following in mind when using a Pie Chart to visualize data:</w:t>
      </w:r>
    </w:p>
    <w:p w14:paraId="006D5516" w14:textId="77777777" w:rsidR="0068046A" w:rsidRDefault="0068046A" w:rsidP="00D71C9E">
      <w:pPr>
        <w:numPr>
          <w:ilvl w:val="0"/>
          <w:numId w:val="7"/>
        </w:numPr>
      </w:pPr>
      <w:r>
        <w:t>Don’t use more than five sections It is recommended that around 5 sections is an adequate amount of slices to be used with the pie charts. Too many slices are hard to read. It is easy to overwhelm the user.</w:t>
      </w:r>
    </w:p>
    <w:p w14:paraId="7D65E7CF" w14:textId="77777777" w:rsidR="0068046A" w:rsidRDefault="0068046A" w:rsidP="00D71C9E">
      <w:pPr>
        <w:numPr>
          <w:ilvl w:val="0"/>
          <w:numId w:val="7"/>
        </w:numPr>
      </w:pPr>
      <w:r>
        <w:t>Make sure all data adds up to 100% Verify that values total 100% and that pie slices are sized proportionately to their corresponding value</w:t>
      </w:r>
    </w:p>
    <w:p w14:paraId="497AE098" w14:textId="77777777" w:rsidR="0068046A" w:rsidRDefault="0068046A" w:rsidP="0068046A">
      <w:pPr>
        <w:pStyle w:val="FirstParagraph"/>
      </w:pPr>
      <w:r>
        <w:rPr>
          <w:b/>
        </w:rPr>
        <w:t>When to use a Pie Chart</w:t>
      </w:r>
    </w:p>
    <w:p w14:paraId="0A06F7EC" w14:textId="77777777" w:rsidR="0068046A" w:rsidRDefault="0068046A" w:rsidP="0068046A">
      <w:pPr>
        <w:pStyle w:val="BodyText"/>
      </w:pPr>
      <w:r>
        <w:t>Pie charts are best used when making part-to-whole comparisons. hey have the most impact when the proportion being expressed holds more importance than the specific numbers. They are most clearly understood when using small data sets, often grouping smaller data into an “other” category on the chart.</w:t>
      </w:r>
    </w:p>
    <w:p w14:paraId="4861BDE6" w14:textId="77777777" w:rsidR="0068046A" w:rsidRDefault="0068046A" w:rsidP="0068046A">
      <w:pPr>
        <w:pStyle w:val="BodyText"/>
      </w:pPr>
      <w:r>
        <w:t>It is recommended that you use a Pie chart when you’ve got 2-3 data points that are significantly different. This is the one instance when pie charts are helpful ‒ they’re good at showing people what a fraction of something looks like.</w:t>
      </w:r>
    </w:p>
    <w:p w14:paraId="68BEFDFD" w14:textId="77777777" w:rsidR="0068046A" w:rsidRDefault="0068046A" w:rsidP="0068046A">
      <w:pPr>
        <w:pStyle w:val="BodyText"/>
      </w:pPr>
      <w:r>
        <w:rPr>
          <w:b/>
        </w:rPr>
        <w:t>Common Misuses</w:t>
      </w:r>
    </w:p>
    <w:p w14:paraId="0222C029" w14:textId="222B2FF8" w:rsidR="0068046A" w:rsidRDefault="0068046A" w:rsidP="0068046A">
      <w:pPr>
        <w:pStyle w:val="BodyText"/>
      </w:pPr>
      <w:r>
        <w:t>Fitting a pie to incompatible data</w:t>
      </w:r>
      <w:r w:rsidR="00925925">
        <w:t xml:space="preserve"> - </w:t>
      </w:r>
      <w:r>
        <w:t xml:space="preserve">One of the most common mistakes with using a pie chart is to fit it to data that does not represent a parts-to-whole comparison. This confusion </w:t>
      </w:r>
      <w:r>
        <w:lastRenderedPageBreak/>
        <w:t xml:space="preserve">occurs most often when the values to be plotted are percentages or proportions, but don’t comprise a complete whole. </w:t>
      </w:r>
    </w:p>
    <w:p w14:paraId="0A3291EE" w14:textId="77777777" w:rsidR="0068046A" w:rsidRDefault="0068046A" w:rsidP="0068046A">
      <w:pPr>
        <w:pStyle w:val="Heading2"/>
      </w:pPr>
      <w:bookmarkStart w:id="4" w:name="use-case-examples"/>
      <w:bookmarkEnd w:id="3"/>
      <w:r>
        <w:t>Use Case Examples</w:t>
      </w:r>
    </w:p>
    <w:p w14:paraId="5115114F" w14:textId="3592B9D0" w:rsidR="0068046A" w:rsidRDefault="0068046A" w:rsidP="0068046A">
      <w:pPr>
        <w:pStyle w:val="FirstParagraph"/>
      </w:pPr>
      <w:r>
        <w:t xml:space="preserve">In this example, the pie chart was used to represent the data from </w:t>
      </w:r>
      <w:r w:rsidRPr="00424645">
        <w:t>Percentage of population with knowledge of English and French by census division, 2016</w:t>
      </w:r>
      <w:r>
        <w:t>.</w:t>
      </w:r>
    </w:p>
    <w:p w14:paraId="3045D6DD" w14:textId="77777777" w:rsidR="0068046A" w:rsidRDefault="0068046A" w:rsidP="0068046A">
      <w:pPr>
        <w:pStyle w:val="Heading2"/>
      </w:pPr>
      <w:bookmarkStart w:id="5" w:name="getting-started"/>
      <w:bookmarkEnd w:id="4"/>
      <w:r>
        <w:t>Getting Started</w:t>
      </w:r>
    </w:p>
    <w:p w14:paraId="0250984F" w14:textId="77777777" w:rsidR="0068046A" w:rsidRDefault="0068046A" w:rsidP="0068046A">
      <w:pPr>
        <w:pStyle w:val="FirstParagraph"/>
      </w:pPr>
      <w:r>
        <w:t>The plugin works with the following mapping services:</w:t>
      </w:r>
    </w:p>
    <w:p w14:paraId="68EFAEC4" w14:textId="77777777" w:rsidR="0068046A" w:rsidRDefault="0068046A" w:rsidP="00D71C9E">
      <w:pPr>
        <w:pStyle w:val="Compact"/>
        <w:numPr>
          <w:ilvl w:val="0"/>
          <w:numId w:val="8"/>
        </w:numPr>
      </w:pPr>
      <w:r>
        <w:t>ESRI Feature</w:t>
      </w:r>
    </w:p>
    <w:p w14:paraId="4E108B84" w14:textId="77777777" w:rsidR="0068046A" w:rsidRDefault="0068046A" w:rsidP="00D71C9E">
      <w:pPr>
        <w:pStyle w:val="Compact"/>
        <w:numPr>
          <w:ilvl w:val="0"/>
          <w:numId w:val="8"/>
        </w:numPr>
      </w:pPr>
      <w:r>
        <w:t>ESRI Dynamic</w:t>
      </w:r>
    </w:p>
    <w:p w14:paraId="6BC53086" w14:textId="3243F2AB" w:rsidR="0068046A" w:rsidRDefault="0068046A" w:rsidP="0068046A">
      <w:pPr>
        <w:pStyle w:val="FirstParagraph"/>
      </w:pPr>
      <w:r>
        <w:t xml:space="preserve">More information on Web map services can be found </w:t>
      </w:r>
      <w:r w:rsidRPr="00D71C9E">
        <w:t>here.</w:t>
      </w:r>
    </w:p>
    <w:p w14:paraId="6109084C" w14:textId="77777777" w:rsidR="0068046A" w:rsidRDefault="0068046A" w:rsidP="0068046A">
      <w:pPr>
        <w:pStyle w:val="Heading3"/>
      </w:pPr>
      <w:bookmarkStart w:id="6" w:name="data-preparation"/>
      <w:r>
        <w:t>Data Preparation</w:t>
      </w:r>
    </w:p>
    <w:p w14:paraId="4DD9E711" w14:textId="65D0619E" w:rsidR="00D71C9E" w:rsidRDefault="00D71C9E" w:rsidP="00D71C9E">
      <w:pPr>
        <w:rPr>
          <w:b/>
          <w:bCs/>
        </w:rPr>
      </w:pPr>
      <w:bookmarkStart w:id="7" w:name="configure-the-pie-chart"/>
      <w:bookmarkEnd w:id="6"/>
      <w:r w:rsidRPr="00B878F9">
        <w:t xml:space="preserve">To get started we need to ensure that the data is prepared in a format that will work well with the </w:t>
      </w:r>
      <w:r w:rsidR="00E250BD">
        <w:rPr>
          <w:b/>
          <w:bCs/>
        </w:rPr>
        <w:t>Pie</w:t>
      </w:r>
      <w:r>
        <w:rPr>
          <w:b/>
          <w:bCs/>
        </w:rPr>
        <w:t xml:space="preserve"> Chart</w:t>
      </w:r>
      <w:r w:rsidRPr="00B878F9">
        <w:t>.</w:t>
      </w:r>
      <w:r>
        <w:rPr>
          <w:b/>
          <w:bCs/>
        </w:rPr>
        <w:t xml:space="preserve"> </w:t>
      </w:r>
    </w:p>
    <w:p w14:paraId="120BD0E3" w14:textId="23B0C7D9" w:rsidR="00D71C9E" w:rsidRDefault="00D71C9E" w:rsidP="00D71C9E">
      <w:r>
        <w:t>As mentioned earlier, the Charting Plugin supports three types of data structures. When publishing your map service, it is important to</w:t>
      </w:r>
      <w:r w:rsidRPr="00B878F9">
        <w:t xml:space="preserve"> </w:t>
      </w:r>
      <w:r>
        <w:t>ensure that linked tables are used and configured properly. It is recommended to format your data as outlined in options 2.</w:t>
      </w:r>
    </w:p>
    <w:p w14:paraId="4FEF93B7" w14:textId="541474F8" w:rsidR="00D71C9E" w:rsidRDefault="00D71C9E" w:rsidP="00D71C9E">
      <w:r>
        <w:t xml:space="preserve">Option 2 expected that each variable/parameter to be charted is </w:t>
      </w:r>
      <w:r w:rsidR="00E250BD">
        <w:t>represented as a field. Each record has the corresponding recorded value.</w:t>
      </w:r>
    </w:p>
    <w:p w14:paraId="2FD83FE9" w14:textId="2DE3C90A" w:rsidR="00E250BD" w:rsidRDefault="00E250BD" w:rsidP="00D71C9E">
      <w:r>
        <w:t>Example</w:t>
      </w:r>
    </w:p>
    <w:tbl>
      <w:tblPr>
        <w:tblStyle w:val="TableGrid"/>
        <w:tblW w:w="9160" w:type="dxa"/>
        <w:tblLook w:val="04A0" w:firstRow="1" w:lastRow="0" w:firstColumn="1" w:lastColumn="0" w:noHBand="0" w:noVBand="1"/>
      </w:tblPr>
      <w:tblGrid>
        <w:gridCol w:w="1458"/>
        <w:gridCol w:w="1170"/>
        <w:gridCol w:w="1170"/>
        <w:gridCol w:w="1170"/>
        <w:gridCol w:w="1170"/>
        <w:gridCol w:w="1109"/>
        <w:gridCol w:w="953"/>
        <w:gridCol w:w="960"/>
      </w:tblGrid>
      <w:tr w:rsidR="00E250BD" w:rsidRPr="00E250BD" w14:paraId="6D6BB359" w14:textId="77777777" w:rsidTr="00C331C1">
        <w:trPr>
          <w:trHeight w:val="300"/>
        </w:trPr>
        <w:tc>
          <w:tcPr>
            <w:tcW w:w="1458" w:type="dxa"/>
            <w:noWrap/>
            <w:hideMark/>
          </w:tcPr>
          <w:p w14:paraId="10B4E423" w14:textId="77777777" w:rsidR="00E250BD" w:rsidRPr="00E250BD" w:rsidRDefault="00E250BD" w:rsidP="00E250BD">
            <w:pPr>
              <w:rPr>
                <w:rFonts w:ascii="Calibri" w:eastAsia="Times New Roman" w:hAnsi="Calibri" w:cs="Calibri"/>
                <w:color w:val="000000"/>
                <w:sz w:val="22"/>
                <w:szCs w:val="22"/>
              </w:rPr>
            </w:pPr>
            <w:r w:rsidRPr="00E250BD">
              <w:rPr>
                <w:rFonts w:ascii="Calibri" w:eastAsia="Times New Roman" w:hAnsi="Calibri" w:cs="Calibri"/>
                <w:color w:val="000000"/>
                <w:sz w:val="22"/>
                <w:szCs w:val="22"/>
              </w:rPr>
              <w:t>Station Name</w:t>
            </w:r>
          </w:p>
        </w:tc>
        <w:tc>
          <w:tcPr>
            <w:tcW w:w="1170" w:type="dxa"/>
            <w:noWrap/>
            <w:hideMark/>
          </w:tcPr>
          <w:p w14:paraId="06A0CD16" w14:textId="77777777" w:rsidR="00E250BD" w:rsidRPr="00E250BD" w:rsidRDefault="00E250BD" w:rsidP="00E250BD">
            <w:pPr>
              <w:rPr>
                <w:rFonts w:ascii="Calibri" w:eastAsia="Times New Roman" w:hAnsi="Calibri" w:cs="Calibri"/>
                <w:color w:val="000000"/>
                <w:sz w:val="22"/>
                <w:szCs w:val="22"/>
              </w:rPr>
            </w:pPr>
            <w:r w:rsidRPr="00E250BD">
              <w:rPr>
                <w:rFonts w:ascii="Calibri" w:eastAsia="Times New Roman" w:hAnsi="Calibri" w:cs="Calibri"/>
                <w:color w:val="000000"/>
                <w:sz w:val="22"/>
                <w:szCs w:val="22"/>
              </w:rPr>
              <w:t>Variable 1</w:t>
            </w:r>
          </w:p>
        </w:tc>
        <w:tc>
          <w:tcPr>
            <w:tcW w:w="1170" w:type="dxa"/>
            <w:noWrap/>
            <w:hideMark/>
          </w:tcPr>
          <w:p w14:paraId="61E88B93" w14:textId="77777777" w:rsidR="00E250BD" w:rsidRPr="00E250BD" w:rsidRDefault="00E250BD" w:rsidP="00E250BD">
            <w:pPr>
              <w:rPr>
                <w:rFonts w:ascii="Calibri" w:eastAsia="Times New Roman" w:hAnsi="Calibri" w:cs="Calibri"/>
                <w:color w:val="000000"/>
                <w:sz w:val="22"/>
                <w:szCs w:val="22"/>
              </w:rPr>
            </w:pPr>
            <w:r w:rsidRPr="00E250BD">
              <w:rPr>
                <w:rFonts w:ascii="Calibri" w:eastAsia="Times New Roman" w:hAnsi="Calibri" w:cs="Calibri"/>
                <w:color w:val="000000"/>
                <w:sz w:val="22"/>
                <w:szCs w:val="22"/>
              </w:rPr>
              <w:t>Variable 2</w:t>
            </w:r>
          </w:p>
        </w:tc>
        <w:tc>
          <w:tcPr>
            <w:tcW w:w="1170" w:type="dxa"/>
            <w:noWrap/>
            <w:hideMark/>
          </w:tcPr>
          <w:p w14:paraId="313F644A" w14:textId="77777777" w:rsidR="00E250BD" w:rsidRPr="00E250BD" w:rsidRDefault="00E250BD" w:rsidP="00E250BD">
            <w:pPr>
              <w:rPr>
                <w:rFonts w:ascii="Calibri" w:eastAsia="Times New Roman" w:hAnsi="Calibri" w:cs="Calibri"/>
                <w:color w:val="000000"/>
                <w:sz w:val="22"/>
                <w:szCs w:val="22"/>
              </w:rPr>
            </w:pPr>
            <w:r w:rsidRPr="00E250BD">
              <w:rPr>
                <w:rFonts w:ascii="Calibri" w:eastAsia="Times New Roman" w:hAnsi="Calibri" w:cs="Calibri"/>
                <w:color w:val="000000"/>
                <w:sz w:val="22"/>
                <w:szCs w:val="22"/>
              </w:rPr>
              <w:t>Variable 3</w:t>
            </w:r>
          </w:p>
        </w:tc>
        <w:tc>
          <w:tcPr>
            <w:tcW w:w="1170" w:type="dxa"/>
            <w:noWrap/>
            <w:hideMark/>
          </w:tcPr>
          <w:p w14:paraId="67F73536" w14:textId="77777777" w:rsidR="00E250BD" w:rsidRPr="00E250BD" w:rsidRDefault="00E250BD" w:rsidP="00E250BD">
            <w:pPr>
              <w:rPr>
                <w:rFonts w:ascii="Calibri" w:eastAsia="Times New Roman" w:hAnsi="Calibri" w:cs="Calibri"/>
                <w:color w:val="000000"/>
                <w:sz w:val="22"/>
                <w:szCs w:val="22"/>
              </w:rPr>
            </w:pPr>
            <w:r w:rsidRPr="00E250BD">
              <w:rPr>
                <w:rFonts w:ascii="Calibri" w:eastAsia="Times New Roman" w:hAnsi="Calibri" w:cs="Calibri"/>
                <w:color w:val="000000"/>
                <w:sz w:val="22"/>
                <w:szCs w:val="22"/>
              </w:rPr>
              <w:t>Variable 4</w:t>
            </w:r>
          </w:p>
        </w:tc>
        <w:tc>
          <w:tcPr>
            <w:tcW w:w="1109" w:type="dxa"/>
            <w:noWrap/>
            <w:hideMark/>
          </w:tcPr>
          <w:p w14:paraId="11C139A7" w14:textId="77777777" w:rsidR="00E250BD" w:rsidRPr="00E250BD" w:rsidRDefault="00E250BD" w:rsidP="00E250BD">
            <w:pPr>
              <w:rPr>
                <w:rFonts w:ascii="Calibri" w:eastAsia="Times New Roman" w:hAnsi="Calibri" w:cs="Calibri"/>
                <w:color w:val="000000"/>
                <w:sz w:val="22"/>
                <w:szCs w:val="22"/>
              </w:rPr>
            </w:pPr>
            <w:r w:rsidRPr="00E250BD">
              <w:rPr>
                <w:rFonts w:ascii="Calibri" w:eastAsia="Times New Roman" w:hAnsi="Calibri" w:cs="Calibri"/>
                <w:color w:val="000000"/>
                <w:sz w:val="22"/>
                <w:szCs w:val="22"/>
              </w:rPr>
              <w:t>Longitude</w:t>
            </w:r>
          </w:p>
        </w:tc>
        <w:tc>
          <w:tcPr>
            <w:tcW w:w="953" w:type="dxa"/>
            <w:noWrap/>
            <w:hideMark/>
          </w:tcPr>
          <w:p w14:paraId="3CCD77C3" w14:textId="77777777" w:rsidR="00E250BD" w:rsidRPr="00E250BD" w:rsidRDefault="00E250BD" w:rsidP="00E250BD">
            <w:pPr>
              <w:rPr>
                <w:rFonts w:ascii="Calibri" w:eastAsia="Times New Roman" w:hAnsi="Calibri" w:cs="Calibri"/>
                <w:color w:val="000000"/>
                <w:sz w:val="22"/>
                <w:szCs w:val="22"/>
              </w:rPr>
            </w:pPr>
            <w:r w:rsidRPr="00E250BD">
              <w:rPr>
                <w:rFonts w:ascii="Calibri" w:eastAsia="Times New Roman" w:hAnsi="Calibri" w:cs="Calibri"/>
                <w:color w:val="000000"/>
                <w:sz w:val="22"/>
                <w:szCs w:val="22"/>
              </w:rPr>
              <w:t>Latitude</w:t>
            </w:r>
          </w:p>
        </w:tc>
        <w:tc>
          <w:tcPr>
            <w:tcW w:w="960" w:type="dxa"/>
            <w:noWrap/>
            <w:hideMark/>
          </w:tcPr>
          <w:p w14:paraId="3178413E" w14:textId="77777777" w:rsidR="00E250BD" w:rsidRPr="00E250BD" w:rsidRDefault="00E250BD" w:rsidP="00E250BD">
            <w:pPr>
              <w:rPr>
                <w:rFonts w:ascii="Calibri" w:eastAsia="Times New Roman" w:hAnsi="Calibri" w:cs="Calibri"/>
                <w:color w:val="000000"/>
                <w:sz w:val="22"/>
                <w:szCs w:val="22"/>
              </w:rPr>
            </w:pPr>
            <w:r w:rsidRPr="00E250BD">
              <w:rPr>
                <w:rFonts w:ascii="Calibri" w:eastAsia="Times New Roman" w:hAnsi="Calibri" w:cs="Calibri"/>
                <w:color w:val="000000"/>
                <w:sz w:val="22"/>
                <w:szCs w:val="22"/>
              </w:rPr>
              <w:t>Year</w:t>
            </w:r>
          </w:p>
        </w:tc>
      </w:tr>
      <w:tr w:rsidR="00E250BD" w:rsidRPr="00E250BD" w14:paraId="31FED892" w14:textId="77777777" w:rsidTr="00C331C1">
        <w:trPr>
          <w:trHeight w:val="300"/>
        </w:trPr>
        <w:tc>
          <w:tcPr>
            <w:tcW w:w="1458" w:type="dxa"/>
            <w:noWrap/>
            <w:hideMark/>
          </w:tcPr>
          <w:p w14:paraId="57CC56A4" w14:textId="77777777" w:rsidR="00E250BD" w:rsidRPr="00E250BD" w:rsidRDefault="00E250BD" w:rsidP="00E250BD">
            <w:pPr>
              <w:rPr>
                <w:rFonts w:ascii="Calibri" w:eastAsia="Times New Roman" w:hAnsi="Calibri" w:cs="Calibri"/>
                <w:color w:val="000000"/>
                <w:sz w:val="22"/>
                <w:szCs w:val="22"/>
              </w:rPr>
            </w:pPr>
            <w:r w:rsidRPr="00E250BD">
              <w:rPr>
                <w:rFonts w:ascii="Calibri" w:eastAsia="Times New Roman" w:hAnsi="Calibri" w:cs="Calibri"/>
                <w:color w:val="000000"/>
                <w:sz w:val="22"/>
                <w:szCs w:val="22"/>
              </w:rPr>
              <w:t>Station A</w:t>
            </w:r>
          </w:p>
        </w:tc>
        <w:tc>
          <w:tcPr>
            <w:tcW w:w="1170" w:type="dxa"/>
            <w:noWrap/>
            <w:hideMark/>
          </w:tcPr>
          <w:p w14:paraId="5524AE6A" w14:textId="77777777" w:rsidR="00E250BD" w:rsidRPr="00E250BD" w:rsidRDefault="00E250BD" w:rsidP="00E250BD">
            <w:pPr>
              <w:jc w:val="right"/>
              <w:rPr>
                <w:rFonts w:ascii="Calibri" w:eastAsia="Times New Roman" w:hAnsi="Calibri" w:cs="Calibri"/>
                <w:color w:val="000000"/>
                <w:sz w:val="22"/>
                <w:szCs w:val="22"/>
              </w:rPr>
            </w:pPr>
            <w:r w:rsidRPr="00E250BD">
              <w:rPr>
                <w:rFonts w:ascii="Calibri" w:eastAsia="Times New Roman" w:hAnsi="Calibri" w:cs="Calibri"/>
                <w:color w:val="000000"/>
                <w:sz w:val="22"/>
                <w:szCs w:val="22"/>
              </w:rPr>
              <w:t>25</w:t>
            </w:r>
          </w:p>
        </w:tc>
        <w:tc>
          <w:tcPr>
            <w:tcW w:w="1170" w:type="dxa"/>
            <w:noWrap/>
            <w:hideMark/>
          </w:tcPr>
          <w:p w14:paraId="7B43F45E" w14:textId="77777777" w:rsidR="00E250BD" w:rsidRPr="00E250BD" w:rsidRDefault="00E250BD" w:rsidP="00E250BD">
            <w:pPr>
              <w:jc w:val="right"/>
              <w:rPr>
                <w:rFonts w:ascii="Calibri" w:eastAsia="Times New Roman" w:hAnsi="Calibri" w:cs="Calibri"/>
                <w:color w:val="000000"/>
                <w:sz w:val="22"/>
                <w:szCs w:val="22"/>
              </w:rPr>
            </w:pPr>
            <w:r w:rsidRPr="00E250BD">
              <w:rPr>
                <w:rFonts w:ascii="Calibri" w:eastAsia="Times New Roman" w:hAnsi="Calibri" w:cs="Calibri"/>
                <w:color w:val="000000"/>
                <w:sz w:val="22"/>
                <w:szCs w:val="22"/>
              </w:rPr>
              <w:t>15</w:t>
            </w:r>
          </w:p>
        </w:tc>
        <w:tc>
          <w:tcPr>
            <w:tcW w:w="1170" w:type="dxa"/>
            <w:noWrap/>
            <w:hideMark/>
          </w:tcPr>
          <w:p w14:paraId="7902AE82" w14:textId="77777777" w:rsidR="00E250BD" w:rsidRPr="00E250BD" w:rsidRDefault="00E250BD" w:rsidP="00E250BD">
            <w:pPr>
              <w:jc w:val="right"/>
              <w:rPr>
                <w:rFonts w:ascii="Calibri" w:eastAsia="Times New Roman" w:hAnsi="Calibri" w:cs="Calibri"/>
                <w:color w:val="000000"/>
                <w:sz w:val="22"/>
                <w:szCs w:val="22"/>
              </w:rPr>
            </w:pPr>
            <w:r w:rsidRPr="00E250BD">
              <w:rPr>
                <w:rFonts w:ascii="Calibri" w:eastAsia="Times New Roman" w:hAnsi="Calibri" w:cs="Calibri"/>
                <w:color w:val="000000"/>
                <w:sz w:val="22"/>
                <w:szCs w:val="22"/>
              </w:rPr>
              <w:t>40</w:t>
            </w:r>
          </w:p>
        </w:tc>
        <w:tc>
          <w:tcPr>
            <w:tcW w:w="1170" w:type="dxa"/>
            <w:noWrap/>
            <w:hideMark/>
          </w:tcPr>
          <w:p w14:paraId="76EDB4DF" w14:textId="77777777" w:rsidR="00E250BD" w:rsidRPr="00E250BD" w:rsidRDefault="00E250BD" w:rsidP="00E250BD">
            <w:pPr>
              <w:jc w:val="right"/>
              <w:rPr>
                <w:rFonts w:ascii="Calibri" w:eastAsia="Times New Roman" w:hAnsi="Calibri" w:cs="Calibri"/>
                <w:color w:val="000000"/>
                <w:sz w:val="22"/>
                <w:szCs w:val="22"/>
              </w:rPr>
            </w:pPr>
            <w:r w:rsidRPr="00E250BD">
              <w:rPr>
                <w:rFonts w:ascii="Calibri" w:eastAsia="Times New Roman" w:hAnsi="Calibri" w:cs="Calibri"/>
                <w:color w:val="000000"/>
                <w:sz w:val="22"/>
                <w:szCs w:val="22"/>
              </w:rPr>
              <w:t>20</w:t>
            </w:r>
          </w:p>
        </w:tc>
        <w:tc>
          <w:tcPr>
            <w:tcW w:w="1109" w:type="dxa"/>
            <w:noWrap/>
            <w:hideMark/>
          </w:tcPr>
          <w:p w14:paraId="1840D4C3" w14:textId="77777777" w:rsidR="00E250BD" w:rsidRPr="00E250BD" w:rsidRDefault="00E250BD" w:rsidP="00E250BD">
            <w:pPr>
              <w:jc w:val="right"/>
              <w:rPr>
                <w:rFonts w:ascii="Calibri" w:eastAsia="Times New Roman" w:hAnsi="Calibri" w:cs="Calibri"/>
                <w:color w:val="000000"/>
                <w:sz w:val="22"/>
                <w:szCs w:val="22"/>
              </w:rPr>
            </w:pPr>
            <w:r w:rsidRPr="00E250BD">
              <w:rPr>
                <w:rFonts w:ascii="Calibri" w:eastAsia="Times New Roman" w:hAnsi="Calibri" w:cs="Calibri"/>
                <w:color w:val="000000"/>
                <w:sz w:val="22"/>
                <w:szCs w:val="22"/>
              </w:rPr>
              <w:t>43.66</w:t>
            </w:r>
          </w:p>
        </w:tc>
        <w:tc>
          <w:tcPr>
            <w:tcW w:w="953" w:type="dxa"/>
            <w:noWrap/>
            <w:hideMark/>
          </w:tcPr>
          <w:p w14:paraId="0A2EF929" w14:textId="77777777" w:rsidR="00E250BD" w:rsidRPr="00E250BD" w:rsidRDefault="00E250BD" w:rsidP="00E250BD">
            <w:pPr>
              <w:jc w:val="right"/>
              <w:rPr>
                <w:rFonts w:ascii="Calibri" w:eastAsia="Times New Roman" w:hAnsi="Calibri" w:cs="Calibri"/>
                <w:color w:val="000000"/>
                <w:sz w:val="22"/>
                <w:szCs w:val="22"/>
              </w:rPr>
            </w:pPr>
            <w:r w:rsidRPr="00E250BD">
              <w:rPr>
                <w:rFonts w:ascii="Calibri" w:eastAsia="Times New Roman" w:hAnsi="Calibri" w:cs="Calibri"/>
                <w:color w:val="000000"/>
                <w:sz w:val="22"/>
                <w:szCs w:val="22"/>
              </w:rPr>
              <w:t>-120.83</w:t>
            </w:r>
          </w:p>
        </w:tc>
        <w:tc>
          <w:tcPr>
            <w:tcW w:w="960" w:type="dxa"/>
            <w:noWrap/>
            <w:hideMark/>
          </w:tcPr>
          <w:p w14:paraId="471955D6" w14:textId="77777777" w:rsidR="00E250BD" w:rsidRPr="00E250BD" w:rsidRDefault="00E250BD" w:rsidP="00E250BD">
            <w:pPr>
              <w:jc w:val="right"/>
              <w:rPr>
                <w:rFonts w:ascii="Calibri" w:eastAsia="Times New Roman" w:hAnsi="Calibri" w:cs="Calibri"/>
                <w:color w:val="000000"/>
                <w:sz w:val="22"/>
                <w:szCs w:val="22"/>
              </w:rPr>
            </w:pPr>
            <w:r w:rsidRPr="00E250BD">
              <w:rPr>
                <w:rFonts w:ascii="Calibri" w:eastAsia="Times New Roman" w:hAnsi="Calibri" w:cs="Calibri"/>
                <w:color w:val="000000"/>
                <w:sz w:val="22"/>
                <w:szCs w:val="22"/>
              </w:rPr>
              <w:t>2020</w:t>
            </w:r>
          </w:p>
        </w:tc>
      </w:tr>
      <w:tr w:rsidR="00E250BD" w:rsidRPr="00E250BD" w14:paraId="38201DE7" w14:textId="77777777" w:rsidTr="00C331C1">
        <w:trPr>
          <w:trHeight w:val="300"/>
        </w:trPr>
        <w:tc>
          <w:tcPr>
            <w:tcW w:w="1458" w:type="dxa"/>
            <w:noWrap/>
            <w:hideMark/>
          </w:tcPr>
          <w:p w14:paraId="18C72D1C" w14:textId="77777777" w:rsidR="00E250BD" w:rsidRPr="00E250BD" w:rsidRDefault="00E250BD" w:rsidP="00E250BD">
            <w:pPr>
              <w:rPr>
                <w:rFonts w:ascii="Calibri" w:eastAsia="Times New Roman" w:hAnsi="Calibri" w:cs="Calibri"/>
                <w:color w:val="000000"/>
                <w:sz w:val="22"/>
                <w:szCs w:val="22"/>
              </w:rPr>
            </w:pPr>
            <w:r w:rsidRPr="00E250BD">
              <w:rPr>
                <w:rFonts w:ascii="Calibri" w:eastAsia="Times New Roman" w:hAnsi="Calibri" w:cs="Calibri"/>
                <w:color w:val="000000"/>
                <w:sz w:val="22"/>
                <w:szCs w:val="22"/>
              </w:rPr>
              <w:t>Station B</w:t>
            </w:r>
          </w:p>
        </w:tc>
        <w:tc>
          <w:tcPr>
            <w:tcW w:w="1170" w:type="dxa"/>
            <w:noWrap/>
            <w:hideMark/>
          </w:tcPr>
          <w:p w14:paraId="2C1A5D5F" w14:textId="77777777" w:rsidR="00E250BD" w:rsidRPr="00E250BD" w:rsidRDefault="00E250BD" w:rsidP="00E250BD">
            <w:pPr>
              <w:jc w:val="right"/>
              <w:rPr>
                <w:rFonts w:ascii="Calibri" w:eastAsia="Times New Roman" w:hAnsi="Calibri" w:cs="Calibri"/>
                <w:color w:val="000000"/>
                <w:sz w:val="22"/>
                <w:szCs w:val="22"/>
              </w:rPr>
            </w:pPr>
            <w:r w:rsidRPr="00E250BD">
              <w:rPr>
                <w:rFonts w:ascii="Calibri" w:eastAsia="Times New Roman" w:hAnsi="Calibri" w:cs="Calibri"/>
                <w:color w:val="000000"/>
                <w:sz w:val="22"/>
                <w:szCs w:val="22"/>
              </w:rPr>
              <w:t>20</w:t>
            </w:r>
          </w:p>
        </w:tc>
        <w:tc>
          <w:tcPr>
            <w:tcW w:w="1170" w:type="dxa"/>
            <w:noWrap/>
            <w:hideMark/>
          </w:tcPr>
          <w:p w14:paraId="0A7CC2F5" w14:textId="77777777" w:rsidR="00E250BD" w:rsidRPr="00E250BD" w:rsidRDefault="00E250BD" w:rsidP="00E250BD">
            <w:pPr>
              <w:jc w:val="right"/>
              <w:rPr>
                <w:rFonts w:ascii="Calibri" w:eastAsia="Times New Roman" w:hAnsi="Calibri" w:cs="Calibri"/>
                <w:color w:val="000000"/>
                <w:sz w:val="22"/>
                <w:szCs w:val="22"/>
              </w:rPr>
            </w:pPr>
            <w:r w:rsidRPr="00E250BD">
              <w:rPr>
                <w:rFonts w:ascii="Calibri" w:eastAsia="Times New Roman" w:hAnsi="Calibri" w:cs="Calibri"/>
                <w:color w:val="000000"/>
                <w:sz w:val="22"/>
                <w:szCs w:val="22"/>
              </w:rPr>
              <w:t>25</w:t>
            </w:r>
          </w:p>
        </w:tc>
        <w:tc>
          <w:tcPr>
            <w:tcW w:w="1170" w:type="dxa"/>
            <w:noWrap/>
            <w:hideMark/>
          </w:tcPr>
          <w:p w14:paraId="6F4FE261" w14:textId="77777777" w:rsidR="00E250BD" w:rsidRPr="00E250BD" w:rsidRDefault="00E250BD" w:rsidP="00E250BD">
            <w:pPr>
              <w:jc w:val="right"/>
              <w:rPr>
                <w:rFonts w:ascii="Calibri" w:eastAsia="Times New Roman" w:hAnsi="Calibri" w:cs="Calibri"/>
                <w:color w:val="000000"/>
                <w:sz w:val="22"/>
                <w:szCs w:val="22"/>
              </w:rPr>
            </w:pPr>
            <w:r w:rsidRPr="00E250BD">
              <w:rPr>
                <w:rFonts w:ascii="Calibri" w:eastAsia="Times New Roman" w:hAnsi="Calibri" w:cs="Calibri"/>
                <w:color w:val="000000"/>
                <w:sz w:val="22"/>
                <w:szCs w:val="22"/>
              </w:rPr>
              <w:t>35</w:t>
            </w:r>
          </w:p>
        </w:tc>
        <w:tc>
          <w:tcPr>
            <w:tcW w:w="1170" w:type="dxa"/>
            <w:noWrap/>
            <w:hideMark/>
          </w:tcPr>
          <w:p w14:paraId="66AC97F9" w14:textId="77777777" w:rsidR="00E250BD" w:rsidRPr="00E250BD" w:rsidRDefault="00E250BD" w:rsidP="00E250BD">
            <w:pPr>
              <w:jc w:val="right"/>
              <w:rPr>
                <w:rFonts w:ascii="Calibri" w:eastAsia="Times New Roman" w:hAnsi="Calibri" w:cs="Calibri"/>
                <w:color w:val="000000"/>
                <w:sz w:val="22"/>
                <w:szCs w:val="22"/>
              </w:rPr>
            </w:pPr>
            <w:r w:rsidRPr="00E250BD">
              <w:rPr>
                <w:rFonts w:ascii="Calibri" w:eastAsia="Times New Roman" w:hAnsi="Calibri" w:cs="Calibri"/>
                <w:color w:val="000000"/>
                <w:sz w:val="22"/>
                <w:szCs w:val="22"/>
              </w:rPr>
              <w:t>20</w:t>
            </w:r>
          </w:p>
        </w:tc>
        <w:tc>
          <w:tcPr>
            <w:tcW w:w="1109" w:type="dxa"/>
            <w:noWrap/>
            <w:hideMark/>
          </w:tcPr>
          <w:p w14:paraId="064F2BAA" w14:textId="77777777" w:rsidR="00E250BD" w:rsidRPr="00E250BD" w:rsidRDefault="00E250BD" w:rsidP="00E250BD">
            <w:pPr>
              <w:jc w:val="right"/>
              <w:rPr>
                <w:rFonts w:ascii="Calibri" w:eastAsia="Times New Roman" w:hAnsi="Calibri" w:cs="Calibri"/>
                <w:color w:val="000000"/>
                <w:sz w:val="22"/>
                <w:szCs w:val="22"/>
              </w:rPr>
            </w:pPr>
            <w:r w:rsidRPr="00E250BD">
              <w:rPr>
                <w:rFonts w:ascii="Calibri" w:eastAsia="Times New Roman" w:hAnsi="Calibri" w:cs="Calibri"/>
                <w:color w:val="000000"/>
                <w:sz w:val="22"/>
                <w:szCs w:val="22"/>
              </w:rPr>
              <w:t>50.43</w:t>
            </w:r>
          </w:p>
        </w:tc>
        <w:tc>
          <w:tcPr>
            <w:tcW w:w="953" w:type="dxa"/>
            <w:noWrap/>
            <w:hideMark/>
          </w:tcPr>
          <w:p w14:paraId="264AC411" w14:textId="77777777" w:rsidR="00E250BD" w:rsidRPr="00E250BD" w:rsidRDefault="00E250BD" w:rsidP="00E250BD">
            <w:pPr>
              <w:jc w:val="right"/>
              <w:rPr>
                <w:rFonts w:ascii="Calibri" w:eastAsia="Times New Roman" w:hAnsi="Calibri" w:cs="Calibri"/>
                <w:color w:val="000000"/>
                <w:sz w:val="22"/>
                <w:szCs w:val="22"/>
              </w:rPr>
            </w:pPr>
            <w:r w:rsidRPr="00E250BD">
              <w:rPr>
                <w:rFonts w:ascii="Calibri" w:eastAsia="Times New Roman" w:hAnsi="Calibri" w:cs="Calibri"/>
                <w:color w:val="000000"/>
                <w:sz w:val="22"/>
                <w:szCs w:val="22"/>
              </w:rPr>
              <w:t>-85.827</w:t>
            </w:r>
          </w:p>
        </w:tc>
        <w:tc>
          <w:tcPr>
            <w:tcW w:w="960" w:type="dxa"/>
            <w:noWrap/>
            <w:hideMark/>
          </w:tcPr>
          <w:p w14:paraId="1D509991" w14:textId="77777777" w:rsidR="00E250BD" w:rsidRPr="00E250BD" w:rsidRDefault="00E250BD" w:rsidP="00E250BD">
            <w:pPr>
              <w:jc w:val="right"/>
              <w:rPr>
                <w:rFonts w:ascii="Calibri" w:eastAsia="Times New Roman" w:hAnsi="Calibri" w:cs="Calibri"/>
                <w:color w:val="000000"/>
                <w:sz w:val="22"/>
                <w:szCs w:val="22"/>
              </w:rPr>
            </w:pPr>
            <w:r w:rsidRPr="00E250BD">
              <w:rPr>
                <w:rFonts w:ascii="Calibri" w:eastAsia="Times New Roman" w:hAnsi="Calibri" w:cs="Calibri"/>
                <w:color w:val="000000"/>
                <w:sz w:val="22"/>
                <w:szCs w:val="22"/>
              </w:rPr>
              <w:t>2020</w:t>
            </w:r>
          </w:p>
        </w:tc>
      </w:tr>
      <w:tr w:rsidR="00E250BD" w:rsidRPr="00E250BD" w14:paraId="171A2697" w14:textId="77777777" w:rsidTr="00C331C1">
        <w:trPr>
          <w:trHeight w:val="300"/>
        </w:trPr>
        <w:tc>
          <w:tcPr>
            <w:tcW w:w="1458" w:type="dxa"/>
            <w:noWrap/>
            <w:hideMark/>
          </w:tcPr>
          <w:p w14:paraId="4327F2AC" w14:textId="77777777" w:rsidR="00E250BD" w:rsidRPr="00E250BD" w:rsidRDefault="00E250BD" w:rsidP="00E250BD">
            <w:pPr>
              <w:rPr>
                <w:rFonts w:ascii="Calibri" w:eastAsia="Times New Roman" w:hAnsi="Calibri" w:cs="Calibri"/>
                <w:color w:val="000000"/>
                <w:sz w:val="22"/>
                <w:szCs w:val="22"/>
              </w:rPr>
            </w:pPr>
            <w:r w:rsidRPr="00E250BD">
              <w:rPr>
                <w:rFonts w:ascii="Calibri" w:eastAsia="Times New Roman" w:hAnsi="Calibri" w:cs="Calibri"/>
                <w:color w:val="000000"/>
                <w:sz w:val="22"/>
                <w:szCs w:val="22"/>
              </w:rPr>
              <w:t>Station C</w:t>
            </w:r>
          </w:p>
        </w:tc>
        <w:tc>
          <w:tcPr>
            <w:tcW w:w="1170" w:type="dxa"/>
            <w:noWrap/>
            <w:hideMark/>
          </w:tcPr>
          <w:p w14:paraId="6E957C76" w14:textId="77777777" w:rsidR="00E250BD" w:rsidRPr="00E250BD" w:rsidRDefault="00E250BD" w:rsidP="00E250BD">
            <w:pPr>
              <w:jc w:val="right"/>
              <w:rPr>
                <w:rFonts w:ascii="Calibri" w:eastAsia="Times New Roman" w:hAnsi="Calibri" w:cs="Calibri"/>
                <w:color w:val="000000"/>
                <w:sz w:val="22"/>
                <w:szCs w:val="22"/>
              </w:rPr>
            </w:pPr>
            <w:r w:rsidRPr="00E250BD">
              <w:rPr>
                <w:rFonts w:ascii="Calibri" w:eastAsia="Times New Roman" w:hAnsi="Calibri" w:cs="Calibri"/>
                <w:color w:val="000000"/>
                <w:sz w:val="22"/>
                <w:szCs w:val="22"/>
              </w:rPr>
              <w:t>15</w:t>
            </w:r>
          </w:p>
        </w:tc>
        <w:tc>
          <w:tcPr>
            <w:tcW w:w="1170" w:type="dxa"/>
            <w:noWrap/>
            <w:hideMark/>
          </w:tcPr>
          <w:p w14:paraId="77D49BBF" w14:textId="77777777" w:rsidR="00E250BD" w:rsidRPr="00E250BD" w:rsidRDefault="00E250BD" w:rsidP="00E250BD">
            <w:pPr>
              <w:jc w:val="right"/>
              <w:rPr>
                <w:rFonts w:ascii="Calibri" w:eastAsia="Times New Roman" w:hAnsi="Calibri" w:cs="Calibri"/>
                <w:color w:val="000000"/>
                <w:sz w:val="22"/>
                <w:szCs w:val="22"/>
              </w:rPr>
            </w:pPr>
            <w:r w:rsidRPr="00E250BD">
              <w:rPr>
                <w:rFonts w:ascii="Calibri" w:eastAsia="Times New Roman" w:hAnsi="Calibri" w:cs="Calibri"/>
                <w:color w:val="000000"/>
                <w:sz w:val="22"/>
                <w:szCs w:val="22"/>
              </w:rPr>
              <w:t>20</w:t>
            </w:r>
          </w:p>
        </w:tc>
        <w:tc>
          <w:tcPr>
            <w:tcW w:w="1170" w:type="dxa"/>
            <w:noWrap/>
            <w:hideMark/>
          </w:tcPr>
          <w:p w14:paraId="3267E958" w14:textId="77777777" w:rsidR="00E250BD" w:rsidRPr="00E250BD" w:rsidRDefault="00E250BD" w:rsidP="00E250BD">
            <w:pPr>
              <w:jc w:val="right"/>
              <w:rPr>
                <w:rFonts w:ascii="Calibri" w:eastAsia="Times New Roman" w:hAnsi="Calibri" w:cs="Calibri"/>
                <w:color w:val="000000"/>
                <w:sz w:val="22"/>
                <w:szCs w:val="22"/>
              </w:rPr>
            </w:pPr>
            <w:r w:rsidRPr="00E250BD">
              <w:rPr>
                <w:rFonts w:ascii="Calibri" w:eastAsia="Times New Roman" w:hAnsi="Calibri" w:cs="Calibri"/>
                <w:color w:val="000000"/>
                <w:sz w:val="22"/>
                <w:szCs w:val="22"/>
              </w:rPr>
              <w:t>25</w:t>
            </w:r>
          </w:p>
        </w:tc>
        <w:tc>
          <w:tcPr>
            <w:tcW w:w="1170" w:type="dxa"/>
            <w:noWrap/>
            <w:hideMark/>
          </w:tcPr>
          <w:p w14:paraId="576FB1A7" w14:textId="77777777" w:rsidR="00E250BD" w:rsidRPr="00E250BD" w:rsidRDefault="00E250BD" w:rsidP="00E250BD">
            <w:pPr>
              <w:jc w:val="right"/>
              <w:rPr>
                <w:rFonts w:ascii="Calibri" w:eastAsia="Times New Roman" w:hAnsi="Calibri" w:cs="Calibri"/>
                <w:color w:val="000000"/>
                <w:sz w:val="22"/>
                <w:szCs w:val="22"/>
              </w:rPr>
            </w:pPr>
            <w:r w:rsidRPr="00E250BD">
              <w:rPr>
                <w:rFonts w:ascii="Calibri" w:eastAsia="Times New Roman" w:hAnsi="Calibri" w:cs="Calibri"/>
                <w:color w:val="000000"/>
                <w:sz w:val="22"/>
                <w:szCs w:val="22"/>
              </w:rPr>
              <w:t>40</w:t>
            </w:r>
          </w:p>
        </w:tc>
        <w:tc>
          <w:tcPr>
            <w:tcW w:w="1109" w:type="dxa"/>
            <w:noWrap/>
            <w:hideMark/>
          </w:tcPr>
          <w:p w14:paraId="72FF47F4" w14:textId="77777777" w:rsidR="00E250BD" w:rsidRPr="00E250BD" w:rsidRDefault="00E250BD" w:rsidP="00E250BD">
            <w:pPr>
              <w:jc w:val="right"/>
              <w:rPr>
                <w:rFonts w:ascii="Calibri" w:eastAsia="Times New Roman" w:hAnsi="Calibri" w:cs="Calibri"/>
                <w:color w:val="000000"/>
                <w:sz w:val="22"/>
                <w:szCs w:val="22"/>
              </w:rPr>
            </w:pPr>
            <w:r w:rsidRPr="00E250BD">
              <w:rPr>
                <w:rFonts w:ascii="Calibri" w:eastAsia="Times New Roman" w:hAnsi="Calibri" w:cs="Calibri"/>
                <w:color w:val="000000"/>
                <w:sz w:val="22"/>
                <w:szCs w:val="22"/>
              </w:rPr>
              <w:t>67.989</w:t>
            </w:r>
          </w:p>
        </w:tc>
        <w:tc>
          <w:tcPr>
            <w:tcW w:w="953" w:type="dxa"/>
            <w:noWrap/>
            <w:hideMark/>
          </w:tcPr>
          <w:p w14:paraId="4678583F" w14:textId="77777777" w:rsidR="00E250BD" w:rsidRPr="00E250BD" w:rsidRDefault="00E250BD" w:rsidP="00E250BD">
            <w:pPr>
              <w:jc w:val="right"/>
              <w:rPr>
                <w:rFonts w:ascii="Calibri" w:eastAsia="Times New Roman" w:hAnsi="Calibri" w:cs="Calibri"/>
                <w:color w:val="000000"/>
                <w:sz w:val="22"/>
                <w:szCs w:val="22"/>
              </w:rPr>
            </w:pPr>
            <w:r w:rsidRPr="00E250BD">
              <w:rPr>
                <w:rFonts w:ascii="Calibri" w:eastAsia="Times New Roman" w:hAnsi="Calibri" w:cs="Calibri"/>
                <w:color w:val="000000"/>
                <w:sz w:val="22"/>
                <w:szCs w:val="22"/>
              </w:rPr>
              <w:t>-90.876</w:t>
            </w:r>
          </w:p>
        </w:tc>
        <w:tc>
          <w:tcPr>
            <w:tcW w:w="960" w:type="dxa"/>
            <w:noWrap/>
            <w:hideMark/>
          </w:tcPr>
          <w:p w14:paraId="11DE456D" w14:textId="77777777" w:rsidR="00E250BD" w:rsidRPr="00E250BD" w:rsidRDefault="00E250BD" w:rsidP="00E250BD">
            <w:pPr>
              <w:jc w:val="right"/>
              <w:rPr>
                <w:rFonts w:ascii="Calibri" w:eastAsia="Times New Roman" w:hAnsi="Calibri" w:cs="Calibri"/>
                <w:color w:val="000000"/>
                <w:sz w:val="22"/>
                <w:szCs w:val="22"/>
              </w:rPr>
            </w:pPr>
            <w:r w:rsidRPr="00E250BD">
              <w:rPr>
                <w:rFonts w:ascii="Calibri" w:eastAsia="Times New Roman" w:hAnsi="Calibri" w:cs="Calibri"/>
                <w:color w:val="000000"/>
                <w:sz w:val="22"/>
                <w:szCs w:val="22"/>
              </w:rPr>
              <w:t>2020</w:t>
            </w:r>
          </w:p>
        </w:tc>
      </w:tr>
      <w:tr w:rsidR="00E250BD" w:rsidRPr="00E250BD" w14:paraId="34AE01A1" w14:textId="77777777" w:rsidTr="00C331C1">
        <w:trPr>
          <w:trHeight w:val="300"/>
        </w:trPr>
        <w:tc>
          <w:tcPr>
            <w:tcW w:w="1458" w:type="dxa"/>
            <w:noWrap/>
            <w:hideMark/>
          </w:tcPr>
          <w:p w14:paraId="614726FA" w14:textId="77777777" w:rsidR="00E250BD" w:rsidRPr="00E250BD" w:rsidRDefault="00E250BD" w:rsidP="00E250BD">
            <w:pPr>
              <w:rPr>
                <w:rFonts w:ascii="Calibri" w:eastAsia="Times New Roman" w:hAnsi="Calibri" w:cs="Calibri"/>
                <w:color w:val="000000"/>
                <w:sz w:val="22"/>
                <w:szCs w:val="22"/>
              </w:rPr>
            </w:pPr>
            <w:r w:rsidRPr="00E250BD">
              <w:rPr>
                <w:rFonts w:ascii="Calibri" w:eastAsia="Times New Roman" w:hAnsi="Calibri" w:cs="Calibri"/>
                <w:color w:val="000000"/>
                <w:sz w:val="22"/>
                <w:szCs w:val="22"/>
              </w:rPr>
              <w:t>Station D</w:t>
            </w:r>
          </w:p>
        </w:tc>
        <w:tc>
          <w:tcPr>
            <w:tcW w:w="1170" w:type="dxa"/>
            <w:noWrap/>
            <w:hideMark/>
          </w:tcPr>
          <w:p w14:paraId="01AF2089" w14:textId="77777777" w:rsidR="00E250BD" w:rsidRPr="00E250BD" w:rsidRDefault="00E250BD" w:rsidP="00E250BD">
            <w:pPr>
              <w:jc w:val="right"/>
              <w:rPr>
                <w:rFonts w:ascii="Calibri" w:eastAsia="Times New Roman" w:hAnsi="Calibri" w:cs="Calibri"/>
                <w:color w:val="000000"/>
                <w:sz w:val="22"/>
                <w:szCs w:val="22"/>
              </w:rPr>
            </w:pPr>
            <w:r w:rsidRPr="00E250BD">
              <w:rPr>
                <w:rFonts w:ascii="Calibri" w:eastAsia="Times New Roman" w:hAnsi="Calibri" w:cs="Calibri"/>
                <w:color w:val="000000"/>
                <w:sz w:val="22"/>
                <w:szCs w:val="22"/>
              </w:rPr>
              <w:t>10</w:t>
            </w:r>
          </w:p>
        </w:tc>
        <w:tc>
          <w:tcPr>
            <w:tcW w:w="1170" w:type="dxa"/>
            <w:noWrap/>
            <w:hideMark/>
          </w:tcPr>
          <w:p w14:paraId="367FE7D6" w14:textId="77777777" w:rsidR="00E250BD" w:rsidRPr="00E250BD" w:rsidRDefault="00E250BD" w:rsidP="00E250BD">
            <w:pPr>
              <w:jc w:val="right"/>
              <w:rPr>
                <w:rFonts w:ascii="Calibri" w:eastAsia="Times New Roman" w:hAnsi="Calibri" w:cs="Calibri"/>
                <w:color w:val="000000"/>
                <w:sz w:val="22"/>
                <w:szCs w:val="22"/>
              </w:rPr>
            </w:pPr>
            <w:r w:rsidRPr="00E250BD">
              <w:rPr>
                <w:rFonts w:ascii="Calibri" w:eastAsia="Times New Roman" w:hAnsi="Calibri" w:cs="Calibri"/>
                <w:color w:val="000000"/>
                <w:sz w:val="22"/>
                <w:szCs w:val="22"/>
              </w:rPr>
              <w:t>35</w:t>
            </w:r>
          </w:p>
        </w:tc>
        <w:tc>
          <w:tcPr>
            <w:tcW w:w="1170" w:type="dxa"/>
            <w:noWrap/>
            <w:hideMark/>
          </w:tcPr>
          <w:p w14:paraId="63EDBBD5" w14:textId="77777777" w:rsidR="00E250BD" w:rsidRPr="00E250BD" w:rsidRDefault="00E250BD" w:rsidP="00E250BD">
            <w:pPr>
              <w:jc w:val="right"/>
              <w:rPr>
                <w:rFonts w:ascii="Calibri" w:eastAsia="Times New Roman" w:hAnsi="Calibri" w:cs="Calibri"/>
                <w:color w:val="000000"/>
                <w:sz w:val="22"/>
                <w:szCs w:val="22"/>
              </w:rPr>
            </w:pPr>
            <w:r w:rsidRPr="00E250BD">
              <w:rPr>
                <w:rFonts w:ascii="Calibri" w:eastAsia="Times New Roman" w:hAnsi="Calibri" w:cs="Calibri"/>
                <w:color w:val="000000"/>
                <w:sz w:val="22"/>
                <w:szCs w:val="22"/>
              </w:rPr>
              <w:t>30</w:t>
            </w:r>
          </w:p>
        </w:tc>
        <w:tc>
          <w:tcPr>
            <w:tcW w:w="1170" w:type="dxa"/>
            <w:noWrap/>
            <w:hideMark/>
          </w:tcPr>
          <w:p w14:paraId="324BC8F9" w14:textId="77777777" w:rsidR="00E250BD" w:rsidRPr="00E250BD" w:rsidRDefault="00E250BD" w:rsidP="00E250BD">
            <w:pPr>
              <w:jc w:val="right"/>
              <w:rPr>
                <w:rFonts w:ascii="Calibri" w:eastAsia="Times New Roman" w:hAnsi="Calibri" w:cs="Calibri"/>
                <w:color w:val="000000"/>
                <w:sz w:val="22"/>
                <w:szCs w:val="22"/>
              </w:rPr>
            </w:pPr>
            <w:r w:rsidRPr="00E250BD">
              <w:rPr>
                <w:rFonts w:ascii="Calibri" w:eastAsia="Times New Roman" w:hAnsi="Calibri" w:cs="Calibri"/>
                <w:color w:val="000000"/>
                <w:sz w:val="22"/>
                <w:szCs w:val="22"/>
              </w:rPr>
              <w:t>25</w:t>
            </w:r>
          </w:p>
        </w:tc>
        <w:tc>
          <w:tcPr>
            <w:tcW w:w="1109" w:type="dxa"/>
            <w:noWrap/>
            <w:hideMark/>
          </w:tcPr>
          <w:p w14:paraId="2069D632" w14:textId="77777777" w:rsidR="00E250BD" w:rsidRPr="00E250BD" w:rsidRDefault="00E250BD" w:rsidP="00E250BD">
            <w:pPr>
              <w:jc w:val="right"/>
              <w:rPr>
                <w:rFonts w:ascii="Calibri" w:eastAsia="Times New Roman" w:hAnsi="Calibri" w:cs="Calibri"/>
                <w:color w:val="000000"/>
                <w:sz w:val="22"/>
                <w:szCs w:val="22"/>
              </w:rPr>
            </w:pPr>
            <w:r w:rsidRPr="00E250BD">
              <w:rPr>
                <w:rFonts w:ascii="Calibri" w:eastAsia="Times New Roman" w:hAnsi="Calibri" w:cs="Calibri"/>
                <w:color w:val="000000"/>
                <w:sz w:val="22"/>
                <w:szCs w:val="22"/>
              </w:rPr>
              <w:t>80.643</w:t>
            </w:r>
          </w:p>
        </w:tc>
        <w:tc>
          <w:tcPr>
            <w:tcW w:w="953" w:type="dxa"/>
            <w:noWrap/>
            <w:hideMark/>
          </w:tcPr>
          <w:p w14:paraId="174AF88F" w14:textId="77777777" w:rsidR="00E250BD" w:rsidRPr="00E250BD" w:rsidRDefault="00E250BD" w:rsidP="00E250BD">
            <w:pPr>
              <w:jc w:val="right"/>
              <w:rPr>
                <w:rFonts w:ascii="Calibri" w:eastAsia="Times New Roman" w:hAnsi="Calibri" w:cs="Calibri"/>
                <w:color w:val="000000"/>
                <w:sz w:val="22"/>
                <w:szCs w:val="22"/>
              </w:rPr>
            </w:pPr>
            <w:r w:rsidRPr="00E250BD">
              <w:rPr>
                <w:rFonts w:ascii="Calibri" w:eastAsia="Times New Roman" w:hAnsi="Calibri" w:cs="Calibri"/>
                <w:color w:val="000000"/>
                <w:sz w:val="22"/>
                <w:szCs w:val="22"/>
              </w:rPr>
              <w:t>-110.87</w:t>
            </w:r>
          </w:p>
        </w:tc>
        <w:tc>
          <w:tcPr>
            <w:tcW w:w="960" w:type="dxa"/>
            <w:noWrap/>
            <w:hideMark/>
          </w:tcPr>
          <w:p w14:paraId="322E48DD" w14:textId="77777777" w:rsidR="00E250BD" w:rsidRPr="00E250BD" w:rsidRDefault="00E250BD" w:rsidP="00E250BD">
            <w:pPr>
              <w:jc w:val="right"/>
              <w:rPr>
                <w:rFonts w:ascii="Calibri" w:eastAsia="Times New Roman" w:hAnsi="Calibri" w:cs="Calibri"/>
                <w:color w:val="000000"/>
                <w:sz w:val="22"/>
                <w:szCs w:val="22"/>
              </w:rPr>
            </w:pPr>
            <w:r w:rsidRPr="00E250BD">
              <w:rPr>
                <w:rFonts w:ascii="Calibri" w:eastAsia="Times New Roman" w:hAnsi="Calibri" w:cs="Calibri"/>
                <w:color w:val="000000"/>
                <w:sz w:val="22"/>
                <w:szCs w:val="22"/>
              </w:rPr>
              <w:t>2020</w:t>
            </w:r>
          </w:p>
        </w:tc>
      </w:tr>
    </w:tbl>
    <w:p w14:paraId="16A45482" w14:textId="286EB306" w:rsidR="00E250BD" w:rsidRDefault="00925925" w:rsidP="00D71C9E">
      <w:r>
        <w:rPr>
          <w:noProof/>
        </w:rPr>
        <w:drawing>
          <wp:inline distT="0" distB="0" distL="0" distR="0" wp14:anchorId="1F8CA506" wp14:editId="5141CA86">
            <wp:extent cx="2124075" cy="2124075"/>
            <wp:effectExtent l="0" t="0" r="0" b="0"/>
            <wp:docPr id="15" name="Chart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39D6A3CE" w14:textId="1F15A530" w:rsidR="00C331C1" w:rsidRDefault="00C331C1" w:rsidP="00D71C9E">
      <w:r w:rsidRPr="00C331C1">
        <w:lastRenderedPageBreak/>
        <w:drawing>
          <wp:inline distT="0" distB="0" distL="0" distR="0" wp14:anchorId="35DEDC4A" wp14:editId="1C6EE580">
            <wp:extent cx="5943600" cy="18288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1828800"/>
                    </a:xfrm>
                    <a:prstGeom prst="rect">
                      <a:avLst/>
                    </a:prstGeom>
                    <a:noFill/>
                    <a:ln>
                      <a:noFill/>
                    </a:ln>
                  </pic:spPr>
                </pic:pic>
              </a:graphicData>
            </a:graphic>
          </wp:inline>
        </w:drawing>
      </w:r>
    </w:p>
    <w:p w14:paraId="59B957B9" w14:textId="77777777" w:rsidR="00D71C9E" w:rsidRDefault="00D71C9E" w:rsidP="00D71C9E"/>
    <w:p w14:paraId="63466CEA" w14:textId="39A57D02" w:rsidR="0068046A" w:rsidRDefault="0068046A" w:rsidP="0068046A">
      <w:pPr>
        <w:pStyle w:val="Heading3"/>
      </w:pPr>
      <w:r>
        <w:t>Configure the Pie Chart</w:t>
      </w:r>
    </w:p>
    <w:p w14:paraId="13DFB535" w14:textId="1AA41286" w:rsidR="00744722" w:rsidRDefault="00744722" w:rsidP="00744722">
      <w:pPr>
        <w:pStyle w:val="Heading3"/>
      </w:pPr>
      <w:r>
        <w:t>Definition of Parameters</w:t>
      </w:r>
    </w:p>
    <w:p w14:paraId="1CB982E8" w14:textId="77777777" w:rsidR="00744722" w:rsidRPr="00744722" w:rsidRDefault="00744722" w:rsidP="00744722">
      <w:pPr>
        <w:pStyle w:val="BodyText"/>
      </w:pPr>
    </w:p>
    <w:bookmarkEnd w:id="2"/>
    <w:bookmarkEnd w:id="5"/>
    <w:bookmarkEnd w:id="7"/>
    <w:p w14:paraId="1FCD474B" w14:textId="77777777" w:rsidR="0068046A" w:rsidRDefault="0068046A" w:rsidP="0068046A">
      <w:r>
        <w:br w:type="page"/>
      </w:r>
    </w:p>
    <w:p w14:paraId="2134CC82" w14:textId="77777777" w:rsidR="0068046A" w:rsidRDefault="0068046A" w:rsidP="0068046A">
      <w:pPr>
        <w:pStyle w:val="Heading1"/>
      </w:pPr>
      <w:r>
        <w:lastRenderedPageBreak/>
        <w:t>Bar Chart Overview</w:t>
      </w:r>
    </w:p>
    <w:p w14:paraId="01965CEA" w14:textId="77777777" w:rsidR="0068046A" w:rsidRDefault="0068046A" w:rsidP="0068046A">
      <w:pPr>
        <w:pStyle w:val="FirstParagraph"/>
      </w:pPr>
      <w:r>
        <w:t>Bar charts summarize and compare categorical data by using proportional bar lengths to represent values. The Chart Plugin supports two different types of bar charts. The traditional bar chart as well as grouped bar charts.</w:t>
      </w:r>
    </w:p>
    <w:p w14:paraId="00772DA4" w14:textId="77777777" w:rsidR="0068046A" w:rsidRDefault="0068046A" w:rsidP="0068046A">
      <w:pPr>
        <w:pStyle w:val="BodyText"/>
      </w:pPr>
      <w:r>
        <w:t>Bar charts are composed of an x-axis and a y-axis. The x-axis represents discrete categories that correspond to one or many bars. Each bar’s height corresponds to a numeric value, which is measured by the y-axis.</w:t>
      </w:r>
    </w:p>
    <w:p w14:paraId="771E9BA2" w14:textId="77777777" w:rsidR="0068046A" w:rsidRDefault="0068046A" w:rsidP="0068046A">
      <w:pPr>
        <w:pStyle w:val="BodyText"/>
      </w:pPr>
      <w:r>
        <w:t>A grouped bar chart extends the bar chart, plotting numeric values for levels of two categorical variables instead of one. Bars are grouped by position for levels of one categorical variable, with color indicating the secondary category level within each group.</w:t>
      </w:r>
    </w:p>
    <w:p w14:paraId="6C457DE3" w14:textId="5EFCEC38" w:rsidR="0068046A" w:rsidRDefault="0068046A" w:rsidP="0068046A">
      <w:pPr>
        <w:pStyle w:val="BodyText"/>
      </w:pPr>
    </w:p>
    <w:p w14:paraId="40FB4B80" w14:textId="7F9CA568" w:rsidR="0068046A" w:rsidRDefault="0068046A" w:rsidP="0068046A">
      <w:pPr>
        <w:pStyle w:val="Heading2"/>
      </w:pPr>
      <w:r>
        <w:t xml:space="preserve">Best </w:t>
      </w:r>
      <w:r w:rsidR="00744722">
        <w:t>Practices</w:t>
      </w:r>
    </w:p>
    <w:p w14:paraId="038C45D8" w14:textId="77777777" w:rsidR="0068046A" w:rsidRDefault="0068046A" w:rsidP="0068046A">
      <w:pPr>
        <w:pStyle w:val="FirstParagraph"/>
      </w:pPr>
      <w:r>
        <w:rPr>
          <w:b/>
        </w:rPr>
        <w:t>Tips for interacting with the Bar Charts</w:t>
      </w:r>
    </w:p>
    <w:p w14:paraId="376028DD" w14:textId="77777777" w:rsidR="0068046A" w:rsidRDefault="0068046A" w:rsidP="0068046A">
      <w:pPr>
        <w:pStyle w:val="BodyText"/>
      </w:pPr>
      <w:r>
        <w:t>Use a common zero-valued baseline First and foremost, make sure that all of your bars are being plotted against a zero-value baseline. Not only does that baseline make it easier for readers to compare bar lengths, it also maintains the truthfulness of your data visualization.</w:t>
      </w:r>
    </w:p>
    <w:p w14:paraId="7F0C855E" w14:textId="77777777" w:rsidR="0068046A" w:rsidRDefault="0068046A" w:rsidP="0068046A">
      <w:pPr>
        <w:pStyle w:val="BodyText"/>
      </w:pPr>
      <w:r>
        <w:t>A bar chart with a non-zero baseline or some other gap in the axis scale can easily misrepresent the comparison between groups since the ratio in bar lengths will not match the ratio in actual bar values.</w:t>
      </w:r>
    </w:p>
    <w:p w14:paraId="1E65543F" w14:textId="3D4A7B7D" w:rsidR="0068046A" w:rsidRDefault="0068046A" w:rsidP="0068046A">
      <w:pPr>
        <w:pStyle w:val="BodyText"/>
      </w:pPr>
      <w:r>
        <w:t xml:space="preserve">When attempting to use the </w:t>
      </w:r>
      <w:r w:rsidR="00744722">
        <w:t>bar chart</w:t>
      </w:r>
      <w:r>
        <w:t xml:space="preserve"> to </w:t>
      </w:r>
      <w:r w:rsidR="00744722">
        <w:t>represent</w:t>
      </w:r>
      <w:r>
        <w:t xml:space="preserve"> </w:t>
      </w:r>
      <w:r w:rsidR="00744722">
        <w:t>multiyear</w:t>
      </w:r>
      <w:r>
        <w:t xml:space="preserve"> data information. It is important to note the data structure which will enable you to accomplish this. In the example below the population for each year is represented as an attribute field.</w:t>
      </w:r>
    </w:p>
    <w:p w14:paraId="305DBA59" w14:textId="77777777" w:rsidR="0068046A" w:rsidRDefault="0068046A" w:rsidP="0068046A">
      <w:pPr>
        <w:pStyle w:val="BodyText"/>
      </w:pPr>
      <w:r>
        <w:rPr>
          <w:b/>
        </w:rPr>
        <w:t>When to use a Bar Chart</w:t>
      </w:r>
    </w:p>
    <w:p w14:paraId="16C2AA6C" w14:textId="77777777" w:rsidR="0068046A" w:rsidRDefault="0068046A" w:rsidP="0068046A">
      <w:pPr>
        <w:pStyle w:val="BodyText"/>
      </w:pPr>
      <w:r>
        <w:t>A bar chart is used when you want to show a distribution of data points or perform a comparison of metric values across different subgroups of your data. From a bar chart, we can see which groups are highest or most common, and how other groups compare against the others. Since this is a fairly common task, bar charts are a fairly ubiquitous chart type.</w:t>
      </w:r>
    </w:p>
    <w:p w14:paraId="4510ACA7" w14:textId="77777777" w:rsidR="0068046A" w:rsidRDefault="0068046A" w:rsidP="0068046A">
      <w:pPr>
        <w:pStyle w:val="Heading3"/>
      </w:pPr>
      <w:r>
        <w:t>Use Case Examples</w:t>
      </w:r>
    </w:p>
    <w:p w14:paraId="2BBC5E15" w14:textId="77777777" w:rsidR="0068046A" w:rsidRDefault="0068046A" w:rsidP="0068046A">
      <w:pPr>
        <w:pStyle w:val="FirstParagraph"/>
      </w:pPr>
      <w:r>
        <w:t>In this example,</w:t>
      </w:r>
    </w:p>
    <w:p w14:paraId="7472162E" w14:textId="77777777" w:rsidR="0068046A" w:rsidRDefault="0068046A" w:rsidP="0068046A">
      <w:pPr>
        <w:pStyle w:val="Heading2"/>
      </w:pPr>
      <w:bookmarkStart w:id="8" w:name="best-pratices"/>
      <w:bookmarkEnd w:id="8"/>
      <w:r>
        <w:t>Getting Started</w:t>
      </w:r>
    </w:p>
    <w:p w14:paraId="57C9D8A6" w14:textId="77777777" w:rsidR="0068046A" w:rsidRDefault="0068046A" w:rsidP="0068046A">
      <w:pPr>
        <w:pStyle w:val="FirstParagraph"/>
      </w:pPr>
      <w:r>
        <w:t>The plugin works with the following mapping services:</w:t>
      </w:r>
    </w:p>
    <w:p w14:paraId="75892E8B" w14:textId="77777777" w:rsidR="0068046A" w:rsidRDefault="0068046A" w:rsidP="00744722">
      <w:pPr>
        <w:pStyle w:val="Compact"/>
        <w:numPr>
          <w:ilvl w:val="0"/>
          <w:numId w:val="5"/>
        </w:numPr>
      </w:pPr>
      <w:r>
        <w:t>ESRI Feature</w:t>
      </w:r>
    </w:p>
    <w:p w14:paraId="2ACB8D53" w14:textId="77777777" w:rsidR="0068046A" w:rsidRDefault="0068046A" w:rsidP="00744722">
      <w:pPr>
        <w:pStyle w:val="Compact"/>
        <w:numPr>
          <w:ilvl w:val="0"/>
          <w:numId w:val="5"/>
        </w:numPr>
      </w:pPr>
      <w:r>
        <w:t>ESRI Dynamic</w:t>
      </w:r>
    </w:p>
    <w:p w14:paraId="433DD455" w14:textId="39CE3E15" w:rsidR="0068046A" w:rsidRDefault="0068046A" w:rsidP="00744722">
      <w:pPr>
        <w:spacing w:after="0"/>
      </w:pPr>
    </w:p>
    <w:p w14:paraId="360793FA" w14:textId="77777777" w:rsidR="0068046A" w:rsidRDefault="0068046A" w:rsidP="0068046A">
      <w:pPr>
        <w:pStyle w:val="Heading3"/>
      </w:pPr>
      <w:r>
        <w:t>Data Preparation</w:t>
      </w:r>
    </w:p>
    <w:p w14:paraId="1A737D28" w14:textId="3AAB048A" w:rsidR="00D71C9E" w:rsidRDefault="00D71C9E" w:rsidP="00D71C9E">
      <w:pPr>
        <w:rPr>
          <w:b/>
          <w:bCs/>
        </w:rPr>
      </w:pPr>
      <w:r w:rsidRPr="00B878F9">
        <w:t xml:space="preserve">To get started we need to ensure that the data is prepared in a format that will work well with the </w:t>
      </w:r>
      <w:r>
        <w:rPr>
          <w:b/>
          <w:bCs/>
        </w:rPr>
        <w:t>Bar Chart</w:t>
      </w:r>
      <w:r w:rsidRPr="00B878F9">
        <w:t>.</w:t>
      </w:r>
      <w:r>
        <w:rPr>
          <w:b/>
          <w:bCs/>
        </w:rPr>
        <w:t xml:space="preserve"> </w:t>
      </w:r>
    </w:p>
    <w:p w14:paraId="5B951829" w14:textId="77777777" w:rsidR="00D71C9E" w:rsidRDefault="00D71C9E" w:rsidP="00D71C9E">
      <w:r>
        <w:t>As mentioned earlier, the Charting Plugin supports three types of data structures. When publishing your map service, it is important to</w:t>
      </w:r>
      <w:r w:rsidRPr="00B878F9">
        <w:t xml:space="preserve"> </w:t>
      </w:r>
      <w:r>
        <w:t xml:space="preserve">ensure that linked tables are used and configured properly. A tutorial on how to prepare the data to use linked tables can be found here: </w:t>
      </w:r>
      <w:hyperlink r:id="rId21" w:history="1">
        <w:r w:rsidRPr="00B878F9">
          <w:rPr>
            <w:rStyle w:val="Hyperlink"/>
          </w:rPr>
          <w:t>ESRI ARCMAP</w:t>
        </w:r>
      </w:hyperlink>
      <w:r>
        <w:t xml:space="preserve">, </w:t>
      </w:r>
      <w:hyperlink r:id="rId22" w:history="1">
        <w:r w:rsidRPr="00B878F9">
          <w:rPr>
            <w:rStyle w:val="Hyperlink"/>
          </w:rPr>
          <w:t>QGIS</w:t>
        </w:r>
      </w:hyperlink>
      <w:r>
        <w:t xml:space="preserve">. </w:t>
      </w:r>
    </w:p>
    <w:p w14:paraId="01CCB251" w14:textId="77777777" w:rsidR="00D71C9E" w:rsidRDefault="00D71C9E" w:rsidP="00D71C9E">
      <w:r>
        <w:t>It is recommended to format your data as outlined in options 2 or 3.</w:t>
      </w:r>
    </w:p>
    <w:p w14:paraId="218DA52F" w14:textId="77777777" w:rsidR="0068046A" w:rsidRDefault="0068046A" w:rsidP="0068046A">
      <w:pPr>
        <w:pStyle w:val="Heading3"/>
      </w:pPr>
      <w:r>
        <w:t>Configure the Bar Chart</w:t>
      </w:r>
    </w:p>
    <w:p w14:paraId="5206CEF2" w14:textId="77777777" w:rsidR="0068046A" w:rsidRDefault="0068046A" w:rsidP="0068046A">
      <w:bookmarkStart w:id="9" w:name="configure-the-bar-chart"/>
      <w:bookmarkEnd w:id="9"/>
      <w:r>
        <w:br w:type="page"/>
      </w:r>
    </w:p>
    <w:p w14:paraId="6A3DEFB4" w14:textId="77777777" w:rsidR="0068046A" w:rsidRDefault="0068046A" w:rsidP="0068046A">
      <w:pPr>
        <w:pStyle w:val="Heading1"/>
      </w:pPr>
      <w:r>
        <w:lastRenderedPageBreak/>
        <w:t>Line Chart Overview</w:t>
      </w:r>
    </w:p>
    <w:p w14:paraId="6521CBC4" w14:textId="77777777" w:rsidR="0068046A" w:rsidRDefault="0068046A" w:rsidP="0068046A">
      <w:pPr>
        <w:pStyle w:val="FirstParagraph"/>
      </w:pPr>
      <w:r>
        <w:t>A line chart consists of one or more lines connecting successive attribute values. Line graphs are useful for showing how things change or move over time and what the trends in the data may be. Since a line graph uses straight line segments to connect data points, it is easy to determine the data range, minimum and maximum, gaps, clusters, and outliers.</w:t>
      </w:r>
    </w:p>
    <w:p w14:paraId="5C931650" w14:textId="77777777" w:rsidR="0068046A" w:rsidRDefault="0068046A" w:rsidP="0068046A">
      <w:pPr>
        <w:pStyle w:val="BodyText"/>
      </w:pPr>
      <w:r>
        <w:t>When the primary categorical variable is continuous in nature, especially if it deals with time, then a useful alternative chart type to consider is the line chart. A line chart is especially useful when there are a lot of levels in the primary categorical variable: the need to cluster many bars around each position can make the chart difficult to read. The line chart cleans this up by aligning each of the sub-groups vertically, and the connected line between points makes it easier to track how each sub-group changes.</w:t>
      </w:r>
    </w:p>
    <w:p w14:paraId="54AD8856" w14:textId="77777777" w:rsidR="0068046A" w:rsidRDefault="0068046A" w:rsidP="0068046A">
      <w:pPr>
        <w:pStyle w:val="Heading2"/>
      </w:pPr>
      <w:r>
        <w:t>Best Practices</w:t>
      </w:r>
    </w:p>
    <w:p w14:paraId="236F4164" w14:textId="77777777" w:rsidR="0068046A" w:rsidRDefault="0068046A" w:rsidP="0068046A">
      <w:pPr>
        <w:pStyle w:val="BodyText"/>
      </w:pPr>
      <w:r>
        <w:rPr>
          <w:b/>
        </w:rPr>
        <w:t>When to use a Line Chart</w:t>
      </w:r>
    </w:p>
    <w:p w14:paraId="7E2C6FB8" w14:textId="77777777" w:rsidR="0068046A" w:rsidRDefault="0068046A" w:rsidP="0068046A">
      <w:pPr>
        <w:pStyle w:val="BodyText"/>
      </w:pPr>
      <w:r>
        <w:t>Line charts are useful when you want to show the changes in value of a given variable with respect to the changes in some other variable. The other variable is usually time. For example, line charts can be used to show the speed of a vehicle during specific time intervals. Multiple lines can also be plotted in a single line chart to compare the trend between series. A common use case for this is to observe the breakdown of the data across different subgroups. The ability to plot multiple lines also provides the line chart a special use case where it might not usually be selected.</w:t>
      </w:r>
    </w:p>
    <w:p w14:paraId="09C6D03F" w14:textId="090C1EA9" w:rsidR="0068046A" w:rsidRDefault="0068046A" w:rsidP="0068046A">
      <w:pPr>
        <w:pStyle w:val="Heading3"/>
      </w:pPr>
      <w:r>
        <w:t>Use Case Examples</w:t>
      </w:r>
    </w:p>
    <w:p w14:paraId="3100EF45" w14:textId="3428E3C1" w:rsidR="00B0407F" w:rsidRDefault="00B0407F" w:rsidP="00B0407F">
      <w:pPr>
        <w:pStyle w:val="BodyText"/>
      </w:pPr>
      <w:r>
        <w:t xml:space="preserve">In this example, the Charting Plugin was used to visualize data collected for Shellfish Sites Samples Mollusques Echantillons. </w:t>
      </w:r>
      <w:r w:rsidRPr="00B0407F">
        <w:t>This dataset provides marine bacteriological water quality data for bivalve shellfish harvest areas in Canada (British Columbia, New Brunswick, Newfoundland, Nova Scotia, Prince Edward Island and Quebec).</w:t>
      </w:r>
    </w:p>
    <w:p w14:paraId="1FB628B9" w14:textId="0FA9355D" w:rsidR="00B0407F" w:rsidRPr="00B0407F" w:rsidRDefault="00B0407F" w:rsidP="00B0407F">
      <w:pPr>
        <w:pStyle w:val="BodyText"/>
        <w:rPr>
          <w:b/>
          <w:bCs/>
        </w:rPr>
      </w:pPr>
      <w:r>
        <w:t xml:space="preserve">The Line chart is dynamically displayed for each site. When looking at the </w:t>
      </w:r>
      <w:r w:rsidR="00925925">
        <w:t>data structure</w:t>
      </w:r>
      <w:r>
        <w:t xml:space="preserve"> for this maps service, it uses linked tables. The data being displayed by the line chart is captured from the linked table and dynamically visualized.</w:t>
      </w:r>
    </w:p>
    <w:p w14:paraId="643010F2" w14:textId="6A4D9F19" w:rsidR="00B878F9" w:rsidRPr="00B878F9" w:rsidRDefault="00B878F9" w:rsidP="00B878F9">
      <w:pPr>
        <w:pStyle w:val="BodyText"/>
      </w:pPr>
      <w:r w:rsidRPr="00B878F9">
        <w:t>https://maps-cartes.ec.gc.ca/arcgis/rest/services/Shellfish_Sites_Samples_Mollusques_Echantillons/MapServer/</w:t>
      </w:r>
    </w:p>
    <w:p w14:paraId="2B2FB1AB" w14:textId="77777777" w:rsidR="0068046A" w:rsidRDefault="0068046A" w:rsidP="0068046A">
      <w:pPr>
        <w:pStyle w:val="Heading2"/>
      </w:pPr>
      <w:r>
        <w:t>Getting Started</w:t>
      </w:r>
    </w:p>
    <w:p w14:paraId="5FBFAA1C" w14:textId="77777777" w:rsidR="0068046A" w:rsidRDefault="0068046A" w:rsidP="0068046A">
      <w:pPr>
        <w:pStyle w:val="FirstParagraph"/>
      </w:pPr>
      <w:r>
        <w:t>The plugin works with the following mapping services:</w:t>
      </w:r>
    </w:p>
    <w:p w14:paraId="56EDEED4" w14:textId="77777777" w:rsidR="0068046A" w:rsidRDefault="0068046A" w:rsidP="00744722">
      <w:pPr>
        <w:pStyle w:val="Compact"/>
        <w:numPr>
          <w:ilvl w:val="0"/>
          <w:numId w:val="6"/>
        </w:numPr>
      </w:pPr>
      <w:r>
        <w:t>ESRI Feature</w:t>
      </w:r>
    </w:p>
    <w:p w14:paraId="00F0221F" w14:textId="77777777" w:rsidR="0068046A" w:rsidRDefault="0068046A" w:rsidP="00744722">
      <w:pPr>
        <w:pStyle w:val="Compact"/>
        <w:numPr>
          <w:ilvl w:val="0"/>
          <w:numId w:val="6"/>
        </w:numPr>
      </w:pPr>
      <w:r>
        <w:t>ESRI Dynamic</w:t>
      </w:r>
    </w:p>
    <w:p w14:paraId="66CED278" w14:textId="64034BA6" w:rsidR="0068046A" w:rsidRDefault="0068046A" w:rsidP="00925925">
      <w:pPr>
        <w:pStyle w:val="FirstParagraph"/>
      </w:pPr>
      <w:r>
        <w:t xml:space="preserve">More information on Web map services can be found </w:t>
      </w:r>
      <w:hyperlink r:id="rId23" w:history="1">
        <w:r>
          <w:rPr>
            <w:rStyle w:val="Hyperlink"/>
            <w:u w:val="single"/>
          </w:rPr>
          <w:t>here.</w:t>
        </w:r>
      </w:hyperlink>
    </w:p>
    <w:p w14:paraId="276D3B45" w14:textId="080E598C" w:rsidR="0068046A" w:rsidRDefault="0068046A" w:rsidP="0068046A">
      <w:pPr>
        <w:pStyle w:val="Heading3"/>
      </w:pPr>
      <w:r>
        <w:lastRenderedPageBreak/>
        <w:t>Data Preparation</w:t>
      </w:r>
    </w:p>
    <w:p w14:paraId="1B7952BA" w14:textId="77777777" w:rsidR="00B878F9" w:rsidRDefault="00B878F9" w:rsidP="00B878F9">
      <w:pPr>
        <w:rPr>
          <w:b/>
          <w:bCs/>
        </w:rPr>
      </w:pPr>
      <w:r w:rsidRPr="00B878F9">
        <w:t xml:space="preserve">To get started we need to ensure that the data is prepared in a format that will work well with the </w:t>
      </w:r>
      <w:r>
        <w:rPr>
          <w:b/>
          <w:bCs/>
        </w:rPr>
        <w:t>Line Chart</w:t>
      </w:r>
      <w:r w:rsidRPr="00B878F9">
        <w:t>.</w:t>
      </w:r>
      <w:r>
        <w:rPr>
          <w:b/>
          <w:bCs/>
        </w:rPr>
        <w:t xml:space="preserve"> </w:t>
      </w:r>
    </w:p>
    <w:p w14:paraId="655F56B2" w14:textId="1BC7B73F" w:rsidR="00B878F9" w:rsidRDefault="00B878F9" w:rsidP="00B878F9">
      <w:r>
        <w:t>As mentioned earlier, the Charting Plugin supports three types of data structures. When publishing your map service, it is important to</w:t>
      </w:r>
      <w:r w:rsidRPr="00B878F9">
        <w:t xml:space="preserve"> </w:t>
      </w:r>
      <w:r>
        <w:t xml:space="preserve">ensure that linked tables are used and configured properly. A tutorial on how to prepare the data to use linked tables can be found here: </w:t>
      </w:r>
      <w:hyperlink r:id="rId24" w:history="1">
        <w:r w:rsidRPr="00B878F9">
          <w:rPr>
            <w:rStyle w:val="Hyperlink"/>
          </w:rPr>
          <w:t>ESRI ARCMAP</w:t>
        </w:r>
      </w:hyperlink>
      <w:r>
        <w:t xml:space="preserve">, </w:t>
      </w:r>
      <w:hyperlink r:id="rId25" w:history="1">
        <w:r w:rsidRPr="00B878F9">
          <w:rPr>
            <w:rStyle w:val="Hyperlink"/>
          </w:rPr>
          <w:t>QGIS</w:t>
        </w:r>
      </w:hyperlink>
      <w:r>
        <w:t xml:space="preserve">. </w:t>
      </w:r>
    </w:p>
    <w:p w14:paraId="57CDA0EF" w14:textId="25CA25F9" w:rsidR="00D71C9E" w:rsidRDefault="00925925" w:rsidP="00B878F9">
      <w:r w:rsidRPr="00925925">
        <w:drawing>
          <wp:anchor distT="0" distB="0" distL="114300" distR="114300" simplePos="0" relativeHeight="251695616" behindDoc="0" locked="0" layoutInCell="1" allowOverlap="1" wp14:anchorId="097067DE" wp14:editId="7CA5411A">
            <wp:simplePos x="0" y="0"/>
            <wp:positionH relativeFrom="column">
              <wp:posOffset>-342900</wp:posOffset>
            </wp:positionH>
            <wp:positionV relativeFrom="paragraph">
              <wp:posOffset>600710</wp:posOffset>
            </wp:positionV>
            <wp:extent cx="2743200" cy="1000125"/>
            <wp:effectExtent l="0" t="0" r="0" b="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743200" cy="1000125"/>
                    </a:xfrm>
                    <a:prstGeom prst="rect">
                      <a:avLst/>
                    </a:prstGeom>
                    <a:noFill/>
                    <a:ln>
                      <a:noFill/>
                    </a:ln>
                  </pic:spPr>
                </pic:pic>
              </a:graphicData>
            </a:graphic>
          </wp:anchor>
        </w:drawing>
      </w:r>
      <w:r w:rsidRPr="00925925">
        <w:drawing>
          <wp:anchor distT="0" distB="0" distL="114300" distR="114300" simplePos="0" relativeHeight="251672064" behindDoc="0" locked="0" layoutInCell="1" allowOverlap="1" wp14:anchorId="64046B03" wp14:editId="4C5F3C9D">
            <wp:simplePos x="0" y="0"/>
            <wp:positionH relativeFrom="column">
              <wp:posOffset>2419350</wp:posOffset>
            </wp:positionH>
            <wp:positionV relativeFrom="paragraph">
              <wp:posOffset>607695</wp:posOffset>
            </wp:positionV>
            <wp:extent cx="4095750" cy="2328111"/>
            <wp:effectExtent l="0" t="0" r="0" b="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95750" cy="2328111"/>
                    </a:xfrm>
                    <a:prstGeom prst="rect">
                      <a:avLst/>
                    </a:prstGeom>
                    <a:noFill/>
                    <a:ln>
                      <a:noFill/>
                    </a:ln>
                  </pic:spPr>
                </pic:pic>
              </a:graphicData>
            </a:graphic>
          </wp:anchor>
        </w:drawing>
      </w:r>
      <w:r w:rsidR="00D71C9E">
        <w:t>It is recommended to format your data as outlined in options 2 or 3.</w:t>
      </w:r>
    </w:p>
    <w:p w14:paraId="2AE7A077" w14:textId="53722B81" w:rsidR="00925925" w:rsidRDefault="00925925" w:rsidP="00B878F9"/>
    <w:p w14:paraId="7220489B" w14:textId="5B8E4909" w:rsidR="00925925" w:rsidRDefault="00925925" w:rsidP="00B878F9"/>
    <w:p w14:paraId="7C94B94E" w14:textId="7095D9C6" w:rsidR="00925925" w:rsidRDefault="00925925" w:rsidP="00B878F9"/>
    <w:p w14:paraId="3FD06542" w14:textId="38C97735" w:rsidR="00925925" w:rsidRDefault="00925925" w:rsidP="00B878F9"/>
    <w:p w14:paraId="23EF0B1D" w14:textId="248A2FBA" w:rsidR="00925925" w:rsidRDefault="00925925" w:rsidP="00B878F9"/>
    <w:p w14:paraId="6455C464" w14:textId="6ABF7C20" w:rsidR="00925925" w:rsidRDefault="00925925" w:rsidP="00B878F9"/>
    <w:p w14:paraId="4F09D73A" w14:textId="2CAD13D3" w:rsidR="00925925" w:rsidRDefault="00925925" w:rsidP="00B878F9"/>
    <w:p w14:paraId="06DE5D06" w14:textId="77777777" w:rsidR="00925925" w:rsidRDefault="00925925" w:rsidP="00B878F9"/>
    <w:p w14:paraId="6D044E03" w14:textId="77777777" w:rsidR="00925925" w:rsidRDefault="00925925" w:rsidP="00B878F9"/>
    <w:p w14:paraId="00B84859" w14:textId="5007D741" w:rsidR="0068046A" w:rsidRDefault="0068046A" w:rsidP="0068046A">
      <w:pPr>
        <w:pStyle w:val="Heading3"/>
      </w:pPr>
      <w:r>
        <w:t>Configure the Line Chart</w:t>
      </w:r>
    </w:p>
    <w:p w14:paraId="38BC290B" w14:textId="77777777" w:rsidR="0068046A" w:rsidRDefault="0068046A" w:rsidP="0068046A">
      <w:pPr>
        <w:pStyle w:val="Heading3"/>
      </w:pPr>
      <w:bookmarkStart w:id="10" w:name="configure-the-line-chart"/>
      <w:bookmarkEnd w:id="10"/>
      <w:r>
        <w:t>Definition of Parameters</w:t>
      </w:r>
    </w:p>
    <w:bookmarkEnd w:id="0"/>
    <w:p w14:paraId="4790338E" w14:textId="77777777" w:rsidR="0068046A" w:rsidRPr="009C182C" w:rsidRDefault="0068046A">
      <w:pPr>
        <w:pStyle w:val="BodyText"/>
        <w:rPr>
          <w:bCs/>
        </w:rPr>
      </w:pPr>
    </w:p>
    <w:sectPr w:rsidR="0068046A" w:rsidRPr="009C182C">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3C77C3C" w14:textId="77777777" w:rsidR="0077128D" w:rsidRDefault="0077128D">
      <w:pPr>
        <w:spacing w:after="0"/>
      </w:pPr>
      <w:r>
        <w:separator/>
      </w:r>
    </w:p>
  </w:endnote>
  <w:endnote w:type="continuationSeparator" w:id="0">
    <w:p w14:paraId="4297F0F9" w14:textId="77777777" w:rsidR="0077128D" w:rsidRDefault="0077128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0000215" w14:textId="77777777" w:rsidR="0077128D" w:rsidRDefault="0077128D">
      <w:r>
        <w:separator/>
      </w:r>
    </w:p>
  </w:footnote>
  <w:footnote w:type="continuationSeparator" w:id="0">
    <w:p w14:paraId="32E198A0" w14:textId="77777777" w:rsidR="0077128D" w:rsidRDefault="007712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EA454B4C"/>
    <w:multiLevelType w:val="multilevel"/>
    <w:tmpl w:val="51B4B60C"/>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1" w15:restartNumberingAfterBreak="0">
    <w:nsid w:val="2A7E530C"/>
    <w:multiLevelType w:val="hybridMultilevel"/>
    <w:tmpl w:val="BCC0B746"/>
    <w:lvl w:ilvl="0" w:tplc="474A6644">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1AE401"/>
    <w:multiLevelType w:val="multilevel"/>
    <w:tmpl w:val="0E981F2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3" w15:restartNumberingAfterBreak="0">
    <w:nsid w:val="2CA3193F"/>
    <w:multiLevelType w:val="multilevel"/>
    <w:tmpl w:val="51B4B60C"/>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4" w15:restartNumberingAfterBreak="0">
    <w:nsid w:val="382F34ED"/>
    <w:multiLevelType w:val="multilevel"/>
    <w:tmpl w:val="51B4B60C"/>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5" w15:restartNumberingAfterBreak="0">
    <w:nsid w:val="5EFA5BCA"/>
    <w:multiLevelType w:val="multilevel"/>
    <w:tmpl w:val="51B4B60C"/>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6" w15:restartNumberingAfterBreak="0">
    <w:nsid w:val="6D6F0508"/>
    <w:multiLevelType w:val="multilevel"/>
    <w:tmpl w:val="51B4B60C"/>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7" w15:restartNumberingAfterBreak="0">
    <w:nsid w:val="71315DCA"/>
    <w:multiLevelType w:val="multilevel"/>
    <w:tmpl w:val="76647F98"/>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
    <w:abstractNumId w:val="2"/>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7"/>
  </w:num>
  <w:num w:numId="4">
    <w:abstractNumId w:val="0"/>
  </w:num>
  <w:num w:numId="5">
    <w:abstractNumId w:val="6"/>
  </w:num>
  <w:num w:numId="6">
    <w:abstractNumId w:val="4"/>
  </w:num>
  <w:num w:numId="7">
    <w:abstractNumId w:val="3"/>
  </w:num>
  <w:num w:numId="8">
    <w:abstractNumId w:val="5"/>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ytTA0tjAzMDY0NzMxMTZQ0lEKTi0uzszPAykwrgUA85h0dSwAAAA="/>
  </w:docVars>
  <w:rsids>
    <w:rsidRoot w:val="00590D07"/>
    <w:rsid w:val="00011C8B"/>
    <w:rsid w:val="000B51CE"/>
    <w:rsid w:val="000F2A86"/>
    <w:rsid w:val="001438C7"/>
    <w:rsid w:val="001D0038"/>
    <w:rsid w:val="002C37A5"/>
    <w:rsid w:val="00334215"/>
    <w:rsid w:val="00424645"/>
    <w:rsid w:val="00480332"/>
    <w:rsid w:val="004C5A8A"/>
    <w:rsid w:val="004E29B3"/>
    <w:rsid w:val="00551DD7"/>
    <w:rsid w:val="00590D07"/>
    <w:rsid w:val="0068046A"/>
    <w:rsid w:val="006D12C9"/>
    <w:rsid w:val="00744722"/>
    <w:rsid w:val="0077128D"/>
    <w:rsid w:val="00784D58"/>
    <w:rsid w:val="00805DB4"/>
    <w:rsid w:val="00894E90"/>
    <w:rsid w:val="008D6863"/>
    <w:rsid w:val="00925925"/>
    <w:rsid w:val="009C182C"/>
    <w:rsid w:val="009C2185"/>
    <w:rsid w:val="009D3951"/>
    <w:rsid w:val="00A92FCF"/>
    <w:rsid w:val="00B0407F"/>
    <w:rsid w:val="00B6139C"/>
    <w:rsid w:val="00B86B75"/>
    <w:rsid w:val="00B878F9"/>
    <w:rsid w:val="00BC48D5"/>
    <w:rsid w:val="00C331C1"/>
    <w:rsid w:val="00C36279"/>
    <w:rsid w:val="00CB3A9D"/>
    <w:rsid w:val="00D57689"/>
    <w:rsid w:val="00D71C9E"/>
    <w:rsid w:val="00E2360A"/>
    <w:rsid w:val="00E250BD"/>
    <w:rsid w:val="00E315A3"/>
    <w:rsid w:val="00F51CC5"/>
    <w:rsid w:val="00FF6C9B"/>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rules v:ext="edit">
        <o:r id="V:Rule1" type="connector" idref="#_x0000_s1028"/>
        <o:r id="V:Rule2" type="connector" idref="#_x0000_s1029"/>
        <o:r id="V:Rule3" type="connector" idref="#_x0000_s1030"/>
        <o:r id="V:Rule4" type="connector" idref="#_x0000_s1033"/>
        <o:r id="V:Rule5" type="connector" idref="#_x0000_s1034"/>
        <o:r id="V:Rule6" type="connector" idref="#_x0000_s1035"/>
      </o:rules>
    </o:shapelayout>
  </w:shapeDefaults>
  <w:decimalSymbol w:val="."/>
  <w:listSeparator w:val=","/>
  <w14:docId w14:val="058E4A8A"/>
  <w15:docId w15:val="{15E4351D-EDCA-47DA-976E-582A90061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Heading1Char">
    <w:name w:val="Heading 1 Char"/>
    <w:basedOn w:val="DefaultParagraphFont"/>
    <w:link w:val="Heading1"/>
    <w:uiPriority w:val="9"/>
    <w:rsid w:val="0068046A"/>
    <w:rPr>
      <w:rFonts w:asciiTheme="majorHAnsi" w:eastAsiaTheme="majorEastAsia" w:hAnsiTheme="majorHAnsi" w:cstheme="majorBidi"/>
      <w:b/>
      <w:bCs/>
      <w:color w:val="4F81BD" w:themeColor="accent1"/>
      <w:sz w:val="32"/>
      <w:szCs w:val="32"/>
    </w:rPr>
  </w:style>
  <w:style w:type="character" w:customStyle="1" w:styleId="Heading2Char">
    <w:name w:val="Heading 2 Char"/>
    <w:basedOn w:val="DefaultParagraphFont"/>
    <w:link w:val="Heading2"/>
    <w:uiPriority w:val="9"/>
    <w:rsid w:val="0068046A"/>
    <w:rPr>
      <w:rFonts w:asciiTheme="majorHAnsi" w:eastAsiaTheme="majorEastAsia" w:hAnsiTheme="majorHAnsi" w:cstheme="majorBidi"/>
      <w:b/>
      <w:bCs/>
      <w:color w:val="4F81BD" w:themeColor="accent1"/>
      <w:sz w:val="28"/>
      <w:szCs w:val="28"/>
    </w:rPr>
  </w:style>
  <w:style w:type="character" w:customStyle="1" w:styleId="Heading3Char">
    <w:name w:val="Heading 3 Char"/>
    <w:basedOn w:val="DefaultParagraphFont"/>
    <w:link w:val="Heading3"/>
    <w:uiPriority w:val="9"/>
    <w:rsid w:val="0068046A"/>
    <w:rPr>
      <w:rFonts w:asciiTheme="majorHAnsi" w:eastAsiaTheme="majorEastAsia" w:hAnsiTheme="majorHAnsi" w:cstheme="majorBidi"/>
      <w:b/>
      <w:bCs/>
      <w:color w:val="4F81BD" w:themeColor="accent1"/>
    </w:rPr>
  </w:style>
  <w:style w:type="character" w:customStyle="1" w:styleId="BodyTextChar">
    <w:name w:val="Body Text Char"/>
    <w:basedOn w:val="DefaultParagraphFont"/>
    <w:link w:val="BodyText"/>
    <w:rsid w:val="0068046A"/>
  </w:style>
  <w:style w:type="character" w:styleId="UnresolvedMention">
    <w:name w:val="Unresolved Mention"/>
    <w:basedOn w:val="DefaultParagraphFont"/>
    <w:uiPriority w:val="99"/>
    <w:semiHidden/>
    <w:unhideWhenUsed/>
    <w:rsid w:val="00424645"/>
    <w:rPr>
      <w:color w:val="605E5C"/>
      <w:shd w:val="clear" w:color="auto" w:fill="E1DFDD"/>
    </w:rPr>
  </w:style>
  <w:style w:type="table" w:styleId="TableGrid">
    <w:name w:val="Table Grid"/>
    <w:basedOn w:val="TableNormal"/>
    <w:rsid w:val="00E250BD"/>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805DB4"/>
    <w:pPr>
      <w:tabs>
        <w:tab w:val="center" w:pos="4680"/>
        <w:tab w:val="right" w:pos="9360"/>
      </w:tabs>
      <w:spacing w:after="0"/>
    </w:pPr>
  </w:style>
  <w:style w:type="character" w:customStyle="1" w:styleId="HeaderChar">
    <w:name w:val="Header Char"/>
    <w:basedOn w:val="DefaultParagraphFont"/>
    <w:link w:val="Header"/>
    <w:rsid w:val="00805DB4"/>
  </w:style>
  <w:style w:type="paragraph" w:styleId="Footer">
    <w:name w:val="footer"/>
    <w:basedOn w:val="Normal"/>
    <w:link w:val="FooterChar"/>
    <w:unhideWhenUsed/>
    <w:rsid w:val="00805DB4"/>
    <w:pPr>
      <w:tabs>
        <w:tab w:val="center" w:pos="4680"/>
        <w:tab w:val="right" w:pos="9360"/>
      </w:tabs>
      <w:spacing w:after="0"/>
    </w:pPr>
  </w:style>
  <w:style w:type="character" w:customStyle="1" w:styleId="FooterChar">
    <w:name w:val="Footer Char"/>
    <w:basedOn w:val="DefaultParagraphFont"/>
    <w:link w:val="Footer"/>
    <w:rsid w:val="00805D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7867815">
      <w:bodyDiv w:val="1"/>
      <w:marLeft w:val="0"/>
      <w:marRight w:val="0"/>
      <w:marTop w:val="0"/>
      <w:marBottom w:val="0"/>
      <w:divBdr>
        <w:top w:val="none" w:sz="0" w:space="0" w:color="auto"/>
        <w:left w:val="none" w:sz="0" w:space="0" w:color="auto"/>
        <w:bottom w:val="none" w:sz="0" w:space="0" w:color="auto"/>
        <w:right w:val="none" w:sz="0" w:space="0" w:color="auto"/>
      </w:divBdr>
    </w:div>
    <w:div w:id="982350858">
      <w:bodyDiv w:val="1"/>
      <w:marLeft w:val="0"/>
      <w:marRight w:val="0"/>
      <w:marTop w:val="0"/>
      <w:marBottom w:val="0"/>
      <w:divBdr>
        <w:top w:val="none" w:sz="0" w:space="0" w:color="auto"/>
        <w:left w:val="none" w:sz="0" w:space="0" w:color="auto"/>
        <w:bottom w:val="none" w:sz="0" w:space="0" w:color="auto"/>
        <w:right w:val="none" w:sz="0" w:space="0" w:color="auto"/>
      </w:divBdr>
    </w:div>
    <w:div w:id="1626737722">
      <w:bodyDiv w:val="1"/>
      <w:marLeft w:val="0"/>
      <w:marRight w:val="0"/>
      <w:marTop w:val="0"/>
      <w:marBottom w:val="0"/>
      <w:divBdr>
        <w:top w:val="none" w:sz="0" w:space="0" w:color="auto"/>
        <w:left w:val="none" w:sz="0" w:space="0" w:color="auto"/>
        <w:bottom w:val="none" w:sz="0" w:space="0" w:color="auto"/>
        <w:right w:val="none" w:sz="0" w:space="0" w:color="auto"/>
      </w:divBdr>
    </w:div>
    <w:div w:id="1673334057">
      <w:bodyDiv w:val="1"/>
      <w:marLeft w:val="0"/>
      <w:marRight w:val="0"/>
      <w:marTop w:val="0"/>
      <w:marBottom w:val="0"/>
      <w:divBdr>
        <w:top w:val="none" w:sz="0" w:space="0" w:color="auto"/>
        <w:left w:val="none" w:sz="0" w:space="0" w:color="auto"/>
        <w:bottom w:val="none" w:sz="0" w:space="0" w:color="auto"/>
        <w:right w:val="none" w:sz="0" w:space="0" w:color="auto"/>
      </w:divBdr>
    </w:div>
    <w:div w:id="16798470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plugin/barchart.md" TargetMode="External"/><Relationship Id="rId13" Type="http://schemas.openxmlformats.org/officeDocument/2006/relationships/hyperlink" Target="https://pro.arcgis.com/en/pro-app/latest/help/data/geodatabases/overview/an-overview-of-fields.htm" TargetMode="External"/><Relationship Id="rId18" Type="http://schemas.openxmlformats.org/officeDocument/2006/relationships/image" Target="media/image6.emf"/><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desktop.arcgis.com/en/arcmap/10.3/tools/data-management-toolbox/create-relationship-class.htm" TargetMode="External"/><Relationship Id="rId7" Type="http://schemas.openxmlformats.org/officeDocument/2006/relationships/hyperlink" Target="../plugin/piechart.md" TargetMode="External"/><Relationship Id="rId12" Type="http://schemas.openxmlformats.org/officeDocument/2006/relationships/hyperlink" Target="https://desktop.arcgis.com/en/arcmap/latest/manage-data/tables/essentials-of-relating-tables.htm" TargetMode="External"/><Relationship Id="rId17" Type="http://schemas.openxmlformats.org/officeDocument/2006/relationships/image" Target="media/image5.emf"/><Relationship Id="rId25" Type="http://schemas.openxmlformats.org/officeDocument/2006/relationships/hyperlink" Target="https://www.qgistutorials.com/en/docs/performing_table_joins.html" TargetMode="External"/><Relationship Id="rId2" Type="http://schemas.openxmlformats.org/officeDocument/2006/relationships/styles" Target="styles.xml"/><Relationship Id="rId16" Type="http://schemas.openxmlformats.org/officeDocument/2006/relationships/image" Target="media/image4.emf"/><Relationship Id="rId20" Type="http://schemas.openxmlformats.org/officeDocument/2006/relationships/image" Target="media/image7.e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emf"/><Relationship Id="rId24" Type="http://schemas.openxmlformats.org/officeDocument/2006/relationships/hyperlink" Target="https://desktop.arcgis.com/en/arcmap/10.3/tools/data-management-toolbox/create-relationship-class.htm" TargetMode="External"/><Relationship Id="rId5" Type="http://schemas.openxmlformats.org/officeDocument/2006/relationships/footnotes" Target="footnotes.xml"/><Relationship Id="rId15" Type="http://schemas.openxmlformats.org/officeDocument/2006/relationships/image" Target="media/image3.emf"/><Relationship Id="rId23" Type="http://schemas.openxmlformats.org/officeDocument/2006/relationships/hyperlink" Target="https://www.nrcan.gc.ca/earth-sciences/geomatics/canadas-spatial-data-infrastructure/8902" TargetMode="External"/><Relationship Id="rId10" Type="http://schemas.openxmlformats.org/officeDocument/2006/relationships/hyperlink" Target="https://www.nrcan.gc.ca/earth-sciences/geomatics/canadas-spatial-data-infrastructure/8902" TargetMode="External"/><Relationship Id="rId19" Type="http://schemas.openxmlformats.org/officeDocument/2006/relationships/chart" Target="charts/chart1.xml"/><Relationship Id="rId4" Type="http://schemas.openxmlformats.org/officeDocument/2006/relationships/webSettings" Target="webSettings.xml"/><Relationship Id="rId9" Type="http://schemas.openxmlformats.org/officeDocument/2006/relationships/hyperlink" Target="../plugin/linechart.md" TargetMode="External"/><Relationship Id="rId14" Type="http://schemas.openxmlformats.org/officeDocument/2006/relationships/image" Target="media/image2.emf"/><Relationship Id="rId22" Type="http://schemas.openxmlformats.org/officeDocument/2006/relationships/hyperlink" Target="https://www.qgistutorials.com/en/docs/performing_table_joins.html" TargetMode="External"/><Relationship Id="rId27"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Station A</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36B4-483A-BCAE-87C798B77211}"/>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36B4-483A-BCAE-87C798B77211}"/>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36B4-483A-BCAE-87C798B77211}"/>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36B4-483A-BCAE-87C798B77211}"/>
              </c:ext>
            </c:extLst>
          </c:dPt>
          <c:cat>
            <c:strRef>
              <c:f>Sheet1!$A$2:$A$5</c:f>
              <c:strCache>
                <c:ptCount val="4"/>
                <c:pt idx="0">
                  <c:v>Variable 1</c:v>
                </c:pt>
                <c:pt idx="1">
                  <c:v>Variable 2</c:v>
                </c:pt>
                <c:pt idx="2">
                  <c:v>Variable 3</c:v>
                </c:pt>
                <c:pt idx="3">
                  <c:v>Variable 4</c:v>
                </c:pt>
              </c:strCache>
            </c:strRef>
          </c:cat>
          <c:val>
            <c:numRef>
              <c:f>Sheet1!$B$2:$B$5</c:f>
              <c:numCache>
                <c:formatCode>General</c:formatCode>
                <c:ptCount val="4"/>
                <c:pt idx="0">
                  <c:v>25</c:v>
                </c:pt>
                <c:pt idx="1">
                  <c:v>20</c:v>
                </c:pt>
                <c:pt idx="2">
                  <c:v>15</c:v>
                </c:pt>
                <c:pt idx="3">
                  <c:v>10</c:v>
                </c:pt>
              </c:numCache>
            </c:numRef>
          </c:val>
          <c:extLst>
            <c:ext xmlns:c16="http://schemas.microsoft.com/office/drawing/2014/chart" uri="{C3380CC4-5D6E-409C-BE32-E72D297353CC}">
              <c16:uniqueId val="{00000000-ABAD-4EB3-9D58-3DABAB12271D}"/>
            </c:ext>
          </c:extLst>
        </c:ser>
        <c:ser>
          <c:idx val="1"/>
          <c:order val="1"/>
          <c:tx>
            <c:strRef>
              <c:f>Sheet1!$C$1</c:f>
              <c:strCache>
                <c:ptCount val="1"/>
                <c:pt idx="0">
                  <c:v>Column2</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9-36B4-483A-BCAE-87C798B77211}"/>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B-36B4-483A-BCAE-87C798B77211}"/>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D-36B4-483A-BCAE-87C798B77211}"/>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F-36B4-483A-BCAE-87C798B77211}"/>
              </c:ext>
            </c:extLst>
          </c:dPt>
          <c:cat>
            <c:strRef>
              <c:f>Sheet1!$A$2:$A$5</c:f>
              <c:strCache>
                <c:ptCount val="4"/>
                <c:pt idx="0">
                  <c:v>Variable 1</c:v>
                </c:pt>
                <c:pt idx="1">
                  <c:v>Variable 2</c:v>
                </c:pt>
                <c:pt idx="2">
                  <c:v>Variable 3</c:v>
                </c:pt>
                <c:pt idx="3">
                  <c:v>Variable 4</c:v>
                </c:pt>
              </c:strCache>
            </c:strRef>
          </c:cat>
          <c:val>
            <c:numRef>
              <c:f>Sheet1!$C$2:$C$5</c:f>
              <c:numCache>
                <c:formatCode>General</c:formatCode>
                <c:ptCount val="4"/>
                <c:pt idx="0">
                  <c:v>15</c:v>
                </c:pt>
                <c:pt idx="1">
                  <c:v>25</c:v>
                </c:pt>
                <c:pt idx="2">
                  <c:v>20</c:v>
                </c:pt>
                <c:pt idx="3">
                  <c:v>35</c:v>
                </c:pt>
              </c:numCache>
            </c:numRef>
          </c:val>
          <c:extLst>
            <c:ext xmlns:c16="http://schemas.microsoft.com/office/drawing/2014/chart" uri="{C3380CC4-5D6E-409C-BE32-E72D297353CC}">
              <c16:uniqueId val="{00000002-ABAD-4EB3-9D58-3DABAB12271D}"/>
            </c:ext>
          </c:extLst>
        </c:ser>
        <c:ser>
          <c:idx val="2"/>
          <c:order val="2"/>
          <c:tx>
            <c:strRef>
              <c:f>Sheet1!$D$1</c:f>
              <c:strCache>
                <c:ptCount val="1"/>
                <c:pt idx="0">
                  <c:v>Column3</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11-36B4-483A-BCAE-87C798B77211}"/>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13-36B4-483A-BCAE-87C798B77211}"/>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15-36B4-483A-BCAE-87C798B77211}"/>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17-36B4-483A-BCAE-87C798B77211}"/>
              </c:ext>
            </c:extLst>
          </c:dPt>
          <c:cat>
            <c:strRef>
              <c:f>Sheet1!$A$2:$A$5</c:f>
              <c:strCache>
                <c:ptCount val="4"/>
                <c:pt idx="0">
                  <c:v>Variable 1</c:v>
                </c:pt>
                <c:pt idx="1">
                  <c:v>Variable 2</c:v>
                </c:pt>
                <c:pt idx="2">
                  <c:v>Variable 3</c:v>
                </c:pt>
                <c:pt idx="3">
                  <c:v>Variable 4</c:v>
                </c:pt>
              </c:strCache>
            </c:strRef>
          </c:cat>
          <c:val>
            <c:numRef>
              <c:f>Sheet1!$D$2:$D$5</c:f>
              <c:numCache>
                <c:formatCode>General</c:formatCode>
                <c:ptCount val="4"/>
                <c:pt idx="0">
                  <c:v>40</c:v>
                </c:pt>
                <c:pt idx="1">
                  <c:v>35</c:v>
                </c:pt>
                <c:pt idx="2">
                  <c:v>25</c:v>
                </c:pt>
                <c:pt idx="3">
                  <c:v>30</c:v>
                </c:pt>
              </c:numCache>
            </c:numRef>
          </c:val>
          <c:extLst>
            <c:ext xmlns:c16="http://schemas.microsoft.com/office/drawing/2014/chart" uri="{C3380CC4-5D6E-409C-BE32-E72D297353CC}">
              <c16:uniqueId val="{00000003-ABAD-4EB3-9D58-3DABAB12271D}"/>
            </c:ext>
          </c:extLst>
        </c:ser>
        <c:ser>
          <c:idx val="3"/>
          <c:order val="3"/>
          <c:tx>
            <c:strRef>
              <c:f>Sheet1!$E$1</c:f>
              <c:strCache>
                <c:ptCount val="1"/>
                <c:pt idx="0">
                  <c:v>Column4</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19-36B4-483A-BCAE-87C798B77211}"/>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1B-36B4-483A-BCAE-87C798B77211}"/>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1D-36B4-483A-BCAE-87C798B77211}"/>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1F-36B4-483A-BCAE-87C798B77211}"/>
              </c:ext>
            </c:extLst>
          </c:dPt>
          <c:cat>
            <c:strRef>
              <c:f>Sheet1!$A$2:$A$5</c:f>
              <c:strCache>
                <c:ptCount val="4"/>
                <c:pt idx="0">
                  <c:v>Variable 1</c:v>
                </c:pt>
                <c:pt idx="1">
                  <c:v>Variable 2</c:v>
                </c:pt>
                <c:pt idx="2">
                  <c:v>Variable 3</c:v>
                </c:pt>
                <c:pt idx="3">
                  <c:v>Variable 4</c:v>
                </c:pt>
              </c:strCache>
            </c:strRef>
          </c:cat>
          <c:val>
            <c:numRef>
              <c:f>Sheet1!$E$2:$E$5</c:f>
              <c:numCache>
                <c:formatCode>General</c:formatCode>
                <c:ptCount val="4"/>
                <c:pt idx="0">
                  <c:v>20</c:v>
                </c:pt>
                <c:pt idx="1">
                  <c:v>20</c:v>
                </c:pt>
                <c:pt idx="2">
                  <c:v>40</c:v>
                </c:pt>
                <c:pt idx="3">
                  <c:v>25</c:v>
                </c:pt>
              </c:numCache>
            </c:numRef>
          </c:val>
          <c:extLst>
            <c:ext xmlns:c16="http://schemas.microsoft.com/office/drawing/2014/chart" uri="{C3380CC4-5D6E-409C-BE32-E72D297353CC}">
              <c16:uniqueId val="{00000004-ABAD-4EB3-9D58-3DABAB12271D}"/>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671</TotalTime>
  <Pages>1</Pages>
  <Words>2432</Words>
  <Characters>13865</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Negativeice</cp:lastModifiedBy>
  <cp:revision>6</cp:revision>
  <dcterms:created xsi:type="dcterms:W3CDTF">2021-02-18T16:16:00Z</dcterms:created>
  <dcterms:modified xsi:type="dcterms:W3CDTF">2021-02-22T23:10:00Z</dcterms:modified>
</cp:coreProperties>
</file>