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AI Engineering — Knowledge Base Clase 3</w:t>
      </w:r>
    </w:p>
    <w:p>
      <w:pPr>
        <w:jc w:val="center"/>
      </w:pPr>
      <w:r>
        <w:rPr>
          <w:i/>
          <w:sz w:val="22"/>
        </w:rPr>
        <w:t>Embeddings, similitud, chunking, ChromaDB y pipeline RAG local</w:t>
      </w:r>
    </w:p>
    <w:p>
      <w:pPr>
        <w:jc w:val="center"/>
      </w:pPr>
      <w:r>
        <w:rPr>
          <w:color w:val="646464"/>
          <w:sz w:val="18"/>
        </w:rPr>
        <w:t>Base de conocimiento enriquecida para recuperación RAG</w:t>
      </w:r>
    </w:p>
    <w:p>
      <w:pPr>
        <w:pStyle w:val="Heading1"/>
      </w:pPr>
      <w:r>
        <w:t>Objetivos de la clase</w:t>
      </w:r>
    </w:p>
    <w:p>
      <w:pPr>
        <w:pStyle w:val="ListBullet"/>
      </w:pPr>
      <w:r>
        <w:t>Diferenciar representaciones discretas One-Hot de representaciones densas mediante embeddings.</w:t>
      </w:r>
    </w:p>
    <w:p>
      <w:pPr>
        <w:pStyle w:val="ListBullet"/>
      </w:pPr>
      <w:r>
        <w:t>Elegir una métrica de similitud: coseno, distancia euclídea (L2) o producto punto.</w:t>
      </w:r>
    </w:p>
    <w:p>
      <w:pPr>
        <w:pStyle w:val="ListBullet"/>
      </w:pPr>
      <w:r>
        <w:t>Diseñar chunking y overlap para preservar contexto semántico.</w:t>
      </w:r>
    </w:p>
    <w:p>
      <w:pPr>
        <w:pStyle w:val="ListBullet"/>
      </w:pPr>
      <w:r>
        <w:t>Implementar persistencia y operaciones CRUD con ChromaDB.</w:t>
      </w:r>
    </w:p>
    <w:p>
      <w:pPr>
        <w:pStyle w:val="ListBullet"/>
      </w:pPr>
      <w:r>
        <w:t>Construir un pipeline RAG End-to-End con ingesta, recuperación y generación grounded.</w:t>
      </w:r>
    </w:p>
    <w:p>
      <w:pPr>
        <w:pStyle w:val="Heading1"/>
      </w:pPr>
      <w:r>
        <w:t>1. Embeddings: lenguaje convertido en geometría</w:t>
      </w:r>
    </w:p>
    <w:p>
      <w:pPr>
        <w:spacing w:after="120" w:line="259" w:lineRule="auto"/>
      </w:pPr>
      <w:r>
        <w:t>Un embedding es un vector numérico denso que representa el significado de un fragmento de texto. En el contexto de IA del curso, el vector es la representación matemática y el embedding es el vector producido por un modelo para codificar significado. Por eso todo embedding es un vector, pero no todo vector es necesariamente un embedding.</w:t>
      </w:r>
    </w:p>
    <w:p>
      <w:pPr>
        <w:pStyle w:val="Heading2"/>
      </w:pPr>
      <w:r>
        <w:t>1.1 One-Hot vs. embeddings densos</w:t>
      </w:r>
    </w:p>
    <w:p>
      <w:pPr>
        <w:spacing w:after="120" w:line="259" w:lineRule="auto"/>
      </w:pPr>
      <w:r>
        <w:t>One-Hot Encoding asigna posiciones discretas en un vector grande de ceros y no incorpora una noción de cercanía semántica. Los embeddings densos ubican textos en un espacio vectorial donde la distancia o el ángulo puede reflejar relación de significado.</w:t>
      </w:r>
    </w:p>
    <w:p>
      <w:pPr>
        <w:pStyle w:val="Heading2"/>
      </w:pPr>
      <w:r>
        <w:t>1.2 Embeddings estáticos y contextuales</w:t>
      </w:r>
    </w:p>
    <w:p>
      <w:pPr>
        <w:spacing w:after="120" w:line="259" w:lineRule="auto"/>
      </w:pPr>
      <w:r>
        <w:t>Los embeddings estáticos, como Word2Vec o GloVe, asignan un único vector a una palabra. Los contextuales generan representaciones que dependen del contexto, permitiendo distinguir sentidos diferentes de una misma palabra, como “banco” financiero y “banco” para sentarse.</w:t>
      </w:r>
    </w:p>
    <w:p>
      <w:pPr>
        <w:pStyle w:val="Heading1"/>
      </w:pPr>
      <w:r>
        <w:t>2. Métricas de similitud</w:t>
      </w:r>
    </w:p>
    <w:p>
      <w:pPr>
        <w:pStyle w:val="Heading2"/>
      </w:pPr>
      <w:r>
        <w:t>2.1 Similitud coseno</w:t>
      </w:r>
    </w:p>
    <w:p>
      <w:pPr>
        <w:spacing w:after="120" w:line="259" w:lineRule="auto"/>
      </w:pPr>
      <w:r>
        <w:t>La similitud coseno mide el ángulo entre dos vectores y reduce la influencia de su magnitud. La clase la presenta como la opción habitual para RAG con modelos de embeddings de OpenAI o HuggingFace.</w:t>
      </w:r>
    </w:p>
    <w:p>
      <w:pPr>
        <w:pStyle w:val="CodeBlock"/>
        <w:spacing w:after="0"/>
      </w:pPr>
      <w:r>
        <w:t># Similitud coseno conceptual</w:t>
      </w:r>
    </w:p>
    <w:p>
      <w:pPr>
        <w:pStyle w:val="CodeBlock"/>
        <w:spacing w:after="0"/>
      </w:pPr>
      <w:r>
        <w:t>cosine_similarity = (A · B) / (||A|| * ||B||)</w:t>
      </w:r>
    </w:p>
    <w:p>
      <w:pPr>
        <w:pStyle w:val="Heading2"/>
      </w:pPr>
      <w:r>
        <w:t>2.2 Distancia Euclídea (L2)</w:t>
      </w:r>
    </w:p>
    <w:p>
      <w:pPr>
        <w:spacing w:after="120" w:line="259" w:lineRule="auto"/>
      </w:pPr>
      <w:r>
        <w:t>La distancia L2 mide la distancia en línea recta entre dos puntos del espacio vectorial y es sensible a la magnitud de los vectores. En motores vectoriales puede aparecer como métrica de distancia en lugar de similitud.</w:t>
      </w:r>
    </w:p>
    <w:p>
      <w:pPr>
        <w:pStyle w:val="Heading2"/>
      </w:pPr>
      <w:r>
        <w:t>2.3 Producto punto</w:t>
      </w:r>
    </w:p>
    <w:p>
      <w:pPr>
        <w:spacing w:after="120" w:line="259" w:lineRule="auto"/>
      </w:pPr>
      <w:r>
        <w:t>El producto punto combina información de dirección y magnitud. Puede ser apropiado cuando la intensidad del vector tiene significado para el modelo o cuando el modelo fue entrenado para esa métrica.</w:t>
      </w:r>
    </w:p>
    <w:tbl>
      <w:tblPr>
        <w:tblW w:type="auto" w:w="0"/>
        <w:tblLayout w:type="autofit"/>
        <w:tblLook w:firstColumn="1" w:firstRow="1" w:lastColumn="0" w:lastRow="0" w:noHBand="0" w:noVBand="1" w:val="04A0"/>
      </w:tblPr>
      <w:tblGrid>
        <w:gridCol w:w="9936"/>
      </w:tblGrid>
      <w:tr>
        <w:tc>
          <w:tcPr>
            <w:tcW w:type="dxa" w:w="9936"/>
            <w:shd w:fill="EAF2F8"/>
          </w:tcPr>
          <w:p>
            <w:r>
              <w:rPr>
                <w:b/>
                <w:sz w:val="19"/>
              </w:rPr>
              <w:t>Regla del curso: no mezclar embeddings de modelos diferentes. Vectores de OpenAI y HuggingFace viven en espacios vectoriales distintos y no deben compararse directamente.</w:t>
            </w:r>
          </w:p>
        </w:tc>
      </w:tr>
    </w:tbl>
    <w:p/>
    <w:p>
      <w:pPr>
        <w:pStyle w:val="Heading1"/>
      </w:pPr>
      <w:r>
        <w:t>3. Del texto al vector</w:t>
      </w:r>
    </w:p>
    <w:p>
      <w:pPr>
        <w:spacing w:after="120" w:line="259" w:lineRule="auto"/>
      </w:pPr>
      <w:r>
        <w:t>La clase usa text-embedding-3-small como ejemplo: recibe texto y produce un vector denso de 1536 dimensiones. Luego la consulta y los documentos se comparan en el mismo espacio. El ejemplo muestra que “disco lleno” y “sin espacio” pueden quedar cerca aunque no compartan exactamente las mismas palabras.</w:t>
      </w:r>
    </w:p>
    <w:p>
      <w:pPr>
        <w:pStyle w:val="Heading1"/>
      </w:pPr>
      <w:r>
        <w:t>4. Chunking: por qué fragmentar documentos</w:t>
      </w:r>
    </w:p>
    <w:p>
      <w:pPr>
        <w:spacing w:after="120" w:line="259" w:lineRule="auto"/>
      </w:pPr>
      <w:r>
        <w:t>Los modelos de embedding tienen una ventana de contexto limitada y un documento completo puede mezclar demasiados temas. El objetivo del chunking es crear unidades atómicas y semánticamente coherentes que puedan recuperarse de manera independiente.</w:t>
      </w:r>
    </w:p>
    <w:p>
      <w:pPr>
        <w:pStyle w:val="Heading2"/>
      </w:pPr>
      <w:r>
        <w:t>4.1 Limpieza antes de fragmentar</w:t>
      </w:r>
    </w:p>
    <w:p>
      <w:pPr>
        <w:spacing w:after="120" w:line="259" w:lineRule="auto"/>
      </w:pPr>
      <w:r>
        <w:t>PDFs, HTML y otros documentos reales pueden contener encabezados repetidos, pies de página, saltos de línea extraños, rutas y caracteres basura. La clase indica limpiar primero y fragmentar después, porque ese ruido también forma parte del texto que se vectoriza.</w:t>
      </w:r>
    </w:p>
    <w:p>
      <w:pPr>
        <w:pStyle w:val="Heading2"/>
      </w:pPr>
      <w:r>
        <w:t>4.2 Recursive Character Splitting</w:t>
      </w:r>
    </w:p>
    <w:p>
      <w:pPr>
        <w:spacing w:after="120" w:line="259" w:lineRule="auto"/>
      </w:pPr>
      <w:r>
        <w:t>Recursive Character Splitting intenta cortar siguiendo una jerarquía de separadores, priorizando límites más naturales como párrafos y líneas antes de recurrir a espacios o caracteres individuales. La intención es conservar coherencia sin exceder el tamaño configurado.</w:t>
      </w:r>
    </w:p>
    <w:p>
      <w:pPr>
        <w:pStyle w:val="Heading2"/>
      </w:pPr>
      <w:r>
        <w:t>4.3 Overlap: solapamiento entre chunks</w:t>
      </w:r>
    </w:p>
    <w:p>
      <w:pPr>
        <w:spacing w:after="120" w:line="259" w:lineRule="auto"/>
      </w:pPr>
      <w:r>
        <w:t>El overlap repite una porción del final de un chunk al comienzo del siguiente. Su objetivo es reducir la pérdida de contexto cuando una idea importante cae justo en el límite del corte. La clase menciona como práctica común chunks de 500 tokens con 50 tokens de overlap.</w:t>
      </w:r>
    </w:p>
    <w:p>
      <w:pPr>
        <w:pStyle w:val="Heading1"/>
      </w:pPr>
      <w:r>
        <w:t>5. DocumentProcessor</w:t>
      </w:r>
    </w:p>
    <w:p>
      <w:pPr>
        <w:spacing w:after="120" w:line="259" w:lineRule="auto"/>
      </w:pPr>
      <w:r>
        <w:t>La práctica de la Unidad 2 propone construir un DocumentProcessor que aplique limpieza y fragmentación. El resultado esperado es un pipeline de preprocessing listo para producir chunks que luego serán convertidos a embeddings y almacenados en la base vectorial.</w:t>
      </w:r>
    </w:p>
    <w:p>
      <w:pPr>
        <w:pStyle w:val="CodeBlock"/>
        <w:spacing w:after="0"/>
      </w:pPr>
      <w:r>
        <w:t># Flujo conceptual del DocumentProcessor</w:t>
      </w:r>
    </w:p>
    <w:p>
      <w:pPr>
        <w:pStyle w:val="CodeBlock"/>
        <w:spacing w:after="0"/>
      </w:pPr>
      <w:r>
        <w:t>texto_crudo</w:t>
      </w:r>
    </w:p>
    <w:p>
      <w:pPr>
        <w:pStyle w:val="CodeBlock"/>
        <w:spacing w:after="0"/>
      </w:pPr>
      <w:r>
        <w:t xml:space="preserve">  ↓</w:t>
      </w:r>
    </w:p>
    <w:p>
      <w:pPr>
        <w:pStyle w:val="CodeBlock"/>
        <w:spacing w:after="0"/>
      </w:pPr>
      <w:r>
        <w:t>limpieza / normalización</w:t>
      </w:r>
    </w:p>
    <w:p>
      <w:pPr>
        <w:pStyle w:val="CodeBlock"/>
        <w:spacing w:after="0"/>
      </w:pPr>
      <w:r>
        <w:t xml:space="preserve">  ↓</w:t>
      </w:r>
    </w:p>
    <w:p>
      <w:pPr>
        <w:pStyle w:val="CodeBlock"/>
        <w:spacing w:after="0"/>
      </w:pPr>
      <w:r>
        <w:t>chunking</w:t>
      </w:r>
    </w:p>
    <w:p>
      <w:pPr>
        <w:pStyle w:val="CodeBlock"/>
        <w:spacing w:after="0"/>
      </w:pPr>
      <w:r>
        <w:t xml:space="preserve">  ↓</w:t>
      </w:r>
    </w:p>
    <w:p>
      <w:pPr>
        <w:pStyle w:val="CodeBlock"/>
        <w:spacing w:after="0"/>
      </w:pPr>
      <w:r>
        <w:t>overlap</w:t>
      </w:r>
    </w:p>
    <w:p>
      <w:pPr>
        <w:pStyle w:val="CodeBlock"/>
        <w:spacing w:after="0"/>
      </w:pPr>
      <w:r>
        <w:t xml:space="preserve">  ↓</w:t>
      </w:r>
    </w:p>
    <w:p>
      <w:pPr>
        <w:pStyle w:val="CodeBlock"/>
        <w:spacing w:after="0"/>
      </w:pPr>
      <w:r>
        <w:t>chunks listos para embeddings</w:t>
      </w:r>
    </w:p>
    <w:p>
      <w:pPr>
        <w:pStyle w:val="Heading1"/>
      </w:pPr>
      <w:r>
        <w:t>6. ChromaDB: persistencia vectorial local</w:t>
      </w:r>
    </w:p>
    <w:p>
      <w:pPr>
        <w:spacing w:after="120" w:line="259" w:lineRule="auto"/>
      </w:pPr>
      <w:r>
        <w:t>Si los embeddings existen solo en memoria se pierden al reiniciar el proceso. ChromaDB ofrece una base vectorial local y persistente, adecuada para desarrollo y prototipos, que permite guardar vectores, documentos y metadata y realizar búsquedas por similitud.</w:t>
      </w:r>
    </w:p>
    <w:p>
      <w:pPr>
        <w:pStyle w:val="Heading2"/>
      </w:pPr>
      <w:r>
        <w:t>6.1 CRUD en el espacio vectorial</w:t>
      </w:r>
    </w:p>
    <w:p>
      <w:pPr>
        <w:pStyle w:val="ListBullet"/>
      </w:pPr>
      <w:r>
        <w:t>Create/Add: insertar documentos y sus embeddings.</w:t>
      </w:r>
    </w:p>
    <w:p>
      <w:pPr>
        <w:pStyle w:val="ListBullet"/>
      </w:pPr>
      <w:r>
        <w:t>Read/Query: recuperar los vectores o documentos más cercanos a una consulta.</w:t>
      </w:r>
    </w:p>
    <w:p>
      <w:pPr>
        <w:pStyle w:val="ListBullet"/>
      </w:pPr>
      <w:r>
        <w:t>Update: modificar contenido, metadata o representación almacenada cuando corresponde.</w:t>
      </w:r>
    </w:p>
    <w:p>
      <w:pPr>
        <w:pStyle w:val="ListBullet"/>
      </w:pPr>
      <w:r>
        <w:t>Delete: eliminar documentos o vectores que ya no deben formar parte de la colección.</w:t>
      </w:r>
    </w:p>
    <w:p>
      <w:pPr>
        <w:pStyle w:val="Heading2"/>
      </w:pPr>
      <w:r>
        <w:t>6.2 Metadata y filtrado</w:t>
      </w:r>
    </w:p>
    <w:p>
      <w:pPr>
        <w:spacing w:after="120" w:line="259" w:lineRule="auto"/>
      </w:pPr>
      <w:r>
        <w:t>La metadata son etiquetas asociadas a los vectores, por ejemplo autor, fuente, categoría o fecha. Permite restringir el universo de búsqueda antes o durante la recuperación vectorial y ayuda a rastrear el origen del contexto utilizado por el LLM.</w:t>
      </w:r>
    </w:p>
    <w:tbl>
      <w:tblPr>
        <w:tblW w:type="auto" w:w="0"/>
        <w:tblLayout w:type="autofit"/>
        <w:tblLook w:firstColumn="1" w:firstRow="1" w:lastColumn="0" w:lastRow="0" w:noHBand="0" w:noVBand="1" w:val="04A0"/>
      </w:tblPr>
      <w:tblGrid>
        <w:gridCol w:w="9936"/>
      </w:tblGrid>
      <w:tr>
        <w:tc>
          <w:tcPr>
            <w:tcW w:type="dxa" w:w="9936"/>
            <w:shd w:fill="EAF2F8"/>
          </w:tcPr>
          <w:p>
            <w:r>
              <w:rPr>
                <w:b/>
                <w:sz w:val="19"/>
              </w:rPr>
              <w:t>Regla del curso: una colección debe consultarse con el mismo modelo de embeddings con el que fue construida; cambiar de modelo implica cambiar el espacio vectorial.</w:t>
            </w:r>
          </w:p>
        </w:tc>
      </w:tr>
    </w:tbl>
    <w:p/>
    <w:p>
      <w:pPr>
        <w:pStyle w:val="Heading1"/>
      </w:pPr>
      <w:r>
        <w:t>7. VectorMemoryManager</w:t>
      </w:r>
    </w:p>
    <w:p>
      <w:pPr>
        <w:spacing w:after="120" w:line="259" w:lineRule="auto"/>
      </w:pPr>
      <w:r>
        <w:t>La práctica de la Unidad 3 encapsula las operaciones CRUD de ChromaDB en un VectorMemoryManager. La idea arquitectónica es evitar que la lógica de la aplicación dependa directamente de llamadas dispersas a la base vectorial y centralizar persistencia y búsqueda.</w:t>
      </w:r>
    </w:p>
    <w:p>
      <w:pPr>
        <w:pStyle w:val="Heading1"/>
      </w:pPr>
      <w:r>
        <w:t>8. Pipeline RAG End-to-End</w:t>
      </w:r>
    </w:p>
    <w:p>
      <w:pPr>
        <w:spacing w:after="120" w:line="259" w:lineRule="auto"/>
      </w:pPr>
      <w:r>
        <w:t>RAG (Retrieval-Augmented Generation) agrega una etapa de recuperación antes de la generación. Primero se ingesta y vectoriza la base documental. Luego una consulta del usuario se convierte a embedding, se recuperan los chunks más similares y esos fragmentos se entregan al LLM como contexto para producir una respuesta grounded.</w:t>
      </w:r>
    </w:p>
    <w:p>
      <w:pPr>
        <w:pStyle w:val="CodeBlock"/>
        <w:spacing w:after="0"/>
      </w:pPr>
      <w:r>
        <w:t>DOCUMENTOS</w:t>
      </w:r>
    </w:p>
    <w:p>
      <w:pPr>
        <w:pStyle w:val="CodeBlock"/>
        <w:spacing w:after="0"/>
      </w:pPr>
      <w:r>
        <w:t xml:space="preserve">  ↓</w:t>
      </w:r>
    </w:p>
    <w:p>
      <w:pPr>
        <w:pStyle w:val="CodeBlock"/>
        <w:spacing w:after="0"/>
      </w:pPr>
      <w:r>
        <w:t>limpieza + chunking</w:t>
      </w:r>
    </w:p>
    <w:p>
      <w:pPr>
        <w:pStyle w:val="CodeBlock"/>
        <w:spacing w:after="0"/>
      </w:pPr>
      <w:r>
        <w:t xml:space="preserve">  ↓</w:t>
      </w:r>
    </w:p>
    <w:p>
      <w:pPr>
        <w:pStyle w:val="CodeBlock"/>
        <w:spacing w:after="0"/>
      </w:pPr>
      <w:r>
        <w:t>embeddings</w:t>
      </w:r>
    </w:p>
    <w:p>
      <w:pPr>
        <w:pStyle w:val="CodeBlock"/>
        <w:spacing w:after="0"/>
      </w:pPr>
      <w:r>
        <w:t xml:space="preserve">  ↓</w:t>
      </w:r>
    </w:p>
    <w:p>
      <w:pPr>
        <w:pStyle w:val="CodeBlock"/>
        <w:spacing w:after="0"/>
      </w:pPr>
      <w:r>
        <w:t>ChromaDB</w:t>
      </w:r>
    </w:p>
    <w:p>
      <w:pPr>
        <w:pStyle w:val="CodeBlock"/>
        <w:spacing w:after="0"/>
      </w:pPr>
      <w:r/>
    </w:p>
    <w:p>
      <w:pPr>
        <w:pStyle w:val="CodeBlock"/>
        <w:spacing w:after="0"/>
      </w:pPr>
      <w:r>
        <w:t>QUERY DEL USUARIO</w:t>
      </w:r>
    </w:p>
    <w:p>
      <w:pPr>
        <w:pStyle w:val="CodeBlock"/>
        <w:spacing w:after="0"/>
      </w:pPr>
      <w:r>
        <w:t xml:space="preserve">  ↓</w:t>
      </w:r>
    </w:p>
    <w:p>
      <w:pPr>
        <w:pStyle w:val="CodeBlock"/>
        <w:spacing w:after="0"/>
      </w:pPr>
      <w:r>
        <w:t>embedding de query</w:t>
      </w:r>
    </w:p>
    <w:p>
      <w:pPr>
        <w:pStyle w:val="CodeBlock"/>
        <w:spacing w:after="0"/>
      </w:pPr>
      <w:r>
        <w:t xml:space="preserve">  ↓</w:t>
      </w:r>
    </w:p>
    <w:p>
      <w:pPr>
        <w:pStyle w:val="CodeBlock"/>
        <w:spacing w:after="0"/>
      </w:pPr>
      <w:r>
        <w:t>similarity search / top-k</w:t>
      </w:r>
    </w:p>
    <w:p>
      <w:pPr>
        <w:pStyle w:val="CodeBlock"/>
        <w:spacing w:after="0"/>
      </w:pPr>
      <w:r>
        <w:t xml:space="preserve">  ↓</w:t>
      </w:r>
    </w:p>
    <w:p>
      <w:pPr>
        <w:pStyle w:val="CodeBlock"/>
        <w:spacing w:after="0"/>
      </w:pPr>
      <w:r>
        <w:t>contexto recuperado</w:t>
      </w:r>
    </w:p>
    <w:p>
      <w:pPr>
        <w:pStyle w:val="CodeBlock"/>
        <w:spacing w:after="0"/>
      </w:pPr>
      <w:r>
        <w:t xml:space="preserve">  ↓</w:t>
      </w:r>
    </w:p>
    <w:p>
      <w:pPr>
        <w:pStyle w:val="CodeBlock"/>
        <w:spacing w:after="0"/>
      </w:pPr>
      <w:r>
        <w:t>LLM</w:t>
      </w:r>
    </w:p>
    <w:p>
      <w:pPr>
        <w:pStyle w:val="CodeBlock"/>
        <w:spacing w:after="0"/>
      </w:pPr>
      <w:r>
        <w:t xml:space="preserve">  ↓</w:t>
      </w:r>
    </w:p>
    <w:p>
      <w:pPr>
        <w:pStyle w:val="CodeBlock"/>
        <w:spacing w:after="0"/>
      </w:pPr>
      <w:r>
        <w:t>respuesta grounded</w:t>
      </w:r>
    </w:p>
    <w:p>
      <w:pPr>
        <w:pStyle w:val="Heading1"/>
      </w:pPr>
      <w:r>
        <w:t>9. Top-K y contexto recuperado</w:t>
      </w:r>
    </w:p>
    <w:p>
      <w:pPr>
        <w:spacing w:after="120" w:line="259" w:lineRule="auto"/>
      </w:pPr>
      <w:r>
        <w:t>La clase advierte contra el “contexto infinito”: recuperar demasiados fragmentos aumenta ruido y consume contexto del LLM. Como guía práctica, propone mantener un top_k de aproximadamente 3 a 5 para la Pre-Entrega, y evaluar si esos resultados son realmente relevantes.</w:t>
      </w:r>
    </w:p>
    <w:p>
      <w:pPr>
        <w:pStyle w:val="Heading1"/>
      </w:pPr>
      <w:r>
        <w:t>10. Diagnóstico de un RAG con resultados irrelevantes</w:t>
      </w:r>
    </w:p>
    <w:p>
      <w:pPr>
        <w:spacing w:after="120" w:line="259" w:lineRule="auto"/>
      </w:pPr>
      <w:r>
        <w:t>Cuando la recuperación falla, la clase propone diagnosticar qué componente es responsable en lugar de modificar todo a la vez. Tres variables centrales son el modelo de embeddings, el tamaño/estrategia de chunking y la métrica de similitud. Un cambio en cualquiera de ellas puede modificar qué documentos aparecen en el Top-K.</w:t>
      </w:r>
    </w:p>
    <w:p>
      <w:pPr>
        <w:pStyle w:val="Heading1"/>
      </w:pPr>
      <w:r>
        <w:t>11. Errores comunes</w:t>
      </w:r>
    </w:p>
    <w:p>
      <w:pPr>
        <w:pStyle w:val="ListBullet"/>
      </w:pPr>
      <w:r>
        <w:t>Suponer que un embedding “comprende” lógica de forma perfecta; captura correlaciones y puede fallar con negaciones.</w:t>
      </w:r>
    </w:p>
    <w:p>
      <w:pPr>
        <w:pStyle w:val="ListBullet"/>
      </w:pPr>
      <w:r>
        <w:t>Enviar documentos demasiado grandes al modelo de embeddings y superar su ventana de contexto.</w:t>
      </w:r>
    </w:p>
    <w:p>
      <w:pPr>
        <w:pStyle w:val="ListBullet"/>
      </w:pPr>
      <w:r>
        <w:t>Mezclar vectores generados por modelos de embeddings diferentes.</w:t>
      </w:r>
    </w:p>
    <w:p>
      <w:pPr>
        <w:pStyle w:val="ListBullet"/>
      </w:pPr>
      <w:r>
        <w:t>Fragmentar antes de limpiar el texto.</w:t>
      </w:r>
    </w:p>
    <w:p>
      <w:pPr>
        <w:pStyle w:val="ListBullet"/>
      </w:pPr>
      <w:r>
        <w:t>Usar chunks demasiado grandes o demasiado pequeños sin evaluar recuperación.</w:t>
      </w:r>
    </w:p>
    <w:p>
      <w:pPr>
        <w:pStyle w:val="ListBullet"/>
      </w:pPr>
      <w:r>
        <w:t>Recuperar demasiados fragmentos y contaminar el contexto del LLM.</w:t>
      </w:r>
    </w:p>
    <w:p>
      <w:pPr>
        <w:pStyle w:val="Heading1"/>
      </w:pPr>
      <w:r>
        <w:t>12. Pre-Entrega 3 — contenido académico</w:t>
      </w:r>
    </w:p>
    <w:p>
      <w:pPr>
        <w:spacing w:after="120" w:line="259" w:lineRule="auto"/>
      </w:pPr>
      <w:r>
        <w:t>La Pre-Entrega 3 pide un script o notebook que implemente un flujo RAG End-to-End local. Debe incluir procesamiento documental, embeddings, persistencia/recuperación en una base vectorial y una etapa de generación fundamentada en el contexto recuperado.</w:t>
      </w:r>
    </w:p>
    <w:p>
      <w:pPr>
        <w:pStyle w:val="Heading1"/>
      </w:pPr>
      <w:r>
        <w:t>13. Preguntas que esta Knowledge Base debe poder responder</w:t>
      </w:r>
    </w:p>
    <w:p>
      <w:pPr>
        <w:pStyle w:val="ListBullet"/>
      </w:pPr>
      <w:r>
        <w:t>¿Un vector es lo mismo que un embedding?</w:t>
      </w:r>
    </w:p>
    <w:p>
      <w:pPr>
        <w:pStyle w:val="ListBullet"/>
      </w:pPr>
      <w:r>
        <w:t>¿Qué diferencia hay entre One-Hot y embeddings?</w:t>
      </w:r>
    </w:p>
    <w:p>
      <w:pPr>
        <w:pStyle w:val="ListBullet"/>
      </w:pPr>
      <w:r>
        <w:t>¿Qué diferencia hay entre embeddings estáticos y contextuales?</w:t>
      </w:r>
    </w:p>
    <w:p>
      <w:pPr>
        <w:pStyle w:val="ListBullet"/>
      </w:pPr>
      <w:r>
        <w:t>¿Cuándo usar similitud coseno, L2 o producto punto?</w:t>
      </w:r>
    </w:p>
    <w:p>
      <w:pPr>
        <w:pStyle w:val="ListBullet"/>
      </w:pPr>
      <w:r>
        <w:t>¿Por qué no se deben mezclar modelos de embeddings?</w:t>
      </w:r>
    </w:p>
    <w:p>
      <w:pPr>
        <w:pStyle w:val="ListBullet"/>
      </w:pPr>
      <w:r>
        <w:t>¿Por qué hay que hacer chunking?</w:t>
      </w:r>
    </w:p>
    <w:p>
      <w:pPr>
        <w:pStyle w:val="ListBullet"/>
      </w:pPr>
      <w:r>
        <w:t>¿Para qué sirve el overlap?</w:t>
      </w:r>
    </w:p>
    <w:p>
      <w:pPr>
        <w:pStyle w:val="ListBullet"/>
      </w:pPr>
      <w:r>
        <w:t>¿Qué hace Recursive Character Splitting?</w:t>
      </w:r>
    </w:p>
    <w:p>
      <w:pPr>
        <w:pStyle w:val="ListBullet"/>
      </w:pPr>
      <w:r>
        <w:t>¿Qué problema resuelve ChromaDB?</w:t>
      </w:r>
    </w:p>
    <w:p>
      <w:pPr>
        <w:pStyle w:val="ListBullet"/>
      </w:pPr>
      <w:r>
        <w:t>¿Qué significa CRUD en una base vectorial?</w:t>
      </w:r>
    </w:p>
    <w:p>
      <w:pPr>
        <w:pStyle w:val="ListBullet"/>
      </w:pPr>
      <w:r>
        <w:t>¿Para qué sirven los metadatos?</w:t>
      </w:r>
    </w:p>
    <w:p>
      <w:pPr>
        <w:pStyle w:val="ListBullet"/>
      </w:pPr>
      <w:r>
        <w:t>¿Qué es Top-K?</w:t>
      </w:r>
    </w:p>
    <w:p>
      <w:pPr>
        <w:pStyle w:val="ListBullet"/>
      </w:pPr>
      <w:r>
        <w:t>¿Cómo funciona un pipeline RAG?</w:t>
      </w:r>
    </w:p>
    <w:p>
      <w:pPr>
        <w:pStyle w:val="ListBullet"/>
      </w:pPr>
      <w:r>
        <w:t>¿Qué exige la Pre-Entrega 3?</w:t>
      </w:r>
    </w:p>
    <w:p>
      <w:pPr>
        <w:pStyle w:val="Heading1"/>
      </w:pPr>
      <w:r>
        <w:t>14. Notas de ingesta para el RAG del curso</w:t>
      </w:r>
    </w:p>
    <w:p>
      <w:pPr>
        <w:spacing w:after="120" w:line="259" w:lineRule="auto"/>
      </w:pPr>
      <w:r>
        <w:t>Para esta Knowledge Base, los chunks deberían conservar el encabezado temático y la explicación asociada. Los ejemplos de fórmulas o flujo deben permanecer junto a su descripción. La metadata de clase, fuente, sección y tipo de contenido debe agregarse desde el pipeline de ingesta y no como texto vectorizable dentro del documento.</w:t>
      </w:r>
    </w:p>
    <w:p>
      <w:pPr>
        <w:pStyle w:val="Heading1"/>
      </w:pPr>
      <w:r>
        <w:t>Nota de fuente</w:t>
      </w:r>
    </w:p>
    <w:p>
      <w:pPr>
        <w:spacing w:after="120" w:line="259" w:lineRule="auto"/>
      </w:pPr>
      <w:r>
        <w:t>Este documento amplía y reorganiza, con fines de recuperación RAG, los conceptos presentados en AI_Engineering_Clase_3_Persistencia_de_datos_y_vector_DBs.pptx.pdf. Los términos técnicos en inglés se conservan cuando forman parte del vocabulario del curso. Las secciones de Pre-Entrega se mantienen como contenido académico y están separadas del conocimiento técnico para poder identificarlas durante la ingesta.</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597"/>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