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Engineering — Knowledge Base Clase 4</w:t>
      </w:r>
    </w:p>
    <w:p>
      <w:pPr>
        <w:jc w:val="center"/>
      </w:pPr>
      <w:r>
        <w:rPr>
          <w:i/>
          <w:sz w:val="22"/>
        </w:rPr>
        <w:t>RAG avanzado, Pinecone Serverless, ingesta masiva, recuperación híbrida y evaluación</w:t>
      </w:r>
    </w:p>
    <w:p>
      <w:pPr>
        <w:jc w:val="center"/>
      </w:pPr>
      <w:r>
        <w:rPr>
          <w:color w:val="646464"/>
          <w:sz w:val="18"/>
        </w:rPr>
        <w:t>Base de conocimiento enriquecida para recuperación RAG</w:t>
      </w:r>
    </w:p>
    <w:p>
      <w:pPr>
        <w:pStyle w:val="Heading1"/>
      </w:pPr>
      <w:r>
        <w:t>Objetivos de la clase</w:t>
      </w:r>
    </w:p>
    <w:p>
      <w:pPr>
        <w:pStyle w:val="ListBullet"/>
      </w:pPr>
      <w:r>
        <w:t>Configurar infraestructura vectorial en la nube con Pinecone Serverless.</w:t>
      </w:r>
    </w:p>
    <w:p>
      <w:pPr>
        <w:pStyle w:val="ListBullet"/>
      </w:pPr>
      <w:r>
        <w:t>Diseñar ingesta masiva con metadatos estructurados y filtrado.</w:t>
      </w:r>
    </w:p>
    <w:p>
      <w:pPr>
        <w:pStyle w:val="ListBullet"/>
      </w:pPr>
      <w:r>
        <w:t>Combinar BM25 con búsqueda vectorial para recuperación híbrida.</w:t>
      </w:r>
    </w:p>
    <w:p>
      <w:pPr>
        <w:pStyle w:val="ListBullet"/>
      </w:pPr>
      <w:r>
        <w:t>Evaluar retrieval con Precision, Recall y F1.</w:t>
      </w:r>
    </w:p>
    <w:p>
      <w:pPr>
        <w:pStyle w:val="ListBullet"/>
      </w:pPr>
      <w:r>
        <w:t>Aplicar RRF y re-ranking para mejorar el ranking final.</w:t>
      </w:r>
    </w:p>
    <w:p>
      <w:pPr>
        <w:pStyle w:val="Heading1"/>
      </w:pPr>
      <w:r>
        <w:t>1. Pinecone Serverless: del prototipo local a la nube</w:t>
      </w:r>
    </w:p>
    <w:p>
      <w:pPr>
        <w:spacing w:after="120" w:line="259" w:lineRule="auto"/>
      </w:pPr>
      <w:r>
        <w:t>ChromaDB es adecuado para desarrollo local y prototipado, pero un escenario de producción introduce necesidades de escalabilidad, persistencia administrada y alta disponibilidad. Pinecone es una base vectorial gestionada en la nube. En arquitectura Serverless no se administran nodos ni memoria de forma directa; el almacenamiento y el cómputo son gestionados por el servicio.</w:t>
      </w:r>
    </w:p>
    <w:p>
      <w:pPr>
        <w:pStyle w:val="Heading1"/>
      </w:pPr>
      <w:r>
        <w:t>2. Index, Namespace y Metadata</w:t>
      </w:r>
    </w:p>
    <w:p>
      <w:pPr>
        <w:pStyle w:val="Heading2"/>
      </w:pPr>
      <w:r>
        <w:t>2.1 Index</w:t>
      </w:r>
    </w:p>
    <w:p>
      <w:pPr>
        <w:spacing w:after="120" w:line="259" w:lineRule="auto"/>
      </w:pPr>
      <w:r>
        <w:t>El Index es el contenedor principal de vectores. Define propiedades estructurales como la dimensión y la métrica de similitud. La dimensión configurada debe coincidir con la salida del modelo de embeddings utilizado.</w:t>
      </w:r>
    </w:p>
    <w:p>
      <w:pPr>
        <w:pStyle w:val="Heading2"/>
      </w:pPr>
      <w:r>
        <w:t>2.2 Namespace</w:t>
      </w:r>
    </w:p>
    <w:p>
      <w:pPr>
        <w:spacing w:after="120" w:line="259" w:lineRule="auto"/>
      </w:pPr>
      <w:r>
        <w:t>Un Namespace particiona lógicamente un índice. La clase lo presenta como una herramienta importante para separar tenants o ambientes como dev, staging y prod sin mezclar sus datos.</w:t>
      </w:r>
    </w:p>
    <w:p>
      <w:pPr>
        <w:pStyle w:val="Heading2"/>
      </w:pPr>
      <w:r>
        <w:t>2.3 Metadata</w:t>
      </w:r>
    </w:p>
    <w:p>
      <w:pPr>
        <w:spacing w:after="120" w:line="259" w:lineRule="auto"/>
      </w:pPr>
      <w:r>
        <w:t>La Metadata es información estructurada adjunta a cada vector. Puede incluir source, author, language, category, department, tags, doc_type o fecha. Permite aplicar filtros y conservar trazabilidad del documento original.</w:t>
      </w:r>
    </w:p>
    <w:p>
      <w:pPr>
        <w:pStyle w:val="Heading1"/>
      </w:pPr>
      <w:r>
        <w:t>3. Flujo de ingesta y recuperación</w:t>
      </w:r>
    </w:p>
    <w:p>
      <w:pPr>
        <w:pStyle w:val="CodeBlock"/>
        <w:spacing w:after="0"/>
      </w:pPr>
      <w:r>
        <w:t>DOCUMENTOS</w:t>
      </w:r>
    </w:p>
    <w:p>
      <w:pPr>
        <w:pStyle w:val="CodeBlock"/>
        <w:spacing w:after="0"/>
      </w:pPr>
      <w:r>
        <w:t xml:space="preserve">  ↓</w:t>
      </w:r>
    </w:p>
    <w:p>
      <w:pPr>
        <w:pStyle w:val="CodeBlock"/>
        <w:spacing w:after="0"/>
      </w:pPr>
      <w:r>
        <w:t>chunking</w:t>
      </w:r>
    </w:p>
    <w:p>
      <w:pPr>
        <w:pStyle w:val="CodeBlock"/>
        <w:spacing w:after="0"/>
      </w:pPr>
      <w:r>
        <w:t xml:space="preserve">  ↓</w:t>
      </w:r>
    </w:p>
    <w:p>
      <w:pPr>
        <w:pStyle w:val="CodeBlock"/>
        <w:spacing w:after="0"/>
      </w:pPr>
      <w:r>
        <w:t>embeddings</w:t>
      </w:r>
    </w:p>
    <w:p>
      <w:pPr>
        <w:pStyle w:val="CodeBlock"/>
        <w:spacing w:after="0"/>
      </w:pPr>
      <w:r>
        <w:t xml:space="preserve">  ↓</w:t>
      </w:r>
    </w:p>
    <w:p>
      <w:pPr>
        <w:pStyle w:val="CodeBlock"/>
        <w:spacing w:after="0"/>
      </w:pPr>
      <w:r>
        <w:t>batch upsert + metadata</w:t>
      </w:r>
    </w:p>
    <w:p>
      <w:pPr>
        <w:pStyle w:val="CodeBlock"/>
        <w:spacing w:after="0"/>
      </w:pPr>
      <w:r>
        <w:t xml:space="preserve">  ↓</w:t>
      </w:r>
    </w:p>
    <w:p>
      <w:pPr>
        <w:pStyle w:val="CodeBlock"/>
        <w:spacing w:after="0"/>
      </w:pPr>
      <w:r>
        <w:t>PINECONE</w:t>
      </w:r>
    </w:p>
    <w:p>
      <w:pPr>
        <w:pStyle w:val="CodeBlock"/>
        <w:spacing w:after="0"/>
      </w:pPr>
      <w:r/>
    </w:p>
    <w:p>
      <w:pPr>
        <w:pStyle w:val="CodeBlock"/>
        <w:spacing w:after="0"/>
      </w:pPr>
      <w:r>
        <w:t>QUERY</w:t>
      </w:r>
    </w:p>
    <w:p>
      <w:pPr>
        <w:pStyle w:val="CodeBlock"/>
        <w:spacing w:after="0"/>
      </w:pPr>
      <w:r>
        <w:t xml:space="preserve">  ↓</w:t>
      </w:r>
    </w:p>
    <w:p>
      <w:pPr>
        <w:pStyle w:val="CodeBlock"/>
        <w:spacing w:after="0"/>
      </w:pPr>
      <w:r>
        <w:t>embedding de query</w:t>
      </w:r>
    </w:p>
    <w:p>
      <w:pPr>
        <w:pStyle w:val="CodeBlock"/>
        <w:spacing w:after="0"/>
      </w:pPr>
      <w:r>
        <w:t xml:space="preserve">  ↓</w:t>
      </w:r>
    </w:p>
    <w:p>
      <w:pPr>
        <w:pStyle w:val="CodeBlock"/>
        <w:spacing w:after="0"/>
      </w:pPr>
      <w:r>
        <w:t>filtro de metadata + similitud</w:t>
      </w:r>
    </w:p>
    <w:p>
      <w:pPr>
        <w:pStyle w:val="CodeBlock"/>
        <w:spacing w:after="0"/>
      </w:pPr>
      <w:r>
        <w:t xml:space="preserve">  ↓</w:t>
      </w:r>
    </w:p>
    <w:p>
      <w:pPr>
        <w:pStyle w:val="CodeBlock"/>
        <w:spacing w:after="0"/>
      </w:pPr>
      <w:r>
        <w:t>Top-K</w:t>
      </w:r>
    </w:p>
    <w:p>
      <w:pPr>
        <w:pStyle w:val="CodeBlock"/>
        <w:spacing w:after="0"/>
      </w:pPr>
      <w:r>
        <w:t xml:space="preserve">  ↓</w:t>
      </w:r>
    </w:p>
    <w:p>
      <w:pPr>
        <w:pStyle w:val="CodeBlock"/>
        <w:spacing w:after="0"/>
      </w:pPr>
      <w:r>
        <w:t>contexto para el LLM</w:t>
      </w:r>
    </w:p>
    <w:p>
      <w:pPr>
        <w:spacing w:after="120" w:line="259" w:lineRule="auto"/>
      </w:pPr>
      <w:r>
        <w:t>Durante la ingesta, los documentos se fragmentan, se convierten a embeddings y se suben mediante upsert. En recuperación, la consulta del usuario se vectoriza y Pinecone busca vecinos cercanos, opcionalmente restringiendo primero por metadata.</w:t>
      </w:r>
    </w:p>
    <w:p>
      <w:pPr>
        <w:pStyle w:val="Heading1"/>
      </w:pPr>
      <w:r>
        <w:t>4. Errores comunes de arquitectura en Pinecone</w:t>
      </w:r>
    </w:p>
    <w:p>
      <w:pPr>
        <w:pStyle w:val="ListBullet"/>
      </w:pPr>
      <w:r>
        <w:t>Mismatch de dimensiones: insertar vectores de una dimensión distinta a la configurada en el índice produce error.</w:t>
      </w:r>
    </w:p>
    <w:p>
      <w:pPr>
        <w:pStyle w:val="ListBullet"/>
      </w:pPr>
      <w:r>
        <w:t>Ignorar namespaces: mezclar usuarios o ambientes reduce claridad y puede comprometer el aislamiento de datos.</w:t>
      </w:r>
    </w:p>
    <w:p>
      <w:pPr>
        <w:pStyle w:val="ListBullet"/>
      </w:pPr>
      <w:r>
        <w:t>Elegir una métrica incompatible con el modelo de embeddings.</w:t>
      </w:r>
    </w:p>
    <w:p>
      <w:pPr>
        <w:pStyle w:val="ListBullet"/>
      </w:pPr>
      <w:r>
        <w:t>Usar metadata inconsistente entre procesos de ingesta.</w:t>
      </w:r>
    </w:p>
    <w:p>
      <w:pPr>
        <w:pStyle w:val="Heading1"/>
      </w:pPr>
      <w:r>
        <w:t>5. Batch Upsert: ingesta a escala</w:t>
      </w:r>
    </w:p>
    <w:p>
      <w:pPr>
        <w:spacing w:after="120" w:line="259" w:lineRule="auto"/>
      </w:pPr>
      <w:r>
        <w:t>Insertar vectores uno por uno agrega overhead de red y aumenta el impacto de los límites de API. La clase recomienda Batch Upsert: agrupar vectores y subirlos juntos. Como referencia práctica menciona batches de aproximadamente 100 a 200 vectores, buscando un equilibrio entre velocidad y tamaño de petición.</w:t>
      </w:r>
    </w:p>
    <w:p>
      <w:pPr>
        <w:pStyle w:val="Heading1"/>
      </w:pPr>
      <w:r>
        <w:t>6. Metadata estratégica y filtrado</w:t>
      </w:r>
    </w:p>
    <w:p>
      <w:pPr>
        <w:pStyle w:val="Heading2"/>
      </w:pPr>
      <w:r>
        <w:t>6.1 Puro vs. filtro</w:t>
      </w:r>
    </w:p>
    <w:p>
      <w:pPr>
        <w:spacing w:after="120" w:line="259" w:lineRule="auto"/>
      </w:pPr>
      <w:r>
        <w:t>Una búsqueda puramente vectorial compara la query con todo el espacio disponible. Un filtro de metadata reduce el universo candidato antes de la comparación semántica, por ejemplo restringiendo por categoría, departamento, idioma, tenant o tipo documental.</w:t>
      </w:r>
    </w:p>
    <w:p>
      <w:pPr>
        <w:pStyle w:val="Heading2"/>
      </w:pPr>
      <w:r>
        <w:t>6.2 Schema Drift</w:t>
      </w:r>
    </w:p>
    <w:p>
      <w:pPr>
        <w:spacing w:after="120" w:line="259" w:lineRule="auto"/>
      </w:pPr>
      <w:r>
        <w:t>Schema Drift ocurre cuando diferentes pipelines usan nombres o formatos distintos para el mismo dato, por ejemplo ingest_date en un proceso y date_created en otro. La clase recomienda definir un esquema de metadata compartido desde el inicio para que los filtros sean predecibles.</w:t>
      </w:r>
    </w:p>
    <w:p>
      <w:pPr>
        <w:pStyle w:val="Heading2"/>
      </w:pPr>
      <w:r>
        <w:t>6.3 Multi-tenancy</w:t>
      </w:r>
    </w:p>
    <w:p>
      <w:pPr>
        <w:spacing w:after="120" w:line="259" w:lineRule="auto"/>
      </w:pPr>
      <w:r>
        <w:t>Namespaces y metadata pueden contribuir a separar datos de distintos clientes o contextos. El diseño debe evitar mezclar información de tenants diferentes y elegir una estrategia consistente de segmentación.</w:t>
      </w:r>
    </w:p>
    <w:p>
      <w:pPr>
        <w:pStyle w:val="Heading1"/>
      </w:pPr>
      <w:r>
        <w:t>7. Document Loaders y enriquecimiento</w:t>
      </w:r>
    </w:p>
    <w:p>
      <w:pPr>
        <w:spacing w:after="120" w:line="259" w:lineRule="auto"/>
      </w:pPr>
      <w:r>
        <w:t>Los Document Loaders conectan el pipeline con archivos, URLs o APIs y producen objetos que separan page_content de metadata. Esa separación habilita las etapas posteriores de limpieza, chunking, enriquecimiento y persistencia.</w:t>
      </w:r>
    </w:p>
    <w:p>
      <w:pPr>
        <w:spacing w:after="120" w:line="259" w:lineRule="auto"/>
      </w:pPr>
      <w:r>
        <w:t>La clase menciona enriquecimiento con detección de idioma, clasificación temática, extracción de entidades, palabras clave y resúmenes. El objetivo es mejorar filtrado y recuperación, manteniendo un esquema de metadata estable.</w:t>
      </w:r>
    </w:p>
    <w:p>
      <w:pPr>
        <w:pStyle w:val="Heading1"/>
      </w:pPr>
      <w:r>
        <w:t>8. Ciclo de vida del vector</w:t>
      </w:r>
    </w:p>
    <w:p>
      <w:pPr>
        <w:pStyle w:val="ListBullet"/>
      </w:pPr>
      <w:r>
        <w:t>Embedding: generar la representación vectorial del contenido nuevo o modificado.</w:t>
      </w:r>
    </w:p>
    <w:p>
      <w:pPr>
        <w:pStyle w:val="ListBullet"/>
      </w:pPr>
      <w:r>
        <w:t>Upsert: insertar o actualizar el vector junto con su metadata.</w:t>
      </w:r>
    </w:p>
    <w:p>
      <w:pPr>
        <w:pStyle w:val="ListBullet"/>
      </w:pPr>
      <w:r>
        <w:t>Consulta: recuperar por similitud y filtros.</w:t>
      </w:r>
    </w:p>
    <w:p>
      <w:pPr>
        <w:pStyle w:val="ListBullet"/>
      </w:pPr>
      <w:r>
        <w:t>Actualización/Delete: modificar o eliminar solamente los elementos necesarios.</w:t>
      </w:r>
    </w:p>
    <w:p>
      <w:pPr>
        <w:pStyle w:val="ListBullet"/>
      </w:pPr>
      <w:r>
        <w:t>Reindexación: regenerar embeddings cuando un cambio de contenido o de modelo lo exige.</w:t>
      </w:r>
    </w:p>
    <w:p>
      <w:pPr>
        <w:pStyle w:val="Heading1"/>
      </w:pPr>
      <w:r>
        <w:t>9. BM25: recuperación léxica</w:t>
      </w:r>
    </w:p>
    <w:p>
      <w:pPr>
        <w:spacing w:after="120" w:line="259" w:lineRule="auto"/>
      </w:pPr>
      <w:r>
        <w:t>BM25 es un método de recuperación léxica que favorece coincidencias de términos relevantes. Es especialmente útil cuando la consulta contiene tokens exactos, códigos, nombres técnicos o expresiones poco frecuentes. Su fortaleza complementa a los embeddings, que recuperan similitud semántica aunque no exista coincidencia literal.</w:t>
      </w:r>
    </w:p>
    <w:p>
      <w:pPr>
        <w:pStyle w:val="CodeBlock"/>
        <w:spacing w:after="0"/>
      </w:pPr>
      <w:r>
        <w:t>Query: "AADSTS7000215"</w:t>
      </w:r>
    </w:p>
    <w:p>
      <w:pPr>
        <w:pStyle w:val="CodeBlock"/>
        <w:spacing w:after="0"/>
      </w:pPr>
      <w:r/>
    </w:p>
    <w:p>
      <w:pPr>
        <w:pStyle w:val="CodeBlock"/>
        <w:spacing w:after="0"/>
      </w:pPr>
      <w:r>
        <w:t>BM25 → favorece la coincidencia exacta del código</w:t>
      </w:r>
    </w:p>
    <w:p>
      <w:pPr>
        <w:pStyle w:val="CodeBlock"/>
        <w:spacing w:after="0"/>
      </w:pPr>
      <w:r>
        <w:t>Vector search → puede recuperar texto sobre credenciales o client secret inválido aunque no repita el código</w:t>
      </w:r>
    </w:p>
    <w:p>
      <w:pPr>
        <w:pStyle w:val="Heading1"/>
      </w:pPr>
      <w:r>
        <w:t>10. Búsqueda vectorial</w:t>
      </w:r>
    </w:p>
    <w:p>
      <w:pPr>
        <w:spacing w:after="120" w:line="259" w:lineRule="auto"/>
      </w:pPr>
      <w:r>
        <w:t>La búsqueda vectorial convierte la query en un embedding y recupera los documentos más cercanos en el espacio semántico. Puede encontrar contenido relacionado aunque use vocabulario distinto, pero puede perder precisión en consultas donde una coincidencia exacta es decisiva.</w:t>
      </w:r>
    </w:p>
    <w:p>
      <w:pPr>
        <w:pStyle w:val="Heading1"/>
      </w:pPr>
      <w:r>
        <w:t>11. Hybrid Retrieval: BM25 + vectores</w:t>
      </w:r>
    </w:p>
    <w:p>
      <w:pPr>
        <w:spacing w:after="120" w:line="259" w:lineRule="auto"/>
      </w:pPr>
      <w:r>
        <w:t>La recuperación híbrida combina las fortalezas de BM25 y la búsqueda vectorial. Una rama recupera coincidencias léxicas y otra recupera similitud semántica; luego ambos rankings se fusionan para obtener una lista final.</w:t>
      </w:r>
    </w:p>
    <w:p>
      <w:pPr>
        <w:pStyle w:val="CodeBlock"/>
        <w:spacing w:after="0"/>
      </w:pPr>
      <w:r>
        <w:t>QUERY</w:t>
      </w:r>
    </w:p>
    <w:p>
      <w:pPr>
        <w:pStyle w:val="CodeBlock"/>
        <w:spacing w:after="0"/>
      </w:pPr>
      <w:r>
        <w:t xml:space="preserve">  ├── BM25 Retriever ─────┐</w:t>
      </w:r>
    </w:p>
    <w:p>
      <w:pPr>
        <w:pStyle w:val="CodeBlock"/>
        <w:spacing w:after="0"/>
      </w:pPr>
      <w:r>
        <w:t xml:space="preserve">  └── Vector Retriever ───┤</w:t>
      </w:r>
    </w:p>
    <w:p>
      <w:pPr>
        <w:pStyle w:val="CodeBlock"/>
        <w:spacing w:after="0"/>
      </w:pPr>
      <w:r>
        <w:t xml:space="preserve">                         ↓</w:t>
      </w:r>
    </w:p>
    <w:p>
      <w:pPr>
        <w:pStyle w:val="CodeBlock"/>
        <w:spacing w:after="0"/>
      </w:pPr>
      <w:r>
        <w:t xml:space="preserve">                   fusión / RRF</w:t>
      </w:r>
    </w:p>
    <w:p>
      <w:pPr>
        <w:pStyle w:val="CodeBlock"/>
        <w:spacing w:after="0"/>
      </w:pPr>
      <w:r>
        <w:t xml:space="preserve">                         ↓</w:t>
      </w:r>
    </w:p>
    <w:p>
      <w:pPr>
        <w:pStyle w:val="CodeBlock"/>
        <w:spacing w:after="0"/>
      </w:pPr>
      <w:r>
        <w:t xml:space="preserve">                      Top-K</w:t>
      </w:r>
    </w:p>
    <w:p>
      <w:pPr>
        <w:pStyle w:val="Heading2"/>
      </w:pPr>
      <w:r>
        <w:t>11.1 EnsembleRetriever</w:t>
      </w:r>
    </w:p>
    <w:p>
      <w:pPr>
        <w:spacing w:after="120" w:line="259" w:lineRule="auto"/>
      </w:pPr>
      <w:r>
        <w:t>La clase utiliza EnsembleRetriever como diseño para combinar varios retrievers, por ejemplo BM25 y Pinecone. Los pesos expresan cuánto aporta cada rama al ensemble y deben evaluarse en lugar de asumirse óptimos por defecto.</w:t>
      </w:r>
    </w:p>
    <w:p>
      <w:pPr>
        <w:pStyle w:val="CodeBlock"/>
        <w:spacing w:after="0"/>
      </w:pPr>
      <w:r>
        <w:t># Composición conceptual de la clase</w:t>
      </w:r>
    </w:p>
    <w:p>
      <w:pPr>
        <w:pStyle w:val="CodeBlock"/>
        <w:spacing w:after="0"/>
      </w:pPr>
      <w:r>
        <w:t>hybrid_retriever = EnsembleRetriever(</w:t>
      </w:r>
    </w:p>
    <w:p>
      <w:pPr>
        <w:pStyle w:val="CodeBlock"/>
        <w:spacing w:after="0"/>
      </w:pPr>
      <w:r>
        <w:t xml:space="preserve">    retrievers=[bm25_retriever, pinecone_retriever],</w:t>
      </w:r>
    </w:p>
    <w:p>
      <w:pPr>
        <w:pStyle w:val="CodeBlock"/>
        <w:spacing w:after="0"/>
      </w:pPr>
      <w:r>
        <w:t xml:space="preserve">    weights=[0.5, 0.5]</w:t>
      </w:r>
    </w:p>
    <w:p>
      <w:pPr>
        <w:pStyle w:val="CodeBlock"/>
        <w:spacing w:after="0"/>
      </w:pPr>
      <w:r>
        <w:t>)</w:t>
      </w:r>
    </w:p>
    <w:p>
      <w:pPr>
        <w:pStyle w:val="Heading1"/>
      </w:pPr>
      <w:r>
        <w:t>12. Reciprocal Rank Fusion (RRF)</w:t>
      </w:r>
    </w:p>
    <w:p>
      <w:pPr>
        <w:spacing w:after="120" w:line="259" w:lineRule="auto"/>
      </w:pPr>
      <w:r>
        <w:t>RRF combina rankings usando la posición de cada documento en cada lista, en lugar de sumar directamente scores de BM25 y similitud vectorial. Esto es importante porque ambos scores viven en escalas diferentes y no deben sumarse de forma directa.</w:t>
      </w:r>
    </w:p>
    <w:p>
      <w:pPr>
        <w:pStyle w:val="CodeBlock"/>
        <w:spacing w:after="0"/>
      </w:pPr>
      <w:r>
        <w:t># Fórmula conceptual</w:t>
      </w:r>
    </w:p>
    <w:p>
      <w:pPr>
        <w:pStyle w:val="CodeBlock"/>
        <w:spacing w:after="0"/>
      </w:pPr>
      <w:r>
        <w:t>RRF_score(documento) = Σ 1 / (k + rank_i(documento))</w:t>
      </w:r>
    </w:p>
    <w:p>
      <w:pPr>
        <w:pStyle w:val="Heading1"/>
      </w:pPr>
      <w:r>
        <w:t>13. Re-ranking con Cross-Encoder</w:t>
      </w:r>
    </w:p>
    <w:p>
      <w:pPr>
        <w:spacing w:after="120" w:line="259" w:lineRule="auto"/>
      </w:pPr>
      <w:r>
        <w:t>El re-ranking agrega una segunda etapa más costosa pero más precisa. Primero un retriever rápido reduce millones de documentos a un conjunto pequeño de candidatos. Luego un Cross-Encoder evalúa la query y cada candidato conjuntamente para ordenar mejor ese Top-K.</w:t>
      </w:r>
    </w:p>
    <w:p>
      <w:pPr>
        <w:pStyle w:val="Heading1"/>
      </w:pPr>
      <w:r>
        <w:t>14. Precision, Recall y F1</w:t>
      </w:r>
    </w:p>
    <w:p>
      <w:pPr>
        <w:pStyle w:val="Heading2"/>
      </w:pPr>
      <w:r>
        <w:t>14.1 Precision</w:t>
      </w:r>
    </w:p>
    <w:p>
      <w:pPr>
        <w:spacing w:after="120" w:line="259" w:lineRule="auto"/>
      </w:pPr>
      <w:r>
        <w:t>Precision mide qué proporción de los documentos recuperados es realmente relevante. Una precision baja significa que el contexto entregado al LLM contiene demasiado ruido.</w:t>
      </w:r>
    </w:p>
    <w:p>
      <w:pPr>
        <w:pStyle w:val="CodeBlock"/>
        <w:spacing w:after="0"/>
      </w:pPr>
      <w:r>
        <w:t>Precision = relevantes recuperados / total recuperados</w:t>
      </w:r>
    </w:p>
    <w:p>
      <w:pPr>
        <w:pStyle w:val="Heading2"/>
      </w:pPr>
      <w:r>
        <w:t>14.2 Recall</w:t>
      </w:r>
    </w:p>
    <w:p>
      <w:pPr>
        <w:spacing w:after="120" w:line="259" w:lineRule="auto"/>
      </w:pPr>
      <w:r>
        <w:t>Recall mide qué proporción de todos los documentos relevantes disponibles fue recuperada. Un recall bajo indica que el sistema está dejando afuera información necesaria.</w:t>
      </w:r>
    </w:p>
    <w:p>
      <w:pPr>
        <w:pStyle w:val="CodeBlock"/>
        <w:spacing w:after="0"/>
      </w:pPr>
      <w:r>
        <w:t>Recall = relevantes recuperados / total de relevantes existentes</w:t>
      </w:r>
    </w:p>
    <w:p>
      <w:pPr>
        <w:pStyle w:val="Heading2"/>
      </w:pPr>
      <w:r>
        <w:t>14.3 Precision@k y Recall@k</w:t>
      </w:r>
    </w:p>
    <w:p>
      <w:pPr>
        <w:spacing w:after="120" w:line="259" w:lineRule="auto"/>
      </w:pPr>
      <w:r>
        <w:t>Las variantes @k calculan las métricas sobre los primeros k resultados. La Pre-Entrega 4 pide evaluar especialmente el comportamiento en Top-5 mediante Precision@5 y Recall@5.</w:t>
      </w:r>
    </w:p>
    <w:p>
      <w:pPr>
        <w:pStyle w:val="Heading2"/>
      </w:pPr>
      <w:r>
        <w:t>14.4 F1-Score</w:t>
      </w:r>
    </w:p>
    <w:p>
      <w:pPr>
        <w:spacing w:after="120" w:line="259" w:lineRule="auto"/>
      </w:pPr>
      <w:r>
        <w:t>F1 es la media armónica entre Precision y Recall y resume ambas dimensiones en un único valor.</w:t>
      </w:r>
    </w:p>
    <w:p>
      <w:pPr>
        <w:pStyle w:val="CodeBlock"/>
        <w:spacing w:after="0"/>
      </w:pPr>
      <w:r>
        <w:t>F1 = 2 * (Precision * Recall) / (Precision + Recall)</w:t>
      </w:r>
    </w:p>
    <w:p>
      <w:pPr>
        <w:pStyle w:val="Heading1"/>
      </w:pPr>
      <w:r>
        <w:t>15. Golden Set y evaluación del retriever</w:t>
      </w:r>
    </w:p>
    <w:p>
      <w:pPr>
        <w:spacing w:after="120" w:line="259" w:lineRule="auto"/>
      </w:pPr>
      <w:r>
        <w:t>Un Golden Set es un conjunto de preguntas de prueba con documentos relevantes esperados. Se ejecuta cada pregunta contra el retriever, se observa el Top-K y se compara con las referencias esperadas. Esto permite medir el retrieval en lugar de evaluar solo por impresión subjetiva.</w:t>
      </w:r>
    </w:p>
    <w:p>
      <w:pPr>
        <w:pStyle w:val="Heading1"/>
      </w:pPr>
      <w:r>
        <w:t>16. Diagnóstico antes de ajustar</w:t>
      </w:r>
    </w:p>
    <w:p>
      <w:pPr>
        <w:spacing w:after="120" w:line="259" w:lineRule="auto"/>
      </w:pPr>
      <w:r>
        <w:t>La clase propone ajustar el sistema según el síntoma observado. Si falta contexto relevante, puede ser necesario mejorar recall mediante chunking, top-k o estrategia de recuperación. Si aparecen demasiados resultados irrelevantes, conviene mejorar precision mediante filtros, pesos, metadata o re-ranking. La optimización debe guiarse por métricas y un Golden Set.</w:t>
      </w:r>
    </w:p>
    <w:p>
      <w:pPr>
        <w:pStyle w:val="Heading1"/>
      </w:pPr>
      <w:r>
        <w:t>17. Pre-Entrega 4 — contenido académico</w:t>
      </w:r>
    </w:p>
    <w:p>
      <w:pPr>
        <w:spacing w:after="120" w:line="259" w:lineRule="auto"/>
      </w:pPr>
      <w:r>
        <w:t>La Pre-Entrega 4 pide un módulo de recuperación escalable en la nube. Los tres componentes centrales son: un pipeline de ingesta que procese documentos y los cargue en Pinecone Serverless con metadata; un Hybrid Retriever que combine búsqueda vectorial con BM25; y una evaluación mediante un benchmark/Golden Set que mida Precision@5 y Recall@5.</w:t>
      </w:r>
    </w:p>
    <w:p>
      <w:pPr>
        <w:pStyle w:val="Heading2"/>
      </w:pPr>
      <w:r>
        <w:t>17.1 Pasos de implementación señalados por la clase</w:t>
      </w:r>
    </w:p>
    <w:p>
      <w:pPr>
        <w:pStyle w:val="ListBullet"/>
      </w:pPr>
      <w:r>
        <w:t>Crear un índice Pinecone Serverless con dimensión compatible con el modelo de embeddings.</w:t>
      </w:r>
    </w:p>
    <w:p>
      <w:pPr>
        <w:pStyle w:val="ListBullet"/>
      </w:pPr>
      <w:r>
        <w:t>Guardar el texto recuperable y metadata necesaria para reconstruir el contexto.</w:t>
      </w:r>
    </w:p>
    <w:p>
      <w:pPr>
        <w:pStyle w:val="ListBullet"/>
      </w:pPr>
      <w:r>
        <w:t>Configurar PineconeVectorStore o el SDK de Pinecone como motor vectorial.</w:t>
      </w:r>
    </w:p>
    <w:p>
      <w:pPr>
        <w:pStyle w:val="ListBullet"/>
      </w:pPr>
      <w:r>
        <w:t>Agregar BM25Retriever y combinarlo con Pinecone mediante EnsembleRetriever.</w:t>
      </w:r>
    </w:p>
    <w:p>
      <w:pPr>
        <w:pStyle w:val="ListBullet"/>
      </w:pPr>
      <w:r>
        <w:t>Construir preguntas de benchmark y verificar si los documentos esperados aparecen en Top-5.</w:t>
      </w:r>
    </w:p>
    <w:p>
      <w:pPr>
        <w:pStyle w:val="Heading1"/>
      </w:pPr>
      <w:r>
        <w:t>18. Arquitectura de referencia para la Entrega 4</w:t>
      </w:r>
    </w:p>
    <w:p>
      <w:pPr>
        <w:pStyle w:val="CodeBlock"/>
        <w:spacing w:after="0"/>
      </w:pPr>
      <w:r>
        <w:t>CLASES 1–4</w:t>
      </w:r>
    </w:p>
    <w:p>
      <w:pPr>
        <w:pStyle w:val="CodeBlock"/>
        <w:spacing w:after="0"/>
      </w:pPr>
      <w:r>
        <w:t xml:space="preserve">  ↓</w:t>
      </w:r>
    </w:p>
    <w:p>
      <w:pPr>
        <w:pStyle w:val="CodeBlock"/>
        <w:spacing w:after="0"/>
      </w:pPr>
      <w:r>
        <w:t>DirectoryLoader</w:t>
      </w:r>
    </w:p>
    <w:p>
      <w:pPr>
        <w:pStyle w:val="CodeBlock"/>
        <w:spacing w:after="0"/>
      </w:pPr>
      <w:r>
        <w:t xml:space="preserve">  ↓</w:t>
      </w:r>
    </w:p>
    <w:p>
      <w:pPr>
        <w:pStyle w:val="CodeBlock"/>
        <w:spacing w:after="0"/>
      </w:pPr>
      <w:r>
        <w:t>RecursiveCharacterTextSplitter</w:t>
      </w:r>
    </w:p>
    <w:p>
      <w:pPr>
        <w:pStyle w:val="CodeBlock"/>
        <w:spacing w:after="0"/>
      </w:pPr>
      <w:r>
        <w:t xml:space="preserve">  ↓</w:t>
      </w:r>
    </w:p>
    <w:p>
      <w:pPr>
        <w:pStyle w:val="CodeBlock"/>
        <w:spacing w:after="0"/>
      </w:pPr>
      <w:r>
        <w:t>HuggingFace Embeddings</w:t>
      </w:r>
    </w:p>
    <w:p>
      <w:pPr>
        <w:pStyle w:val="CodeBlock"/>
        <w:spacing w:after="0"/>
      </w:pPr>
      <w:r>
        <w:t xml:space="preserve">  ↓</w:t>
      </w:r>
    </w:p>
    <w:p>
      <w:pPr>
        <w:pStyle w:val="CodeBlock"/>
        <w:spacing w:after="0"/>
      </w:pPr>
      <w:r>
        <w:t>Pinecone Serverless</w:t>
      </w:r>
    </w:p>
    <w:p>
      <w:pPr>
        <w:pStyle w:val="CodeBlock"/>
        <w:spacing w:after="0"/>
      </w:pPr>
      <w:r/>
    </w:p>
    <w:p>
      <w:pPr>
        <w:pStyle w:val="CodeBlock"/>
        <w:spacing w:after="0"/>
      </w:pPr>
      <w:r>
        <w:t>CHUNKS ───────────────→ BM25Retriever</w:t>
      </w:r>
    </w:p>
    <w:p>
      <w:pPr>
        <w:pStyle w:val="CodeBlock"/>
        <w:spacing w:after="0"/>
      </w:pPr>
      <w:r>
        <w:t xml:space="preserve">   │</w:t>
      </w:r>
    </w:p>
    <w:p>
      <w:pPr>
        <w:pStyle w:val="CodeBlock"/>
        <w:spacing w:after="0"/>
      </w:pPr>
      <w:r>
        <w:t xml:space="preserve">   └────────→ Pinecone Retriever</w:t>
      </w:r>
    </w:p>
    <w:p>
      <w:pPr>
        <w:pStyle w:val="CodeBlock"/>
        <w:spacing w:after="0"/>
      </w:pPr>
      <w:r>
        <w:t xml:space="preserve">                  │</w:t>
      </w:r>
    </w:p>
    <w:p>
      <w:pPr>
        <w:pStyle w:val="CodeBlock"/>
        <w:spacing w:after="0"/>
      </w:pPr>
      <w:r>
        <w:t xml:space="preserve">        EnsembleRetriever</w:t>
      </w:r>
    </w:p>
    <w:p>
      <w:pPr>
        <w:pStyle w:val="CodeBlock"/>
        <w:spacing w:after="0"/>
      </w:pPr>
      <w:r>
        <w:t xml:space="preserve">                  ↓</w:t>
      </w:r>
    </w:p>
    <w:p>
      <w:pPr>
        <w:pStyle w:val="CodeBlock"/>
        <w:spacing w:after="0"/>
      </w:pPr>
      <w:r>
        <w:t xml:space="preserve">                Top-5</w:t>
      </w:r>
    </w:p>
    <w:p>
      <w:pPr>
        <w:pStyle w:val="CodeBlock"/>
        <w:spacing w:after="0"/>
      </w:pPr>
      <w:r>
        <w:t xml:space="preserve">                  ↓</w:t>
      </w:r>
    </w:p>
    <w:p>
      <w:pPr>
        <w:pStyle w:val="CodeBlock"/>
        <w:spacing w:after="0"/>
      </w:pPr>
      <w:r>
        <w:t xml:space="preserve">       Precision@5 / Recall@5</w:t>
      </w:r>
    </w:p>
    <w:p>
      <w:pPr>
        <w:spacing w:after="120" w:line="259" w:lineRule="auto"/>
      </w:pPr>
      <w:r>
        <w:t>Para la entrega práctica conviene mantener esta arquitectura alineada con el notebook de ejemplo de la cátedra. Las mejoras más avanzadas de chunking o metadata pueden incorporarse después de obtener una versión funcional y evaluable.</w:t>
      </w:r>
    </w:p>
    <w:p>
      <w:pPr>
        <w:pStyle w:val="Heading1"/>
      </w:pPr>
      <w:r>
        <w:t>19. Preguntas que esta Knowledge Base debe poder responder</w:t>
      </w:r>
    </w:p>
    <w:p>
      <w:pPr>
        <w:pStyle w:val="ListBullet"/>
      </w:pPr>
      <w:r>
        <w:t>¿Por qué pasar de ChromaDB a Pinecone?</w:t>
      </w:r>
    </w:p>
    <w:p>
      <w:pPr>
        <w:pStyle w:val="ListBullet"/>
      </w:pPr>
      <w:r>
        <w:t>¿Qué significa Serverless en Pinecone?</w:t>
      </w:r>
    </w:p>
    <w:p>
      <w:pPr>
        <w:pStyle w:val="ListBullet"/>
      </w:pPr>
      <w:r>
        <w:t>¿Qué diferencia hay entre Index, Namespace y Metadata?</w:t>
      </w:r>
    </w:p>
    <w:p>
      <w:pPr>
        <w:pStyle w:val="ListBullet"/>
      </w:pPr>
      <w:r>
        <w:t>¿Por qué debe coincidir la dimensión del índice con el embedding?</w:t>
      </w:r>
    </w:p>
    <w:p>
      <w:pPr>
        <w:pStyle w:val="ListBullet"/>
      </w:pPr>
      <w:r>
        <w:t>¿Qué es Batch Upsert?</w:t>
      </w:r>
    </w:p>
    <w:p>
      <w:pPr>
        <w:pStyle w:val="ListBullet"/>
      </w:pPr>
      <w:r>
        <w:t>¿Qué es Schema Drift?</w:t>
      </w:r>
    </w:p>
    <w:p>
      <w:pPr>
        <w:pStyle w:val="ListBullet"/>
      </w:pPr>
      <w:r>
        <w:t>¿Cómo ayudan los namespaces al multi-tenancy?</w:t>
      </w:r>
    </w:p>
    <w:p>
      <w:pPr>
        <w:pStyle w:val="ListBullet"/>
      </w:pPr>
      <w:r>
        <w:t>¿Qué diferencia hay entre BM25 y vector search?</w:t>
      </w:r>
    </w:p>
    <w:p>
      <w:pPr>
        <w:pStyle w:val="ListBullet"/>
      </w:pPr>
      <w:r>
        <w:t>¿Por qué conviene Hybrid Retrieval?</w:t>
      </w:r>
    </w:p>
    <w:p>
      <w:pPr>
        <w:pStyle w:val="ListBullet"/>
      </w:pPr>
      <w:r>
        <w:t>¿Qué hace EnsembleRetriever?</w:t>
      </w:r>
    </w:p>
    <w:p>
      <w:pPr>
        <w:pStyle w:val="ListBullet"/>
      </w:pPr>
      <w:r>
        <w:t>¿Por qué no se deben sumar directamente scores de BM25 y vectores?</w:t>
      </w:r>
    </w:p>
    <w:p>
      <w:pPr>
        <w:pStyle w:val="ListBullet"/>
      </w:pPr>
      <w:r>
        <w:t>¿Qué es RRF?</w:t>
      </w:r>
    </w:p>
    <w:p>
      <w:pPr>
        <w:pStyle w:val="ListBullet"/>
      </w:pPr>
      <w:r>
        <w:t>¿Qué hace un Cross-Encoder en re-ranking?</w:t>
      </w:r>
    </w:p>
    <w:p>
      <w:pPr>
        <w:pStyle w:val="ListBullet"/>
      </w:pPr>
      <w:r>
        <w:t>¿Qué diferencia hay entre Precision y Recall?</w:t>
      </w:r>
    </w:p>
    <w:p>
      <w:pPr>
        <w:pStyle w:val="ListBullet"/>
      </w:pPr>
      <w:r>
        <w:t>¿Qué son Precision@5 y Recall@5?</w:t>
      </w:r>
    </w:p>
    <w:p>
      <w:pPr>
        <w:pStyle w:val="ListBullet"/>
      </w:pPr>
      <w:r>
        <w:t>¿Qué es un Golden Set?</w:t>
      </w:r>
    </w:p>
    <w:p>
      <w:pPr>
        <w:pStyle w:val="ListBullet"/>
      </w:pPr>
      <w:r>
        <w:t>¿Qué exige la Pre-Entrega 4?</w:t>
      </w:r>
    </w:p>
    <w:p>
      <w:pPr>
        <w:pStyle w:val="Heading1"/>
      </w:pPr>
      <w:r>
        <w:t>20. Notas de ingesta para el RAG del curso</w:t>
      </w:r>
    </w:p>
    <w:p>
      <w:pPr>
        <w:spacing w:after="120" w:line="259" w:lineRule="auto"/>
      </w:pPr>
      <w:r>
        <w:t>Los encabezados de esta clase deben acompañar a sus párrafos cuando se formen chunks. Conviene mantener juntas las definiciones y sus fórmulas o diagramas conceptuales. La metadata de clase, source, categoría y chunk_id debe agregarse desde el pipeline de carga. Para la Entrega 4, el notebook de ejemplo de la cátedra es la referencia de implementación y esta Knowledge Base funciona como corpus documental.</w:t>
      </w:r>
    </w:p>
    <w:p>
      <w:pPr>
        <w:pStyle w:val="Heading1"/>
      </w:pPr>
      <w:r>
        <w:t>Nota de fuente</w:t>
      </w:r>
    </w:p>
    <w:p>
      <w:pPr>
        <w:spacing w:after="120" w:line="259" w:lineRule="auto"/>
      </w:pPr>
      <w:r>
        <w:t>Este documento amplía y reorganiza, con fines de recuperación RAG, los conceptos presentados en AI_Engineering_Clase_4_RAG_Avanzado_Pinecone.pptx.pdf. Los términos técnicos en inglés se conservan cuando forman parte del vocabulario del curso. Las secciones de Pre-Entrega se mantienen como contenido académico y están separadas del conocimiento técnico para poder identificarlas durante la ingesta.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