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RIZKI YANUAR,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19850101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Merauke.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RIZKI YANUAR,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19850101 200912 1 006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Merauke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