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BEN RONALD P. SITUMORANG,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19780901 200112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Pagar Alam.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207.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208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BEN RONALD P. SITUMORANG,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19780901 200112 1 002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Wakil Ketua Pengadilan Negeri  Pagar Alam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Pratama, Ketua   Pengadilan Negeri  Sekayu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17.500.000,-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tujuh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Sekayu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209.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