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w:t>
      </w:r>
      <w:r>
        <w:rPr>
          <w:rFonts w:hint="default" w:ascii="Bookman Old Style" w:hAnsi="Bookman Old Style" w:cs="Arial"/>
          <w:b/>
          <w:color w:val="000000"/>
          <w:lang w:val="en-US"/>
        </w:rPr>
        <w:t>Kupang</w:t>
      </w:r>
      <w:r>
        <w:rPr>
          <w:rFonts w:ascii="Bookman Old Style" w:hAnsi="Bookman Old Style" w:cs="Arial"/>
          <w:b/>
          <w:color w:val="000000"/>
        </w:rPr>
        <w:t xml:space="preserve">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t>
      </w:r>
      <w:bookmarkStart w:id="1" w:name="_GoBack"/>
      <w:bookmarkEnd w:id="1"/>
      <w:r>
        <w:rPr>
          <w:rFonts w:ascii="Bookman Old Style" w:hAnsi="Bookman Old Style" w:cs="Arial"/>
          <w:b/>
          <w:bCs/>
          <w:color w:val="000000"/>
        </w:rPr>
        <w:t>Kaimana.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ROBERT MANGATUR SIAHAAN,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19750601 200212 1 003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Penata Tk. I/Hakim Pratama Utama, Non Palu pada Pengadilan Tinggi Kupang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Kaimana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10.400.000,-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sepuluh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Kaimana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BF39A2"/>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