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w:t>
      </w:r>
      <w:r>
        <w:rPr>
          <w:rFonts w:hint="default" w:ascii="Bookman Old Style" w:hAnsi="Bookman Old Style" w:cs="Arial"/>
          <w:b/>
          <w:color w:val="000000"/>
          <w:lang w:val="en-US"/>
        </w:rPr>
        <w:t>Pekanbaru</w:t>
      </w:r>
      <w:r>
        <w:rPr>
          <w:rFonts w:ascii="Bookman Old Style" w:hAnsi="Bookman Old Style" w:cs="Arial"/>
          <w:b/>
          <w:color w:val="000000"/>
        </w:rPr>
        <w:t xml:space="preserve">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t>
      </w:r>
      <w:bookmarkStart w:id="1" w:name="_GoBack"/>
      <w:bookmarkEnd w:id="1"/>
      <w:r>
        <w:rPr>
          <w:rFonts w:ascii="Bookman Old Style" w:hAnsi="Bookman Old Style" w:cs="Arial"/>
          <w:b/>
          <w:bCs/>
          <w:color w:val="000000"/>
        </w:rPr>
        <w:t>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Hj. MELFIHARYATI,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19680216 199212 2 001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dipekerjakan untuk tugas Peradilan (Yustisial) pada Pengadilan Tinggi Pekanbaru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203CCA"/>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