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bookmarkStart w:id="1" w:name="_GoBack"/>
      <w:bookmarkEnd w:id="1"/>
      <w:r>
        <w:rPr>
          <w:rFonts w:ascii="Bookman Old Style" w:hAnsi="Bookman Old Style" w:cs="Arial"/>
          <w:b/>
          <w:bCs/>
          <w:color w:val="000000"/>
        </w:rPr>
        <w:t xml:space="preserve"> Kaimana.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ROBERT MANGATUR SIAHAAN,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19750601 200212 1 003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 xml:space="preserve">Penata Tk. I/ Hakim Pratama Utama Non Palu pada Pengadilan Tinggi Kupang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 Hakim Pratama Utama Pengadilan Negeri  Kaimana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10.400.000,-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sepuluh juta empat 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Kaimana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427C1D"/>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2021-10-07T08:06:47Z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