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RAMON WAHYUDI,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19750320 200212 1 002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Hakim Madya Pratama</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Hakim Pengadilan Negeri  Depok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Hakim Madya Pratama</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dipekerjakan untuk tugas Peradilan (Yustisial) pada Badan Pengawasan Mahkamah Agung R.I</w:t>
            </w:r>
            <w:bookmarkStart w:id="1" w:name="_GoBack"/>
            <w:bookmarkEnd w:id="1"/>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p>
          <w:p>
            <w:pPr>
              <w:ind w:left="0" w:leftChars="0" w:hanging="10" w:firstLineChars="0"/>
              <w:rPr>
                <w:rFonts w:hint="default" w:ascii="Bookman Old Style" w:hAnsi="Bookman Old Style"/>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D383DE0"/>
    <w:rsid w:val="1DDB45D4"/>
    <w:rsid w:val="1E157834"/>
    <w:rsid w:val="1FF161EE"/>
    <w:rsid w:val="205076CB"/>
    <w:rsid w:val="217A5825"/>
    <w:rsid w:val="21835309"/>
    <w:rsid w:val="244B611B"/>
    <w:rsid w:val="25015DA3"/>
    <w:rsid w:val="2706664C"/>
    <w:rsid w:val="29B17F12"/>
    <w:rsid w:val="29C44061"/>
    <w:rsid w:val="2A8C1FFA"/>
    <w:rsid w:val="2ADA1C54"/>
    <w:rsid w:val="2B502395"/>
    <w:rsid w:val="2CE26F19"/>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4A5BFF"/>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qFormat/>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2021-10-07T07:37:59Z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